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0AF83365A98491A9298B10994C1D577"/>
        </w:placeholder>
        <w:text/>
      </w:sdtPr>
      <w:sdtEndPr/>
      <w:sdtContent>
        <w:p w:rsidRPr="009B062B" w:rsidR="00AF30DD" w:rsidP="003A47C7" w:rsidRDefault="00AF30DD" w14:paraId="509D54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724060-62eb-4054-99fa-11719886dcae"/>
        <w:id w:val="-507604400"/>
        <w:lock w:val="sdtLocked"/>
      </w:sdtPr>
      <w:sdtEndPr/>
      <w:sdtContent>
        <w:p w:rsidR="004F5022" w:rsidRDefault="00AF20E8" w14:paraId="509D542C" w14:textId="2D8C2F49">
          <w:pPr>
            <w:pStyle w:val="Frslagstext"/>
          </w:pPr>
          <w:r>
            <w:t>Riksdagen avslår propositionen i den delen den avser begrä</w:t>
          </w:r>
          <w:r w:rsidR="00E96E24">
            <w:t>n</w:t>
          </w:r>
          <w:r>
            <w:t>sningar av grundlagsskyddet för vissa söktjänster.</w:t>
          </w:r>
        </w:p>
      </w:sdtContent>
    </w:sdt>
    <w:sdt>
      <w:sdtPr>
        <w:alias w:val="Yrkande 2"/>
        <w:tag w:val="628ee898-bb39-43dc-be7d-5393f5d7e7cf"/>
        <w:id w:val="1564601039"/>
        <w:lock w:val="sdtLocked"/>
      </w:sdtPr>
      <w:sdtEndPr/>
      <w:sdtContent>
        <w:p w:rsidR="004F5022" w:rsidRDefault="00AF20E8" w14:paraId="509D542D" w14:textId="0D88ADEF">
          <w:pPr>
            <w:pStyle w:val="Frslagstext"/>
          </w:pPr>
          <w:r>
            <w:t>Riksdagen ställer sig bakom det som anförs i motionen om att regeringen bör förtydliga villkoren för granskning gällande public service-texter på internet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F22F1B65044CB284BEE0FC896E5027"/>
        </w:placeholder>
        <w:text/>
      </w:sdtPr>
      <w:sdtEndPr/>
      <w:sdtContent>
        <w:p w:rsidRPr="009B062B" w:rsidR="006D79C9" w:rsidP="00333E95" w:rsidRDefault="006D79C9" w14:paraId="509D542E" w14:textId="77777777">
          <w:pPr>
            <w:pStyle w:val="Rubrik1"/>
          </w:pPr>
          <w:r>
            <w:t>Motivering</w:t>
          </w:r>
        </w:p>
      </w:sdtContent>
    </w:sdt>
    <w:p w:rsidR="00D00BC2" w:rsidP="00D00BC2" w:rsidRDefault="00B3761F" w14:paraId="509D542F" w14:textId="5D00C116">
      <w:pPr>
        <w:pStyle w:val="Normalutanindragellerluft"/>
      </w:pPr>
      <w:r w:rsidRPr="00B3761F">
        <w:t>Re</w:t>
      </w:r>
      <w:r>
        <w:t xml:space="preserve">geringen </w:t>
      </w:r>
      <w:r w:rsidR="00E30CFC">
        <w:t>föreslår i den förevarande propositionen vissa förändringar av tryckfrihetsförordningen (TF) och yttrandefrihetsgrundlagen (YGL). Under punkt</w:t>
      </w:r>
      <w:r w:rsidR="00E96E24">
        <w:t> </w:t>
      </w:r>
      <w:r w:rsidR="00E30CFC">
        <w:t xml:space="preserve">7 föreslås inskränkningar i grundlagsskyddet för sådana söktjänster som </w:t>
      </w:r>
      <w:r w:rsidR="00A608ED">
        <w:t xml:space="preserve">offentliggör personuppgifter om lagöverträdelser. Även </w:t>
      </w:r>
      <w:r w:rsidR="00B2644C">
        <w:t>om</w:t>
      </w:r>
      <w:r w:rsidR="00A608ED">
        <w:t xml:space="preserve"> det är tydligt att</w:t>
      </w:r>
      <w:r w:rsidR="00666844">
        <w:t xml:space="preserve"> ett</w:t>
      </w:r>
      <w:r w:rsidR="00A608ED">
        <w:t xml:space="preserve"> regleringsbehov föreligger är de föreslagna inskränkningarna alltför kategoriska till sin utformning. </w:t>
      </w:r>
    </w:p>
    <w:p w:rsidR="00A608ED" w:rsidP="00A608ED" w:rsidRDefault="00A608ED" w14:paraId="509D5430" w14:textId="77777777">
      <w:r>
        <w:t xml:space="preserve">Vi </w:t>
      </w:r>
      <w:r w:rsidR="00F603DE">
        <w:t>önskar</w:t>
      </w:r>
      <w:r>
        <w:t xml:space="preserve"> även lyfta behovet av ett förtydligande från regeringens sida gällande granskningen av text från public service på internet.</w:t>
      </w:r>
    </w:p>
    <w:p w:rsidR="00816EA7" w:rsidP="00FD3BA0" w:rsidRDefault="00572AAB" w14:paraId="509D5431" w14:textId="00FC5425">
      <w:pPr>
        <w:pStyle w:val="Rubrik2"/>
      </w:pPr>
      <w:r>
        <w:t>Integritets</w:t>
      </w:r>
      <w:r w:rsidR="00E96E24">
        <w:t>-</w:t>
      </w:r>
      <w:r>
        <w:t xml:space="preserve"> och yttrandefrihet</w:t>
      </w:r>
    </w:p>
    <w:p w:rsidR="00572AAB" w:rsidP="00E968B0" w:rsidRDefault="00B21883" w14:paraId="509D5432" w14:textId="346252BF">
      <w:pPr>
        <w:pStyle w:val="Normalutanindragellerluft"/>
      </w:pPr>
      <w:r>
        <w:t>Regeringens föreslagna delegationsregel som möjliggör ett undantag från det allmänna yttrandefrihetsskyddet grundar sig i</w:t>
      </w:r>
      <w:r w:rsidR="00572AAB">
        <w:t xml:space="preserve"> en omtanke </w:t>
      </w:r>
      <w:r w:rsidR="00E96E24">
        <w:t>om</w:t>
      </w:r>
      <w:r w:rsidR="00572AAB">
        <w:t xml:space="preserve"> den enskildes rätt till personlig integritet</w:t>
      </w:r>
      <w:r>
        <w:t xml:space="preserve">. Detta är ett väsentligt intresse </w:t>
      </w:r>
      <w:r w:rsidR="00B2644C">
        <w:t xml:space="preserve">och </w:t>
      </w:r>
      <w:r>
        <w:t>helt fundamentalt för det fria demokratiska samhället. Emellertid måste detta intresse också vägas mot andra intressen</w:t>
      </w:r>
      <w:r w:rsidR="00572AAB">
        <w:t>, i detta fall yttrandefrihet</w:t>
      </w:r>
      <w:r>
        <w:t xml:space="preserve">. </w:t>
      </w:r>
      <w:r w:rsidR="00572AAB">
        <w:t>När yttrandefriheten begränsas är det viktigt att detta sker med precision så att det grundlagsskyddade området inte beskärs mer än vad som är påkallat.</w:t>
      </w:r>
    </w:p>
    <w:p w:rsidR="007D32F6" w:rsidP="00E968B0" w:rsidRDefault="00F16FC1" w14:paraId="509D5433" w14:textId="641344DD">
      <w:r>
        <w:lastRenderedPageBreak/>
        <w:t>I förslaget till grundlagstext står det att det</w:t>
      </w:r>
      <w:r w:rsidRPr="00F16FC1">
        <w:t xml:space="preserve"> med hänsyn till uppgiftssamlingens karaktär </w:t>
      </w:r>
      <w:r>
        <w:t xml:space="preserve">ska </w:t>
      </w:r>
      <w:r w:rsidRPr="00F16FC1">
        <w:t>stå klart att det finns särskilda risker för otillbörliga intrång i enskildas personliga integritet.</w:t>
      </w:r>
      <w:r>
        <w:t xml:space="preserve"> Detta är en formulering som är för allmänt hållen för att Sverige</w:t>
      </w:r>
      <w:r w:rsidR="00E968B0">
        <w:softHyphen/>
      </w:r>
      <w:bookmarkStart w:name="_GoBack" w:id="1"/>
      <w:bookmarkEnd w:id="1"/>
      <w:r>
        <w:t>demokraterna ska kunna acceptera den som lagstiftningsprodukt i en så grundläggande demokratisk fråga som yttrandefriheten.</w:t>
      </w:r>
      <w:r w:rsidR="00666844">
        <w:t xml:space="preserve"> </w:t>
      </w:r>
      <w:r w:rsidR="007D32F6">
        <w:t xml:space="preserve">Justitiekanslern och </w:t>
      </w:r>
      <w:r w:rsidR="00FD3BA0">
        <w:t>Riksdagens ombudsmän (JO)</w:t>
      </w:r>
      <w:r w:rsidR="007D32F6">
        <w:t xml:space="preserve"> har särskilt betonat just formuleringens vaghet i sina remissvar. </w:t>
      </w:r>
    </w:p>
    <w:p w:rsidR="00816EA7" w:rsidP="00E968B0" w:rsidRDefault="00816EA7" w14:paraId="509D5434" w14:textId="3ADFD3FA">
      <w:r>
        <w:t xml:space="preserve">Förslaget kan även riskera att leda till en oacceptabel ojämlikhet i tillgängligheten på allmänna handlingar. </w:t>
      </w:r>
      <w:r w:rsidR="00CC33AF">
        <w:t>Visserligen föreligger det s.k. journalistundantaget från 1</w:t>
      </w:r>
      <w:r w:rsidR="00E96E24">
        <w:t> </w:t>
      </w:r>
      <w:r w:rsidR="00CC33AF">
        <w:t>kap. 7</w:t>
      </w:r>
      <w:r w:rsidR="00E96E24">
        <w:t> </w:t>
      </w:r>
      <w:r w:rsidR="00CC33AF">
        <w:t xml:space="preserve">§ dataskyddslagen, men regeringen </w:t>
      </w:r>
      <w:r>
        <w:t>ger i propositionen inte</w:t>
      </w:r>
      <w:r w:rsidR="00CC33AF">
        <w:t xml:space="preserve"> </w:t>
      </w:r>
      <w:r>
        <w:t>tillräcklig</w:t>
      </w:r>
      <w:r w:rsidR="00CC33AF">
        <w:t xml:space="preserve"> vägledning i hur detta bör tillämpas</w:t>
      </w:r>
      <w:r w:rsidR="00FD3BA0">
        <w:t xml:space="preserve"> – något som även Kammarrätten i Stockholm lyfter i sitt remissvar. </w:t>
      </w:r>
      <w:r w:rsidR="00CC33AF">
        <w:t xml:space="preserve">Sverigedemokraterna kan inte ställa sig bakom en situation där medborgarjournalister </w:t>
      </w:r>
      <w:r w:rsidR="00FD3BA0">
        <w:t>eller</w:t>
      </w:r>
      <w:r>
        <w:t xml:space="preserve"> allmänhetens tillgång på information riskerar att missgynnas till fördel för mer etablerade aktörer. </w:t>
      </w:r>
      <w:r w:rsidR="00FD3BA0">
        <w:t xml:space="preserve">Särskilt angeläget är detta i ljuset av den misslyckade politiken på kriminalområdet. När även remissinstanser som TU och Journalistförbundet avstyrker förslaget förefaller det självklart att gränsdragningsproblematiken är ofullständigt utredd och att förslaget måste förkastas. </w:t>
      </w:r>
    </w:p>
    <w:p w:rsidRPr="00A608ED" w:rsidR="00A608ED" w:rsidP="00A608ED" w:rsidRDefault="00A608ED" w14:paraId="509D5435" w14:textId="1DC5602D">
      <w:pPr>
        <w:pStyle w:val="Rubrik2"/>
      </w:pPr>
      <w:r w:rsidRPr="00EB2A32">
        <w:t>Granskning av public service</w:t>
      </w:r>
      <w:r w:rsidR="00E96E24">
        <w:t>s</w:t>
      </w:r>
      <w:r w:rsidRPr="00EB2A32">
        <w:t xml:space="preserve"> text på internet</w:t>
      </w:r>
    </w:p>
    <w:p w:rsidR="00EB2A32" w:rsidP="00E968B0" w:rsidRDefault="0016245B" w14:paraId="509D5436" w14:textId="0416B751">
      <w:pPr>
        <w:pStyle w:val="Normalutanindragellerluft"/>
      </w:pPr>
      <w:r>
        <w:t>I propositionen föreslår regeringen även vissa förändringar av villkoren för public service (p</w:t>
      </w:r>
      <w:r w:rsidR="00E96E24">
        <w:t>unkt </w:t>
      </w:r>
      <w:r>
        <w:t xml:space="preserve">8), förändringar vi i grunden ställer oss positiva till. </w:t>
      </w:r>
      <w:r w:rsidR="00EB2A32">
        <w:t>Det finns dock en otydlighet rörande innehållsvillkoren för textinnehåll på public</w:t>
      </w:r>
      <w:r w:rsidR="00E96E24">
        <w:t xml:space="preserve"> </w:t>
      </w:r>
      <w:r w:rsidR="00EB2A32">
        <w:t>service</w:t>
      </w:r>
      <w:r w:rsidR="00E96E24">
        <w:t>-</w:t>
      </w:r>
      <w:r w:rsidR="00EB2A32">
        <w:t xml:space="preserve">företagens webbplatser och i deras appar. </w:t>
      </w:r>
      <w:r w:rsidR="005669F2">
        <w:t>I propositionens förslag uttrycks att det ska bli möjligt med efterhandsgranskning av ljudradio eller tv i allmänhetens tjänst som sänds genom tråd, men det är inte uppenbart att även annat innehåll, såsom textinnehåll</w:t>
      </w:r>
      <w:r w:rsidR="00E96E24">
        <w:t>,</w:t>
      </w:r>
      <w:r w:rsidR="005669F2">
        <w:t xml:space="preserve"> kan granskas av granskningsnämnden. </w:t>
      </w:r>
    </w:p>
    <w:p w:rsidR="00BB6339" w:rsidP="00E968B0" w:rsidRDefault="00EB2A32" w14:paraId="509D5438" w14:textId="37D3E887">
      <w:r>
        <w:t xml:space="preserve">Regeringen bör därför förtydliga för riksdagen att det föreslagna borttagandet av begränsningen av innehållsgranskning i efterhand till andra typer av sändningar än genom tråd bör gälla </w:t>
      </w:r>
      <w:r w:rsidR="005669F2">
        <w:t>allt innehåll</w:t>
      </w:r>
      <w:r>
        <w:t xml:space="preserve"> på public service</w:t>
      </w:r>
      <w:r w:rsidR="00E96E24">
        <w:t>s</w:t>
      </w:r>
      <w:r>
        <w:t xml:space="preserve"> webbsidor och appar. </w:t>
      </w:r>
    </w:p>
    <w:sdt>
      <w:sdtPr>
        <w:alias w:val="CC_Underskrifter"/>
        <w:tag w:val="CC_Underskrifter"/>
        <w:id w:val="583496634"/>
        <w:lock w:val="sdtContentLocked"/>
        <w:placeholder>
          <w:docPart w:val="073F4919B4E4462C8920273237980AA1"/>
        </w:placeholder>
      </w:sdtPr>
      <w:sdtEndPr/>
      <w:sdtContent>
        <w:p w:rsidR="003A47C7" w:rsidP="003A47C7" w:rsidRDefault="003A47C7" w14:paraId="509D5439" w14:textId="77777777"/>
        <w:p w:rsidRPr="008E0FE2" w:rsidR="004801AC" w:rsidP="003A47C7" w:rsidRDefault="00E968B0" w14:paraId="509D54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6EEB" w:rsidRDefault="00056EEB" w14:paraId="509D5444" w14:textId="77777777"/>
    <w:sectPr w:rsidR="00056E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D5446" w14:textId="77777777" w:rsidR="003A6762" w:rsidRDefault="003A6762" w:rsidP="000C1CAD">
      <w:pPr>
        <w:spacing w:line="240" w:lineRule="auto"/>
      </w:pPr>
      <w:r>
        <w:separator/>
      </w:r>
    </w:p>
  </w:endnote>
  <w:endnote w:type="continuationSeparator" w:id="0">
    <w:p w14:paraId="509D5447" w14:textId="77777777" w:rsidR="003A6762" w:rsidRDefault="003A67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5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54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5455" w14:textId="77777777" w:rsidR="00262EA3" w:rsidRPr="003A47C7" w:rsidRDefault="00262EA3" w:rsidP="003A47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D5444" w14:textId="77777777" w:rsidR="003A6762" w:rsidRDefault="003A6762" w:rsidP="000C1CAD">
      <w:pPr>
        <w:spacing w:line="240" w:lineRule="auto"/>
      </w:pPr>
      <w:r>
        <w:separator/>
      </w:r>
    </w:p>
  </w:footnote>
  <w:footnote w:type="continuationSeparator" w:id="0">
    <w:p w14:paraId="509D5445" w14:textId="77777777" w:rsidR="003A6762" w:rsidRDefault="003A67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9D54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9D5457" wp14:anchorId="509D54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968B0" w14:paraId="509D545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D314388D3144E2AEB96BA633B86CBA"/>
                              </w:placeholder>
                              <w:text/>
                            </w:sdtPr>
                            <w:sdtEndPr/>
                            <w:sdtContent>
                              <w:r w:rsidR="00D00BC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9EC740D5584FF18E204A828A484DB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9D54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968B0" w14:paraId="509D545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D314388D3144E2AEB96BA633B86CBA"/>
                        </w:placeholder>
                        <w:text/>
                      </w:sdtPr>
                      <w:sdtEndPr/>
                      <w:sdtContent>
                        <w:r w:rsidR="00D00BC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9EC740D5584FF18E204A828A484DB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9D54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9D544A" w14:textId="77777777">
    <w:pPr>
      <w:jc w:val="right"/>
    </w:pPr>
  </w:p>
  <w:p w:rsidR="00262EA3" w:rsidP="00776B74" w:rsidRDefault="00262EA3" w14:paraId="509D54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968B0" w14:paraId="509D544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9D5459" wp14:anchorId="509D54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968B0" w14:paraId="509D54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0BC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968B0" w14:paraId="509D54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968B0" w14:paraId="509D54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:4328</w:t>
        </w:r>
      </w:sdtContent>
    </w:sdt>
  </w:p>
  <w:p w:rsidR="00262EA3" w:rsidP="00E03A3D" w:rsidRDefault="00E968B0" w14:paraId="509D54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30CFC" w14:paraId="509D5453" w14:textId="77777777">
        <w:pPr>
          <w:pStyle w:val="FSHRub2"/>
        </w:pPr>
        <w:r>
          <w:t>med anledning av prop. 2021/22:59 Ett ändamålsenligt skydd för tryck- och yttrandefriheten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9D54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1732A"/>
    <w:multiLevelType w:val="hybridMultilevel"/>
    <w:tmpl w:val="64CC7BAC"/>
    <w:lvl w:ilvl="0" w:tplc="6B8AFDDC"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526B"/>
    <w:multiLevelType w:val="hybridMultilevel"/>
    <w:tmpl w:val="9B022CE0"/>
    <w:lvl w:ilvl="0" w:tplc="5C268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41BA8"/>
    <w:multiLevelType w:val="hybridMultilevel"/>
    <w:tmpl w:val="BC7ECDC6"/>
    <w:lvl w:ilvl="0" w:tplc="7F52D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D07C51"/>
    <w:multiLevelType w:val="hybridMultilevel"/>
    <w:tmpl w:val="8B248608"/>
    <w:lvl w:ilvl="0" w:tplc="247ACC42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8"/>
  </w:num>
  <w:num w:numId="15">
    <w:abstractNumId w:val="12"/>
  </w:num>
  <w:num w:numId="16">
    <w:abstractNumId w:val="32"/>
  </w:num>
  <w:num w:numId="17">
    <w:abstractNumId w:val="35"/>
  </w:num>
  <w:num w:numId="18">
    <w:abstractNumId w:val="29"/>
  </w:num>
  <w:num w:numId="19">
    <w:abstractNumId w:val="29"/>
  </w:num>
  <w:num w:numId="20">
    <w:abstractNumId w:val="29"/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  <w:num w:numId="25">
    <w:abstractNumId w:val="22"/>
  </w:num>
  <w:num w:numId="26">
    <w:abstractNumId w:val="34"/>
  </w:num>
  <w:num w:numId="27">
    <w:abstractNumId w:val="31"/>
  </w:num>
  <w:num w:numId="28">
    <w:abstractNumId w:val="25"/>
  </w:num>
  <w:num w:numId="29">
    <w:abstractNumId w:val="33"/>
  </w:num>
  <w:num w:numId="30">
    <w:abstractNumId w:val="14"/>
  </w:num>
  <w:num w:numId="31">
    <w:abstractNumId w:val="17"/>
  </w:num>
  <w:num w:numId="32">
    <w:abstractNumId w:val="11"/>
  </w:num>
  <w:num w:numId="33">
    <w:abstractNumId w:val="21"/>
  </w:num>
  <w:num w:numId="34">
    <w:abstractNumId w:val="24"/>
  </w:num>
  <w:num w:numId="35">
    <w:abstractNumId w:val="33"/>
    <w:lvlOverride w:ilvl="0">
      <w:startOverride w:val="1"/>
    </w:lvlOverride>
  </w:num>
  <w:num w:numId="36">
    <w:abstractNumId w:val="19"/>
  </w:num>
  <w:num w:numId="37">
    <w:abstractNumId w:val="30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C39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3E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EEB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B71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45B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B97"/>
    <w:rsid w:val="003A1D3C"/>
    <w:rsid w:val="003A223C"/>
    <w:rsid w:val="003A2952"/>
    <w:rsid w:val="003A3B3A"/>
    <w:rsid w:val="003A415A"/>
    <w:rsid w:val="003A4576"/>
    <w:rsid w:val="003A45BC"/>
    <w:rsid w:val="003A47C7"/>
    <w:rsid w:val="003A5093"/>
    <w:rsid w:val="003A50FA"/>
    <w:rsid w:val="003A517F"/>
    <w:rsid w:val="003A54B9"/>
    <w:rsid w:val="003A6283"/>
    <w:rsid w:val="003A63D3"/>
    <w:rsid w:val="003A6762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028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518"/>
    <w:rsid w:val="00421CE9"/>
    <w:rsid w:val="00422B5D"/>
    <w:rsid w:val="00422B62"/>
    <w:rsid w:val="00422B9E"/>
    <w:rsid w:val="00422D45"/>
    <w:rsid w:val="00422E7E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E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956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BC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22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732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9F2"/>
    <w:rsid w:val="00566CDC"/>
    <w:rsid w:val="00566D2D"/>
    <w:rsid w:val="00567212"/>
    <w:rsid w:val="005678B2"/>
    <w:rsid w:val="0057199F"/>
    <w:rsid w:val="00572360"/>
    <w:rsid w:val="005723E6"/>
    <w:rsid w:val="005729D3"/>
    <w:rsid w:val="00572AAB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736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B44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84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B26"/>
    <w:rsid w:val="006B3C99"/>
    <w:rsid w:val="006B3D40"/>
    <w:rsid w:val="006B42A7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5F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635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6A0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54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E84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604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EC9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F6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EA7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0D2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ED0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FEC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8ED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D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0E8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7DF"/>
    <w:rsid w:val="00B15D7C"/>
    <w:rsid w:val="00B16FF4"/>
    <w:rsid w:val="00B17395"/>
    <w:rsid w:val="00B17AF0"/>
    <w:rsid w:val="00B202F4"/>
    <w:rsid w:val="00B2146A"/>
    <w:rsid w:val="00B21883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44C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61F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9A5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EE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82C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EF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3AF"/>
    <w:rsid w:val="00CC37C7"/>
    <w:rsid w:val="00CC395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BC2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8A1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CFC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B0"/>
    <w:rsid w:val="00E96BAC"/>
    <w:rsid w:val="00E96E24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2AF"/>
    <w:rsid w:val="00EB2635"/>
    <w:rsid w:val="00EB2A3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FC1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133"/>
    <w:rsid w:val="00F5735D"/>
    <w:rsid w:val="00F57966"/>
    <w:rsid w:val="00F60262"/>
    <w:rsid w:val="00F603DE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BA0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9D542A"/>
  <w15:chartTrackingRefBased/>
  <w15:docId w15:val="{59C838BB-8985-49EE-827D-A68EED6A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AF83365A98491A9298B10994C1D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26C8D-DF91-49CB-BD65-6E8D63057A56}"/>
      </w:docPartPr>
      <w:docPartBody>
        <w:p w:rsidR="00CF02E1" w:rsidRDefault="00CF02E1">
          <w:pPr>
            <w:pStyle w:val="F0AF83365A98491A9298B10994C1D5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F22F1B65044CB284BEE0FC896E5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01E05-78D0-43CF-829A-D1DF04A4441A}"/>
      </w:docPartPr>
      <w:docPartBody>
        <w:p w:rsidR="00CF02E1" w:rsidRDefault="00CF02E1">
          <w:pPr>
            <w:pStyle w:val="FBF22F1B65044CB284BEE0FC896E50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D314388D3144E2AEB96BA633B86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F6BF9-3A84-419B-91AB-3083701C1A4A}"/>
      </w:docPartPr>
      <w:docPartBody>
        <w:p w:rsidR="00CF02E1" w:rsidRDefault="00CF02E1">
          <w:pPr>
            <w:pStyle w:val="EFD314388D3144E2AEB96BA633B86C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9EC740D5584FF18E204A828A484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AC438-5565-4B7B-9E8C-72D6D3790E3F}"/>
      </w:docPartPr>
      <w:docPartBody>
        <w:p w:rsidR="00CF02E1" w:rsidRDefault="00CF02E1">
          <w:pPr>
            <w:pStyle w:val="119EC740D5584FF18E204A828A484DBE"/>
          </w:pPr>
          <w:r>
            <w:t xml:space="preserve"> </w:t>
          </w:r>
        </w:p>
      </w:docPartBody>
    </w:docPart>
    <w:docPart>
      <w:docPartPr>
        <w:name w:val="073F4919B4E4462C8920273237980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066DC-054A-4371-9296-6EC83CFB3D74}"/>
      </w:docPartPr>
      <w:docPartBody>
        <w:p w:rsidR="00D11A5E" w:rsidRDefault="00D11A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E1"/>
    <w:rsid w:val="00155F3C"/>
    <w:rsid w:val="002F15C6"/>
    <w:rsid w:val="00365444"/>
    <w:rsid w:val="00CF02E1"/>
    <w:rsid w:val="00D11A5E"/>
    <w:rsid w:val="00DD305B"/>
    <w:rsid w:val="00D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02E1"/>
    <w:rPr>
      <w:color w:val="F4B083" w:themeColor="accent2" w:themeTint="99"/>
    </w:rPr>
  </w:style>
  <w:style w:type="paragraph" w:customStyle="1" w:styleId="F0AF83365A98491A9298B10994C1D577">
    <w:name w:val="F0AF83365A98491A9298B10994C1D577"/>
  </w:style>
  <w:style w:type="paragraph" w:customStyle="1" w:styleId="AEF10522AECE40AB98A60FB643D48F9C">
    <w:name w:val="AEF10522AECE40AB98A60FB643D48F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1D0CD6C41E4666AF7D350410C40F2E">
    <w:name w:val="891D0CD6C41E4666AF7D350410C40F2E"/>
  </w:style>
  <w:style w:type="paragraph" w:customStyle="1" w:styleId="FBF22F1B65044CB284BEE0FC896E5027">
    <w:name w:val="FBF22F1B65044CB284BEE0FC896E5027"/>
  </w:style>
  <w:style w:type="paragraph" w:customStyle="1" w:styleId="2FECDE51AEC248968BB3FD9782707891">
    <w:name w:val="2FECDE51AEC248968BB3FD9782707891"/>
  </w:style>
  <w:style w:type="paragraph" w:customStyle="1" w:styleId="160DCECD1574482BBB76EEAD94A1D017">
    <w:name w:val="160DCECD1574482BBB76EEAD94A1D017"/>
  </w:style>
  <w:style w:type="paragraph" w:customStyle="1" w:styleId="EFD314388D3144E2AEB96BA633B86CBA">
    <w:name w:val="EFD314388D3144E2AEB96BA633B86CBA"/>
  </w:style>
  <w:style w:type="paragraph" w:customStyle="1" w:styleId="119EC740D5584FF18E204A828A484DBE">
    <w:name w:val="119EC740D5584FF18E204A828A484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30DDB-686C-42EC-801B-790EAF69FEC0}"/>
</file>

<file path=customXml/itemProps2.xml><?xml version="1.0" encoding="utf-8"?>
<ds:datastoreItem xmlns:ds="http://schemas.openxmlformats.org/officeDocument/2006/customXml" ds:itemID="{9152B283-E14F-4D58-AC10-37F5713CD5A7}"/>
</file>

<file path=customXml/itemProps3.xml><?xml version="1.0" encoding="utf-8"?>
<ds:datastoreItem xmlns:ds="http://schemas.openxmlformats.org/officeDocument/2006/customXml" ds:itemID="{FF86B60C-EC40-4C00-91B4-094E6658B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496</Words>
  <Characters>3204</Characters>
  <Application>Microsoft Office Word</Application>
  <DocSecurity>0</DocSecurity>
  <Lines>59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59 Ett ändamålsenligt skydd för tryck  och yttrandefriheten</vt:lpstr>
      <vt:lpstr>
      </vt:lpstr>
    </vt:vector>
  </TitlesOfParts>
  <Company>Sveriges riksdag</Company>
  <LinksUpToDate>false</LinksUpToDate>
  <CharactersWithSpaces>3681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