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747FEC" w:rsidTr="00DF706C">
        <w:tc>
          <w:tcPr>
            <w:tcW w:w="2268" w:type="dxa"/>
          </w:tcPr>
          <w:p w:rsidR="00747FEC" w:rsidRDefault="00747FEC" w:rsidP="00DF706C">
            <w:pPr>
              <w:framePr w:w="4400" w:h="1644" w:wrap="notBeside" w:vAnchor="page" w:hAnchor="page" w:x="6573" w:y="721"/>
              <w:rPr>
                <w:rFonts w:ascii="TradeGothic" w:hAnsi="TradeGothic"/>
                <w:i/>
                <w:sz w:val="18"/>
              </w:rPr>
            </w:pPr>
            <w:r>
              <w:rPr>
                <w:rFonts w:ascii="TradeGothic" w:hAnsi="TradeGothic"/>
                <w:i/>
                <w:sz w:val="18"/>
              </w:rPr>
              <w:t>SLUTLIG</w:t>
            </w:r>
          </w:p>
        </w:tc>
        <w:tc>
          <w:tcPr>
            <w:tcW w:w="2347" w:type="dxa"/>
            <w:gridSpan w:val="2"/>
          </w:tcPr>
          <w:p w:rsidR="00747FEC" w:rsidRDefault="00747FEC" w:rsidP="00DF706C">
            <w:pPr>
              <w:framePr w:w="4400" w:h="1644" w:wrap="notBeside" w:vAnchor="page" w:hAnchor="page" w:x="6573" w:y="721"/>
              <w:rPr>
                <w:rFonts w:ascii="TradeGothic" w:hAnsi="TradeGothic"/>
                <w:i/>
                <w:sz w:val="18"/>
              </w:rPr>
            </w:pPr>
          </w:p>
        </w:tc>
      </w:tr>
      <w:tr w:rsidR="00747FEC" w:rsidTr="00DF706C">
        <w:tc>
          <w:tcPr>
            <w:tcW w:w="2268" w:type="dxa"/>
          </w:tcPr>
          <w:p w:rsidR="00747FEC" w:rsidRDefault="00747FEC" w:rsidP="00DF706C">
            <w:pPr>
              <w:framePr w:w="4400" w:h="1644" w:wrap="notBeside" w:vAnchor="page" w:hAnchor="page" w:x="6573" w:y="721"/>
              <w:rPr>
                <w:rFonts w:ascii="TradeGothic" w:hAnsi="TradeGothic"/>
                <w:b/>
              </w:rPr>
            </w:pPr>
            <w:r>
              <w:rPr>
                <w:rFonts w:ascii="TradeGothic" w:hAnsi="TradeGothic"/>
                <w:b/>
                <w:sz w:val="22"/>
              </w:rPr>
              <w:t xml:space="preserve">Kommenterad dagordning </w:t>
            </w:r>
          </w:p>
        </w:tc>
        <w:tc>
          <w:tcPr>
            <w:tcW w:w="2347" w:type="dxa"/>
            <w:gridSpan w:val="2"/>
          </w:tcPr>
          <w:p w:rsidR="00747FEC" w:rsidRDefault="00747FEC" w:rsidP="00DF706C">
            <w:pPr>
              <w:framePr w:w="4400" w:h="1644" w:wrap="notBeside" w:vAnchor="page" w:hAnchor="page" w:x="6573" w:y="721"/>
              <w:rPr>
                <w:rFonts w:ascii="TradeGothic" w:hAnsi="TradeGothic"/>
                <w:b/>
              </w:rPr>
            </w:pPr>
          </w:p>
        </w:tc>
      </w:tr>
      <w:tr w:rsidR="00747FEC" w:rsidTr="00DF706C">
        <w:tc>
          <w:tcPr>
            <w:tcW w:w="3402" w:type="dxa"/>
            <w:gridSpan w:val="2"/>
          </w:tcPr>
          <w:p w:rsidR="00747FEC" w:rsidRDefault="00747FEC" w:rsidP="00DF706C">
            <w:pPr>
              <w:framePr w:w="4400" w:h="1644" w:wrap="notBeside" w:vAnchor="page" w:hAnchor="page" w:x="6573" w:y="721"/>
            </w:pPr>
          </w:p>
          <w:p w:rsidR="00747FEC" w:rsidRDefault="00747FEC" w:rsidP="00DF706C">
            <w:pPr>
              <w:framePr w:w="4400" w:h="1644" w:wrap="notBeside" w:vAnchor="page" w:hAnchor="page" w:x="6573" w:y="721"/>
            </w:pPr>
          </w:p>
        </w:tc>
        <w:tc>
          <w:tcPr>
            <w:tcW w:w="1213" w:type="dxa"/>
          </w:tcPr>
          <w:p w:rsidR="00747FEC" w:rsidRDefault="00747FEC" w:rsidP="00DF706C">
            <w:pPr>
              <w:framePr w:w="4400" w:h="1644" w:wrap="notBeside" w:vAnchor="page" w:hAnchor="page" w:x="6573" w:y="721"/>
            </w:pPr>
          </w:p>
        </w:tc>
      </w:tr>
      <w:tr w:rsidR="00747FEC" w:rsidTr="00DF706C">
        <w:tc>
          <w:tcPr>
            <w:tcW w:w="2268" w:type="dxa"/>
          </w:tcPr>
          <w:p w:rsidR="00747FEC" w:rsidRDefault="00747FEC" w:rsidP="00DF706C">
            <w:pPr>
              <w:framePr w:w="4400" w:h="1644" w:wrap="notBeside" w:vAnchor="page" w:hAnchor="page" w:x="6573" w:y="721"/>
            </w:pPr>
          </w:p>
        </w:tc>
        <w:tc>
          <w:tcPr>
            <w:tcW w:w="2347" w:type="dxa"/>
            <w:gridSpan w:val="2"/>
          </w:tcPr>
          <w:p w:rsidR="00747FEC" w:rsidRDefault="00747FEC" w:rsidP="00DF706C">
            <w:pPr>
              <w:framePr w:w="4400" w:h="1644" w:wrap="notBeside" w:vAnchor="page" w:hAnchor="page" w:x="6573" w:y="721"/>
            </w:pPr>
          </w:p>
        </w:tc>
      </w:tr>
      <w:tr w:rsidR="00747FEC" w:rsidTr="00DF706C">
        <w:tc>
          <w:tcPr>
            <w:tcW w:w="2268" w:type="dxa"/>
          </w:tcPr>
          <w:p w:rsidR="00747FEC" w:rsidRDefault="00747FEC" w:rsidP="00DF706C">
            <w:pPr>
              <w:framePr w:w="4400" w:h="1644" w:wrap="notBeside" w:vAnchor="page" w:hAnchor="page" w:x="6573" w:y="721"/>
            </w:pPr>
          </w:p>
        </w:tc>
        <w:tc>
          <w:tcPr>
            <w:tcW w:w="2347" w:type="dxa"/>
            <w:gridSpan w:val="2"/>
          </w:tcPr>
          <w:p w:rsidR="00747FEC" w:rsidRDefault="00747FEC" w:rsidP="00DF706C">
            <w:pPr>
              <w:framePr w:w="4400" w:h="1644" w:wrap="notBeside" w:vAnchor="page" w:hAnchor="page" w:x="6573" w:y="721"/>
            </w:pPr>
          </w:p>
        </w:tc>
      </w:tr>
    </w:tbl>
    <w:p w:rsidR="00747FEC" w:rsidRPr="00F14D93" w:rsidRDefault="00747FEC" w:rsidP="005F24BF">
      <w:pPr>
        <w:rPr>
          <w:vanish/>
        </w:rPr>
      </w:pPr>
    </w:p>
    <w:tbl>
      <w:tblPr>
        <w:tblW w:w="0" w:type="auto"/>
        <w:tblLayout w:type="fixed"/>
        <w:tblLook w:val="0000"/>
      </w:tblPr>
      <w:tblGrid>
        <w:gridCol w:w="4911"/>
      </w:tblGrid>
      <w:tr w:rsidR="00747FEC" w:rsidTr="00DF706C">
        <w:trPr>
          <w:trHeight w:val="284"/>
        </w:trPr>
        <w:tc>
          <w:tcPr>
            <w:tcW w:w="4911" w:type="dxa"/>
          </w:tcPr>
          <w:p w:rsidR="00747FEC" w:rsidRDefault="00747FEC" w:rsidP="00DF706C">
            <w:pPr>
              <w:pStyle w:val="Avsndare"/>
              <w:framePr w:h="2483" w:wrap="notBeside" w:x="1504"/>
              <w:rPr>
                <w:b/>
                <w:i w:val="0"/>
                <w:sz w:val="22"/>
              </w:rPr>
            </w:pPr>
            <w:r>
              <w:rPr>
                <w:b/>
                <w:i w:val="0"/>
                <w:sz w:val="22"/>
              </w:rPr>
              <w:t>Landsbygdsdepartementet</w:t>
            </w:r>
          </w:p>
        </w:tc>
      </w:tr>
      <w:tr w:rsidR="00747FEC" w:rsidTr="00DF706C">
        <w:trPr>
          <w:trHeight w:val="284"/>
        </w:trPr>
        <w:tc>
          <w:tcPr>
            <w:tcW w:w="4911" w:type="dxa"/>
          </w:tcPr>
          <w:p w:rsidR="00747FEC" w:rsidRDefault="00747FEC" w:rsidP="00DF706C">
            <w:pPr>
              <w:pStyle w:val="Avsndare"/>
              <w:framePr w:h="2483" w:wrap="notBeside" w:x="1504"/>
              <w:rPr>
                <w:bCs/>
                <w:iCs/>
              </w:rPr>
            </w:pPr>
          </w:p>
        </w:tc>
      </w:tr>
      <w:tr w:rsidR="00747FEC" w:rsidTr="00DF706C">
        <w:trPr>
          <w:trHeight w:val="284"/>
        </w:trPr>
        <w:tc>
          <w:tcPr>
            <w:tcW w:w="4911" w:type="dxa"/>
          </w:tcPr>
          <w:p w:rsidR="00747FEC" w:rsidRDefault="00747FEC" w:rsidP="00DF706C">
            <w:pPr>
              <w:pStyle w:val="Avsndare"/>
              <w:framePr w:h="2483" w:wrap="notBeside" w:x="1504"/>
              <w:rPr>
                <w:bCs/>
                <w:iCs/>
              </w:rPr>
            </w:pPr>
          </w:p>
        </w:tc>
      </w:tr>
    </w:tbl>
    <w:p w:rsidR="00747FEC" w:rsidRPr="00191F50" w:rsidRDefault="00747FEC" w:rsidP="005F24BF">
      <w:pPr>
        <w:framePr w:w="4400" w:h="2523" w:wrap="notBeside" w:vAnchor="page" w:hAnchor="page" w:x="6453" w:y="2445"/>
        <w:ind w:left="142"/>
      </w:pPr>
      <w:r>
        <w:t>2012-04-16</w:t>
      </w:r>
    </w:p>
    <w:p w:rsidR="00747FEC" w:rsidRDefault="00747FEC" w:rsidP="005F24BF">
      <w:pPr>
        <w:pStyle w:val="RKrubrik"/>
        <w:pBdr>
          <w:bottom w:val="single" w:sz="4" w:space="1" w:color="000000"/>
        </w:pBdr>
        <w:spacing w:before="0" w:after="0"/>
      </w:pPr>
      <w:r>
        <w:t>Kommenterad dagordning inför Jordbruks- och fiskerådet den 26-27 april</w:t>
      </w:r>
      <w:bookmarkStart w:id="0" w:name="_GoBack"/>
      <w:bookmarkEnd w:id="0"/>
      <w:r>
        <w:t xml:space="preserve"> 2012</w:t>
      </w:r>
    </w:p>
    <w:p w:rsidR="00747FEC" w:rsidRPr="005265F5" w:rsidRDefault="00747FEC" w:rsidP="005F24BF">
      <w:pPr>
        <w:pStyle w:val="RKrubrik"/>
      </w:pPr>
      <w:r>
        <w:t>1. Godkännande av dagordningen</w:t>
      </w:r>
    </w:p>
    <w:p w:rsidR="00747FEC" w:rsidRDefault="00747FEC" w:rsidP="005F24BF">
      <w:pPr>
        <w:pStyle w:val="RKrubrik"/>
        <w:rPr>
          <w:u w:val="single"/>
        </w:rPr>
      </w:pPr>
      <w:r>
        <w:rPr>
          <w:u w:val="single"/>
        </w:rPr>
        <w:t>Lagstiftningsöverläggningar</w:t>
      </w:r>
    </w:p>
    <w:p w:rsidR="00747FEC" w:rsidRPr="00191F50" w:rsidRDefault="00747FEC" w:rsidP="005F24BF">
      <w:pPr>
        <w:pStyle w:val="RKnormal"/>
        <w:rPr>
          <w:b/>
          <w:i/>
        </w:rPr>
      </w:pPr>
      <w:r w:rsidRPr="00191F50">
        <w:rPr>
          <w:b/>
          <w:i/>
        </w:rPr>
        <w:t>(Offentlig överläggning enligt artikel 16.8 i fördraget om Europeiska unionen)</w:t>
      </w:r>
    </w:p>
    <w:p w:rsidR="00747FEC" w:rsidRDefault="00747FEC" w:rsidP="005F24BF">
      <w:pPr>
        <w:pStyle w:val="RKrubrik"/>
      </w:pPr>
      <w:r>
        <w:t>2. Godkännande av A-punktslistan</w:t>
      </w:r>
    </w:p>
    <w:p w:rsidR="00747FEC" w:rsidRPr="00632B2A" w:rsidRDefault="00747FEC" w:rsidP="005F24BF">
      <w:pPr>
        <w:pStyle w:val="RKnormal"/>
      </w:pPr>
    </w:p>
    <w:p w:rsidR="00747FEC" w:rsidRDefault="00747FEC" w:rsidP="005F24BF">
      <w:pPr>
        <w:pStyle w:val="RKnormal"/>
      </w:pPr>
    </w:p>
    <w:p w:rsidR="00747FEC" w:rsidRPr="00191F50" w:rsidRDefault="00747FEC" w:rsidP="005F24BF">
      <w:pPr>
        <w:pStyle w:val="RKnormal"/>
        <w:rPr>
          <w:b/>
          <w:u w:val="single"/>
        </w:rPr>
      </w:pPr>
      <w:r w:rsidRPr="00191F50">
        <w:rPr>
          <w:b/>
          <w:u w:val="single"/>
        </w:rPr>
        <w:t>JORDBRUK</w:t>
      </w:r>
    </w:p>
    <w:p w:rsidR="00747FEC" w:rsidRPr="00191F50" w:rsidRDefault="00747FEC" w:rsidP="005F24BF">
      <w:pPr>
        <w:pStyle w:val="RKnormal"/>
        <w:rPr>
          <w:b/>
        </w:rPr>
      </w:pPr>
    </w:p>
    <w:p w:rsidR="00747FEC" w:rsidRDefault="00747FEC" w:rsidP="005F24BF">
      <w:pPr>
        <w:pStyle w:val="RKnormal"/>
        <w:rPr>
          <w:b/>
        </w:rPr>
      </w:pPr>
      <w:r w:rsidRPr="00191F50">
        <w:rPr>
          <w:b/>
        </w:rPr>
        <w:t>SÄRSKILDA JORDBRUKSKOMMITTÉN</w:t>
      </w:r>
    </w:p>
    <w:p w:rsidR="00747FEC" w:rsidRDefault="00747FEC" w:rsidP="005F24BF">
      <w:pPr>
        <w:pStyle w:val="Heading3"/>
        <w:rPr>
          <w:b/>
        </w:rPr>
      </w:pPr>
      <w:r>
        <w:rPr>
          <w:b/>
        </w:rPr>
        <w:t>3. Reformen av den gemensamma jordbrukspolitiken: direktstöd</w:t>
      </w:r>
    </w:p>
    <w:p w:rsidR="00747FEC" w:rsidRPr="00814556" w:rsidRDefault="00747FEC" w:rsidP="00814556">
      <w:pPr>
        <w:spacing w:line="240" w:lineRule="auto"/>
        <w:ind w:left="1134" w:hanging="567"/>
        <w:rPr>
          <w:b/>
          <w:i/>
          <w:szCs w:val="24"/>
        </w:rPr>
      </w:pPr>
      <w:r w:rsidRPr="00814556">
        <w:rPr>
          <w:b/>
          <w:i/>
          <w:szCs w:val="24"/>
        </w:rPr>
        <w:t>a)</w:t>
      </w:r>
      <w:r w:rsidRPr="00814556">
        <w:rPr>
          <w:b/>
          <w:i/>
          <w:szCs w:val="24"/>
        </w:rPr>
        <w:tab/>
        <w:t>Yngre jordbrukare, smågårdar, frivilligt kopplat stöd och kompletterande direktstöd för jordbrukare i områden med naturliga begränsningar</w:t>
      </w:r>
    </w:p>
    <w:p w:rsidR="00747FEC" w:rsidRPr="00814556" w:rsidRDefault="00747FEC" w:rsidP="00814556">
      <w:pPr>
        <w:spacing w:line="240" w:lineRule="auto"/>
        <w:ind w:left="1134" w:hanging="567"/>
        <w:rPr>
          <w:b/>
          <w:i/>
          <w:szCs w:val="24"/>
        </w:rPr>
      </w:pPr>
      <w:r w:rsidRPr="00814556">
        <w:rPr>
          <w:b/>
          <w:i/>
          <w:szCs w:val="24"/>
        </w:rPr>
        <w:t>b)</w:t>
      </w:r>
      <w:r w:rsidRPr="00814556">
        <w:rPr>
          <w:b/>
          <w:i/>
          <w:szCs w:val="24"/>
        </w:rPr>
        <w:tab/>
        <w:t>Intern omfördelning, aktiv jordbrukare och begränsat stöd till stora gårdar</w:t>
      </w:r>
    </w:p>
    <w:p w:rsidR="00747FEC" w:rsidRPr="00814556" w:rsidRDefault="00747FEC" w:rsidP="00814556">
      <w:pPr>
        <w:pStyle w:val="RKnormal"/>
      </w:pPr>
    </w:p>
    <w:p w:rsidR="00747FEC" w:rsidRDefault="00747FEC" w:rsidP="005F24BF">
      <w:pPr>
        <w:pStyle w:val="RKnormal"/>
        <w:rPr>
          <w:b/>
          <w:i/>
        </w:rPr>
      </w:pPr>
      <w:r w:rsidRPr="00876137">
        <w:rPr>
          <w:b/>
          <w:i/>
        </w:rPr>
        <w:t xml:space="preserve">- </w:t>
      </w:r>
      <w:r>
        <w:rPr>
          <w:b/>
          <w:i/>
        </w:rPr>
        <w:t>Riktlinjedebatt</w:t>
      </w:r>
    </w:p>
    <w:p w:rsidR="00747FEC" w:rsidRDefault="00747FEC" w:rsidP="005F24BF">
      <w:pPr>
        <w:pStyle w:val="RKnormal"/>
        <w:rPr>
          <w:b/>
          <w:i/>
        </w:rPr>
      </w:pPr>
    </w:p>
    <w:p w:rsidR="00747FEC" w:rsidRDefault="00747FEC" w:rsidP="005F24BF">
      <w:pPr>
        <w:pStyle w:val="RKnormal"/>
        <w:rPr>
          <w:i/>
          <w:iCs/>
        </w:rPr>
      </w:pPr>
      <w:r>
        <w:rPr>
          <w:i/>
          <w:iCs/>
        </w:rPr>
        <w:t>Dokumentbeteckning</w:t>
      </w:r>
    </w:p>
    <w:p w:rsidR="00747FEC" w:rsidRPr="000D338F" w:rsidRDefault="00747FEC" w:rsidP="005F24BF">
      <w:pPr>
        <w:pStyle w:val="RKnormal"/>
        <w:rPr>
          <w:iCs/>
        </w:rPr>
      </w:pPr>
      <w:r w:rsidRPr="00814556">
        <w:rPr>
          <w:iCs/>
        </w:rPr>
        <w:t>15396/11 AGRI 679 AGRIFIN 87 CODEC 1656 + REV 1 (en/fr/de) + REV 2 (nl)</w:t>
      </w:r>
    </w:p>
    <w:p w:rsidR="00747FEC" w:rsidRDefault="00747FEC" w:rsidP="005F24BF">
      <w:pPr>
        <w:pStyle w:val="RKnormal"/>
        <w:rPr>
          <w:i/>
          <w:iCs/>
        </w:rPr>
      </w:pPr>
    </w:p>
    <w:p w:rsidR="00747FEC" w:rsidRDefault="00747FEC" w:rsidP="00C1423B">
      <w:pPr>
        <w:pStyle w:val="RKnormal"/>
        <w:rPr>
          <w:i/>
          <w:iCs/>
        </w:rPr>
      </w:pPr>
      <w:r>
        <w:rPr>
          <w:i/>
          <w:iCs/>
        </w:rPr>
        <w:t>Rättslig grund</w:t>
      </w:r>
    </w:p>
    <w:p w:rsidR="00747FEC" w:rsidRPr="00364646" w:rsidRDefault="00747FEC" w:rsidP="00C1423B">
      <w:pPr>
        <w:pStyle w:val="RKnormal"/>
        <w:rPr>
          <w:iCs/>
        </w:rPr>
      </w:pPr>
      <w:r w:rsidRPr="00364646">
        <w:rPr>
          <w:iCs/>
        </w:rPr>
        <w:t>Artikel 43.2 i fördraget om Europeiska unionens funktionssätt</w:t>
      </w:r>
      <w:r>
        <w:t>(</w:t>
      </w:r>
      <w:r w:rsidRPr="00BD3B51">
        <w:rPr>
          <w:iCs/>
        </w:rPr>
        <w:t>TFEU</w:t>
      </w:r>
      <w:r>
        <w:rPr>
          <w:iCs/>
        </w:rPr>
        <w:t>)</w:t>
      </w:r>
      <w:r w:rsidRPr="00364646">
        <w:rPr>
          <w:iCs/>
        </w:rPr>
        <w:t xml:space="preserve">, ordinarie lagstiftningsförfarande. </w:t>
      </w:r>
      <w:r>
        <w:t>B</w:t>
      </w:r>
      <w:r w:rsidRPr="00A00B0A">
        <w:t>eslut fattas av rådet med kvalificerad majoritet i medbeslutande med Europaparlamentet.</w:t>
      </w:r>
    </w:p>
    <w:p w:rsidR="00747FEC" w:rsidRDefault="00747FEC" w:rsidP="00C1423B">
      <w:pPr>
        <w:pStyle w:val="RKnormal"/>
        <w:rPr>
          <w:i/>
          <w:iCs/>
        </w:rPr>
      </w:pPr>
    </w:p>
    <w:p w:rsidR="00747FEC" w:rsidRDefault="00747FEC" w:rsidP="00C1423B">
      <w:pPr>
        <w:pStyle w:val="RKnormal"/>
        <w:rPr>
          <w:i/>
          <w:iCs/>
        </w:rPr>
      </w:pPr>
      <w:r>
        <w:rPr>
          <w:i/>
          <w:iCs/>
        </w:rPr>
        <w:t>Bakgrund</w:t>
      </w:r>
    </w:p>
    <w:p w:rsidR="00747FEC" w:rsidRDefault="00747FEC" w:rsidP="00C1423B">
      <w:pPr>
        <w:pStyle w:val="RKnormal"/>
      </w:pPr>
      <w:r w:rsidRPr="00364646">
        <w:t>Kommissionen presenterade den 12 oktober 2011 lagförslag för den framtida inriktningen av den gemensamma jordbrukspolitiken</w:t>
      </w:r>
      <w:r>
        <w:t xml:space="preserve"> (GJP)</w:t>
      </w:r>
      <w:r w:rsidRPr="00364646">
        <w:t xml:space="preserve">. </w:t>
      </w:r>
      <w:r>
        <w:t xml:space="preserve">Direktstödsförordningen diskuterades separat på rådsmötet i november 2011 och fick även stor uppmärksamhet vid rådet i mars i år, då temat var förenkling. </w:t>
      </w:r>
      <w:r w:rsidRPr="00364646">
        <w:t>Lagstiftningspaketet kommer att förhandlas under kommande år och beslut väntas i början av 2013.</w:t>
      </w:r>
    </w:p>
    <w:p w:rsidR="00747FEC" w:rsidRDefault="00747FEC" w:rsidP="00C1423B">
      <w:pPr>
        <w:pStyle w:val="RKnormal"/>
      </w:pPr>
    </w:p>
    <w:p w:rsidR="00747FEC" w:rsidRDefault="00747FEC" w:rsidP="00C1423B">
      <w:pPr>
        <w:pStyle w:val="RKnormal"/>
      </w:pPr>
      <w:r>
        <w:t>Ordförandeskapet har uppgett att diskussionen på rådsmötet den 26 april ska fokusera på:</w:t>
      </w:r>
    </w:p>
    <w:p w:rsidR="00747FEC" w:rsidRDefault="00747FEC" w:rsidP="00C1423B">
      <w:pPr>
        <w:pStyle w:val="RKnormal"/>
      </w:pPr>
    </w:p>
    <w:p w:rsidR="00747FEC" w:rsidRPr="00557B47" w:rsidRDefault="00747FEC" w:rsidP="00C1423B">
      <w:pPr>
        <w:pStyle w:val="RKnormal"/>
        <w:rPr>
          <w:i/>
        </w:rPr>
      </w:pPr>
      <w:r w:rsidRPr="00557B47">
        <w:rPr>
          <w:i/>
        </w:rPr>
        <w:t xml:space="preserve">(a) Unga brukare, småbrukare, frivilligt kopplat stöd och </w:t>
      </w:r>
      <w:r>
        <w:rPr>
          <w:i/>
        </w:rPr>
        <w:t>kompletterande direktstöd (s k top-up)</w:t>
      </w:r>
      <w:r w:rsidRPr="00557B47">
        <w:rPr>
          <w:i/>
        </w:rPr>
        <w:t xml:space="preserve"> till lantbrukare i områden med </w:t>
      </w:r>
      <w:r w:rsidRPr="00654460">
        <w:rPr>
          <w:i/>
        </w:rPr>
        <w:t>specifika naturliga begränsningar</w:t>
      </w:r>
    </w:p>
    <w:p w:rsidR="00747FEC" w:rsidRPr="00557B47" w:rsidRDefault="00747FEC" w:rsidP="00C1423B">
      <w:pPr>
        <w:pStyle w:val="RKnormal"/>
        <w:rPr>
          <w:i/>
        </w:rPr>
      </w:pPr>
      <w:r w:rsidRPr="00557B47">
        <w:rPr>
          <w:i/>
        </w:rPr>
        <w:t xml:space="preserve">(b) </w:t>
      </w:r>
      <w:r>
        <w:rPr>
          <w:i/>
        </w:rPr>
        <w:t>Nationell</w:t>
      </w:r>
      <w:r w:rsidRPr="00557B47">
        <w:rPr>
          <w:i/>
        </w:rPr>
        <w:t xml:space="preserve"> omfördelning, aktiv</w:t>
      </w:r>
      <w:r>
        <w:rPr>
          <w:i/>
        </w:rPr>
        <w:t>a</w:t>
      </w:r>
      <w:r w:rsidRPr="00557B47">
        <w:rPr>
          <w:i/>
        </w:rPr>
        <w:t xml:space="preserve"> jordbrukare och stödtak för stöd till stora gårdar(capping) </w:t>
      </w:r>
      <w:r w:rsidRPr="00557B47">
        <w:t xml:space="preserve"> </w:t>
      </w:r>
    </w:p>
    <w:p w:rsidR="00747FEC" w:rsidRDefault="00747FEC" w:rsidP="00C1423B">
      <w:pPr>
        <w:pStyle w:val="RKnormal"/>
      </w:pPr>
    </w:p>
    <w:p w:rsidR="00747FEC" w:rsidRDefault="00747FEC" w:rsidP="00C1423B">
      <w:pPr>
        <w:pStyle w:val="RKnormal"/>
      </w:pPr>
      <w:r>
        <w:t xml:space="preserve">Kommissionen föreslår en utjämning av direktstödet där huvudregeln är att alla stödrätter för grundstödet inom ett land eller en region ska ha samma värde redan år 2014, men förslaget tillåter även att stödet utjämnas senast 2019. </w:t>
      </w:r>
    </w:p>
    <w:p w:rsidR="00747FEC" w:rsidRDefault="00747FEC" w:rsidP="00C1423B">
      <w:pPr>
        <w:pStyle w:val="RKnormal"/>
      </w:pPr>
    </w:p>
    <w:p w:rsidR="00747FEC" w:rsidRDefault="00747FEC" w:rsidP="00C1423B">
      <w:pPr>
        <w:pStyle w:val="RKnormal"/>
      </w:pPr>
      <w:r>
        <w:t>Kommissionen föreslår även att två procent av direktstödet öronmärks till ett obligatoriskt tillägg till unga jordbrukare. Dessutom kan medlems</w:t>
      </w:r>
      <w:r>
        <w:softHyphen/>
        <w:t xml:space="preserve">staterna öronmärka fem procent till områden med specifika naturliga begränsningar och ytterligare en andel till produktionskopplade stöd till regioner eller sektorer med särskilda problem. Medlemsstaterna ska också erbjuda ett förenklat alternativt stöd till småbrukare. </w:t>
      </w:r>
    </w:p>
    <w:p w:rsidR="00747FEC" w:rsidRDefault="00747FEC" w:rsidP="00C1423B">
      <w:pPr>
        <w:pStyle w:val="RKnormal"/>
      </w:pPr>
    </w:p>
    <w:p w:rsidR="00747FEC" w:rsidRPr="00654460" w:rsidRDefault="00747FEC" w:rsidP="00C1423B">
      <w:pPr>
        <w:pStyle w:val="RKnormal"/>
      </w:pPr>
      <w:r>
        <w:t xml:space="preserve">Kommissionen föreslår vidare att ett progressivt stödtak ska införas i direktstödet för att begränsa nivåerna för dem som idag erhåller mest stöd. För att företag med många anställda inte ska drabbas hårt föreslås att ett avdrag för alla lönekostnader ska ske innan reduktion av stöd görs. Kommissionen föreslår även att stöd endast ska tilldelas ”aktiva brukare” enligt en föreslagen definition. </w:t>
      </w:r>
    </w:p>
    <w:p w:rsidR="00747FEC" w:rsidRDefault="00747FEC" w:rsidP="00C1423B">
      <w:pPr>
        <w:pStyle w:val="RKnormal"/>
        <w:rPr>
          <w:i/>
          <w:iCs/>
        </w:rPr>
      </w:pPr>
    </w:p>
    <w:p w:rsidR="00747FEC" w:rsidRDefault="00747FEC" w:rsidP="00C1423B">
      <w:pPr>
        <w:pStyle w:val="RKnormal"/>
        <w:rPr>
          <w:i/>
          <w:iCs/>
        </w:rPr>
      </w:pPr>
      <w:r>
        <w:rPr>
          <w:i/>
          <w:iCs/>
        </w:rPr>
        <w:t>Förslag till svensk ståndpunkt</w:t>
      </w:r>
    </w:p>
    <w:p w:rsidR="00747FEC" w:rsidRPr="00364646" w:rsidRDefault="00747FEC" w:rsidP="00C1423B">
      <w:pPr>
        <w:pStyle w:val="RKnormal"/>
        <w:rPr>
          <w:iCs/>
        </w:rPr>
      </w:pPr>
      <w:r w:rsidRPr="00364646">
        <w:rPr>
          <w:iCs/>
        </w:rPr>
        <w:t xml:space="preserve">Regeringen anser att det krävs fortsatt kraftfulla reformer av den gemensamma jordbrukspolitiken som leder till väsentligt lägre utgifter och ökad marknadsorientering. Sverige ska vara en konstruktiv förhandlingspart i syfte att få så stort inflytande som möjligt över slutresultatet. </w:t>
      </w:r>
    </w:p>
    <w:p w:rsidR="00747FEC" w:rsidRDefault="00747FEC" w:rsidP="00C1423B">
      <w:pPr>
        <w:pStyle w:val="RKnormal"/>
        <w:rPr>
          <w:iCs/>
        </w:rPr>
      </w:pPr>
    </w:p>
    <w:p w:rsidR="00747FEC" w:rsidRDefault="00747FEC" w:rsidP="00C90A70">
      <w:pPr>
        <w:pStyle w:val="RKnormal"/>
        <w:rPr>
          <w:iCs/>
        </w:rPr>
      </w:pPr>
      <w:r>
        <w:rPr>
          <w:iCs/>
        </w:rPr>
        <w:t xml:space="preserve">Avseende direktstöd anser regeringen </w:t>
      </w:r>
      <w:r w:rsidRPr="00364646">
        <w:rPr>
          <w:iCs/>
        </w:rPr>
        <w:t xml:space="preserve">att </w:t>
      </w:r>
      <w:r>
        <w:rPr>
          <w:iCs/>
        </w:rPr>
        <w:t>dessa</w:t>
      </w:r>
      <w:r w:rsidRPr="00364646">
        <w:rPr>
          <w:iCs/>
        </w:rPr>
        <w:t xml:space="preserve"> ska frikopplas helt</w:t>
      </w:r>
      <w:r>
        <w:rPr>
          <w:iCs/>
        </w:rPr>
        <w:t xml:space="preserve"> från produktionen och</w:t>
      </w:r>
      <w:r w:rsidRPr="00364646">
        <w:rPr>
          <w:iCs/>
        </w:rPr>
        <w:t xml:space="preserve"> utjämnas genom att de högsta stöden sänks och på sikt fasas ut.</w:t>
      </w:r>
      <w:r>
        <w:rPr>
          <w:iCs/>
        </w:rPr>
        <w:t xml:space="preserve"> </w:t>
      </w:r>
      <w:r w:rsidRPr="00364646">
        <w:rPr>
          <w:iCs/>
        </w:rPr>
        <w:t>Rege</w:t>
      </w:r>
      <w:r>
        <w:rPr>
          <w:iCs/>
        </w:rPr>
        <w:t xml:space="preserve">ringen anser därför att kommissionens förslag är </w:t>
      </w:r>
      <w:r w:rsidRPr="00364646">
        <w:rPr>
          <w:iCs/>
        </w:rPr>
        <w:t xml:space="preserve">otillräckligt när det gäller </w:t>
      </w:r>
      <w:r w:rsidRPr="00AE0EE2">
        <w:rPr>
          <w:iCs/>
        </w:rPr>
        <w:t>kopplade stöd.</w:t>
      </w:r>
      <w:r>
        <w:rPr>
          <w:iCs/>
        </w:rPr>
        <w:t xml:space="preserve"> Ingen ny frikoppling föreslås och medlemsländerna ges i vissa fall möjlighet att produktionskoppla mer stöd än vad som är fallet i dag</w:t>
      </w:r>
      <w:r w:rsidRPr="00364646">
        <w:rPr>
          <w:iCs/>
        </w:rPr>
        <w:t>.</w:t>
      </w:r>
      <w:r>
        <w:rPr>
          <w:iCs/>
        </w:rPr>
        <w:t xml:space="preserve"> </w:t>
      </w:r>
    </w:p>
    <w:p w:rsidR="00747FEC" w:rsidRDefault="00747FEC" w:rsidP="00C1423B">
      <w:pPr>
        <w:pStyle w:val="RKnormal"/>
        <w:rPr>
          <w:iCs/>
        </w:rPr>
      </w:pPr>
    </w:p>
    <w:p w:rsidR="00747FEC" w:rsidRDefault="00747FEC" w:rsidP="00C1423B">
      <w:pPr>
        <w:pStyle w:val="RKnormal"/>
        <w:rPr>
          <w:iCs/>
        </w:rPr>
      </w:pPr>
      <w:r>
        <w:rPr>
          <w:iCs/>
        </w:rPr>
        <w:t>Regeringen anser att såväl stödet</w:t>
      </w:r>
      <w:r w:rsidRPr="00364646">
        <w:rPr>
          <w:iCs/>
        </w:rPr>
        <w:t xml:space="preserve"> </w:t>
      </w:r>
      <w:r>
        <w:rPr>
          <w:iCs/>
        </w:rPr>
        <w:t xml:space="preserve">till </w:t>
      </w:r>
      <w:r w:rsidRPr="00F547DB">
        <w:rPr>
          <w:iCs/>
        </w:rPr>
        <w:t>unga</w:t>
      </w:r>
      <w:r>
        <w:rPr>
          <w:iCs/>
        </w:rPr>
        <w:t xml:space="preserve"> jordbrukare som till småbrukare ska vara frivilliga</w:t>
      </w:r>
      <w:r w:rsidRPr="00364646">
        <w:rPr>
          <w:iCs/>
        </w:rPr>
        <w:t xml:space="preserve"> för medlemsstaterna att tillämpa.</w:t>
      </w:r>
      <w:r>
        <w:rPr>
          <w:iCs/>
        </w:rPr>
        <w:t xml:space="preserve"> Stöden riskerar att leda till ökad administration och samtidigt bli ineffektiva eftersom </w:t>
      </w:r>
      <w:r>
        <w:t>jordbruksstrukturen varierar mellan länder och regioner och därför hanteras på ett bra sätt inom pelare II.</w:t>
      </w:r>
    </w:p>
    <w:p w:rsidR="00747FEC" w:rsidRDefault="00747FEC" w:rsidP="00C1423B">
      <w:pPr>
        <w:pStyle w:val="RKnormal"/>
        <w:rPr>
          <w:iCs/>
        </w:rPr>
      </w:pPr>
    </w:p>
    <w:p w:rsidR="00747FEC" w:rsidRDefault="00747FEC" w:rsidP="00C1423B">
      <w:pPr>
        <w:pStyle w:val="RKnormal"/>
        <w:rPr>
          <w:iCs/>
        </w:rPr>
      </w:pPr>
      <w:r w:rsidRPr="00364646">
        <w:rPr>
          <w:iCs/>
        </w:rPr>
        <w:t xml:space="preserve">Avseende stödet till </w:t>
      </w:r>
      <w:r w:rsidRPr="00AE0EE2">
        <w:rPr>
          <w:iCs/>
        </w:rPr>
        <w:t xml:space="preserve">områden med </w:t>
      </w:r>
      <w:r>
        <w:rPr>
          <w:iCs/>
        </w:rPr>
        <w:t xml:space="preserve">specifika </w:t>
      </w:r>
      <w:r w:rsidRPr="00AE0EE2">
        <w:rPr>
          <w:iCs/>
        </w:rPr>
        <w:t xml:space="preserve">naturliga begränsningar </w:t>
      </w:r>
      <w:r w:rsidRPr="00364646">
        <w:rPr>
          <w:iCs/>
        </w:rPr>
        <w:t xml:space="preserve">inom pelare </w:t>
      </w:r>
      <w:r>
        <w:rPr>
          <w:iCs/>
        </w:rPr>
        <w:t xml:space="preserve">I stödjer regeringen förslaget om att detta ska vara frivilligt för medlemsstaten att tillämpa. Det kan </w:t>
      </w:r>
      <w:r w:rsidRPr="00364646">
        <w:rPr>
          <w:iCs/>
        </w:rPr>
        <w:t>finn</w:t>
      </w:r>
      <w:r>
        <w:rPr>
          <w:iCs/>
        </w:rPr>
        <w:t>a</w:t>
      </w:r>
      <w:r w:rsidRPr="00364646">
        <w:rPr>
          <w:iCs/>
        </w:rPr>
        <w:t xml:space="preserve">s en risk </w:t>
      </w:r>
      <w:r>
        <w:rPr>
          <w:iCs/>
        </w:rPr>
        <w:t xml:space="preserve">för </w:t>
      </w:r>
      <w:r w:rsidRPr="00364646">
        <w:rPr>
          <w:iCs/>
        </w:rPr>
        <w:t>överlappning med motsvarande stöd inom pelare II</w:t>
      </w:r>
      <w:r>
        <w:rPr>
          <w:iCs/>
        </w:rPr>
        <w:t xml:space="preserve"> och man bör söka så effektiva lösningar som möjligt</w:t>
      </w:r>
      <w:r w:rsidRPr="00364646">
        <w:rPr>
          <w:iCs/>
        </w:rPr>
        <w:t>.</w:t>
      </w:r>
      <w:r>
        <w:rPr>
          <w:iCs/>
        </w:rPr>
        <w:t xml:space="preserve"> </w:t>
      </w:r>
    </w:p>
    <w:p w:rsidR="00747FEC" w:rsidRDefault="00747FEC" w:rsidP="00C1423B">
      <w:pPr>
        <w:pStyle w:val="RKnormal"/>
        <w:rPr>
          <w:iCs/>
        </w:rPr>
      </w:pPr>
    </w:p>
    <w:p w:rsidR="00747FEC" w:rsidRPr="00B21E82" w:rsidRDefault="00747FEC" w:rsidP="00C1423B">
      <w:pPr>
        <w:pStyle w:val="RKnormal"/>
        <w:rPr>
          <w:iCs/>
        </w:rPr>
      </w:pPr>
      <w:r>
        <w:rPr>
          <w:iCs/>
        </w:rPr>
        <w:t xml:space="preserve">Regeringen anser att det är viktigt att den nationella omfördelningen sker på ett smidigt och administrativt enkelt sätt, samt under socialt acceptabla villkor för enskilda brukare. </w:t>
      </w:r>
    </w:p>
    <w:p w:rsidR="00747FEC" w:rsidRDefault="00747FEC" w:rsidP="00C1423B">
      <w:pPr>
        <w:pStyle w:val="RKnormal"/>
        <w:rPr>
          <w:iCs/>
        </w:rPr>
      </w:pPr>
    </w:p>
    <w:p w:rsidR="00747FEC" w:rsidRDefault="00747FEC" w:rsidP="00C1423B">
      <w:pPr>
        <w:pStyle w:val="RKnormal"/>
        <w:rPr>
          <w:iCs/>
        </w:rPr>
      </w:pPr>
      <w:r w:rsidRPr="00364646">
        <w:rPr>
          <w:iCs/>
        </w:rPr>
        <w:t xml:space="preserve">Regeringen </w:t>
      </w:r>
      <w:r>
        <w:rPr>
          <w:iCs/>
        </w:rPr>
        <w:t>stödjer idén om att direktstödet ska gå till aktiva brukare men ifrågasätter kommissionens förslag till</w:t>
      </w:r>
      <w:r w:rsidRPr="00364646">
        <w:rPr>
          <w:iCs/>
        </w:rPr>
        <w:t xml:space="preserve"> definition, eftersom den är allt för administrativt betungande och </w:t>
      </w:r>
      <w:r>
        <w:rPr>
          <w:iCs/>
        </w:rPr>
        <w:t xml:space="preserve">dessutom inte är </w:t>
      </w:r>
      <w:r w:rsidRPr="00364646">
        <w:rPr>
          <w:iCs/>
        </w:rPr>
        <w:t xml:space="preserve">tillräckligt träffsäker. </w:t>
      </w:r>
    </w:p>
    <w:p w:rsidR="00747FEC" w:rsidRPr="00364646" w:rsidRDefault="00747FEC" w:rsidP="00C1423B">
      <w:pPr>
        <w:pStyle w:val="RKnormal"/>
        <w:rPr>
          <w:iCs/>
        </w:rPr>
      </w:pPr>
    </w:p>
    <w:p w:rsidR="00747FEC" w:rsidRPr="00364646" w:rsidRDefault="00747FEC" w:rsidP="00C1423B">
      <w:pPr>
        <w:pStyle w:val="RKnormal"/>
        <w:rPr>
          <w:iCs/>
        </w:rPr>
      </w:pPr>
      <w:r w:rsidRPr="00364646">
        <w:rPr>
          <w:iCs/>
        </w:rPr>
        <w:t xml:space="preserve">Regeringen är tveksam till kommissionens förslag om att införa </w:t>
      </w:r>
      <w:r w:rsidRPr="005B67EF">
        <w:rPr>
          <w:iCs/>
        </w:rPr>
        <w:t>stödtak,</w:t>
      </w:r>
      <w:r w:rsidRPr="00364646">
        <w:rPr>
          <w:iCs/>
        </w:rPr>
        <w:t xml:space="preserve"> då detta kan kringgås genom en uppdelning av företag och därmed riskerar att bli ett ineffektivt verktyg. En sådan gräns leder till ökade administrativa kostnader och kan innebära att jordbruksföretagens strukturutveckling hämmas</w:t>
      </w:r>
      <w:r>
        <w:rPr>
          <w:iCs/>
        </w:rPr>
        <w:t>.</w:t>
      </w:r>
    </w:p>
    <w:p w:rsidR="00747FEC" w:rsidRDefault="00747FEC" w:rsidP="00C1423B">
      <w:pPr>
        <w:pStyle w:val="RKnormal"/>
        <w:rPr>
          <w:i/>
          <w:iCs/>
        </w:rPr>
      </w:pPr>
    </w:p>
    <w:p w:rsidR="00747FEC" w:rsidRDefault="00747FEC" w:rsidP="00C1423B">
      <w:pPr>
        <w:pStyle w:val="RKnormal"/>
        <w:rPr>
          <w:i/>
          <w:iCs/>
        </w:rPr>
      </w:pPr>
      <w:r>
        <w:rPr>
          <w:i/>
          <w:iCs/>
        </w:rPr>
        <w:t>EU-nämnden och MJU</w:t>
      </w:r>
    </w:p>
    <w:p w:rsidR="00747FEC" w:rsidRPr="00F547DB" w:rsidRDefault="00747FEC" w:rsidP="00C1423B">
      <w:pPr>
        <w:pStyle w:val="RKnormal"/>
      </w:pPr>
      <w:r w:rsidRPr="0020122D">
        <w:t>Frågan var föremål för information i MJU och samråd med EU-nämnden inför Jordbruks- och fiskerådet i november 2011.</w:t>
      </w:r>
      <w:r>
        <w:t xml:space="preserve"> Frågan var även föremål för särskild överläggning i MJU den 16 februari 2011. </w:t>
      </w:r>
    </w:p>
    <w:p w:rsidR="00747FEC" w:rsidRDefault="00747FEC" w:rsidP="005F24BF">
      <w:pPr>
        <w:pStyle w:val="RKnormal"/>
        <w:rPr>
          <w:b/>
          <w:i/>
        </w:rPr>
      </w:pPr>
    </w:p>
    <w:p w:rsidR="00747FEC" w:rsidRDefault="00747FEC" w:rsidP="005F24BF">
      <w:pPr>
        <w:pStyle w:val="RKnormal"/>
        <w:rPr>
          <w:b/>
          <w:i/>
        </w:rPr>
      </w:pPr>
    </w:p>
    <w:p w:rsidR="00747FEC" w:rsidRPr="00191F50" w:rsidRDefault="00747FEC" w:rsidP="005F24BF">
      <w:pPr>
        <w:pStyle w:val="RKnormal"/>
        <w:rPr>
          <w:b/>
          <w:u w:val="single"/>
        </w:rPr>
      </w:pPr>
      <w:r>
        <w:rPr>
          <w:b/>
          <w:u w:val="single"/>
        </w:rPr>
        <w:t>FISKE</w:t>
      </w:r>
    </w:p>
    <w:p w:rsidR="00747FEC" w:rsidRPr="00191F50" w:rsidRDefault="00747FEC" w:rsidP="005F24BF">
      <w:pPr>
        <w:pStyle w:val="RKnormal"/>
        <w:rPr>
          <w:b/>
        </w:rPr>
      </w:pPr>
    </w:p>
    <w:p w:rsidR="00747FEC" w:rsidRPr="00191F50" w:rsidRDefault="00747FEC" w:rsidP="005F24BF">
      <w:pPr>
        <w:pStyle w:val="RKnormal"/>
        <w:rPr>
          <w:b/>
        </w:rPr>
      </w:pPr>
      <w:r>
        <w:rPr>
          <w:b/>
        </w:rPr>
        <w:t>FRÅGOR FÖR COREPER</w:t>
      </w:r>
    </w:p>
    <w:p w:rsidR="00747FEC" w:rsidRDefault="00747FEC" w:rsidP="005F24BF">
      <w:pPr>
        <w:pStyle w:val="RKrubrik"/>
      </w:pPr>
      <w:r>
        <w:t xml:space="preserve">4. Förslag till Europaparlamentets och rådets förordning om den gemensamma fiskeripolitiken  </w:t>
      </w:r>
    </w:p>
    <w:p w:rsidR="00747FEC" w:rsidRDefault="00747FEC" w:rsidP="00284F5B">
      <w:pPr>
        <w:pStyle w:val="RKnormal"/>
      </w:pPr>
    </w:p>
    <w:p w:rsidR="00747FEC" w:rsidRPr="00191F50" w:rsidRDefault="00747FEC" w:rsidP="00594ED7">
      <w:pPr>
        <w:pStyle w:val="RKnormal"/>
        <w:rPr>
          <w:b/>
          <w:i/>
        </w:rPr>
      </w:pPr>
      <w:r w:rsidRPr="00191F50">
        <w:rPr>
          <w:b/>
          <w:i/>
        </w:rPr>
        <w:t>- Riktlinjedebatt</w:t>
      </w:r>
    </w:p>
    <w:p w:rsidR="00747FEC" w:rsidRDefault="00747FEC" w:rsidP="00594ED7">
      <w:pPr>
        <w:pStyle w:val="RKnormal"/>
      </w:pPr>
    </w:p>
    <w:p w:rsidR="00747FEC" w:rsidRDefault="00747FEC" w:rsidP="00594ED7">
      <w:pPr>
        <w:pStyle w:val="RKnormal"/>
        <w:rPr>
          <w:i/>
          <w:iCs/>
        </w:rPr>
      </w:pPr>
      <w:r>
        <w:rPr>
          <w:i/>
          <w:iCs/>
        </w:rPr>
        <w:t>Dokumentbeteckning</w:t>
      </w:r>
    </w:p>
    <w:p w:rsidR="00747FEC" w:rsidRDefault="00747FEC" w:rsidP="00594ED7">
      <w:pPr>
        <w:pStyle w:val="RKnormal"/>
        <w:rPr>
          <w:i/>
          <w:iCs/>
        </w:rPr>
      </w:pPr>
      <w:r w:rsidRPr="00814556">
        <w:rPr>
          <w:iCs/>
        </w:rPr>
        <w:t>12514/11 PECHE 187 CODEC 1166</w:t>
      </w:r>
    </w:p>
    <w:p w:rsidR="00747FEC" w:rsidRDefault="00747FEC" w:rsidP="00594ED7">
      <w:pPr>
        <w:pStyle w:val="RKnormal"/>
        <w:rPr>
          <w:i/>
          <w:iCs/>
        </w:rPr>
      </w:pPr>
    </w:p>
    <w:p w:rsidR="00747FEC" w:rsidRDefault="00747FEC" w:rsidP="00594ED7">
      <w:pPr>
        <w:pStyle w:val="RKnormal"/>
        <w:rPr>
          <w:i/>
          <w:iCs/>
        </w:rPr>
      </w:pPr>
      <w:r>
        <w:rPr>
          <w:i/>
          <w:iCs/>
        </w:rPr>
        <w:t>Rättslig grund</w:t>
      </w:r>
    </w:p>
    <w:p w:rsidR="00747FEC" w:rsidRPr="006572D4" w:rsidRDefault="00747FEC" w:rsidP="0020122D">
      <w:pPr>
        <w:pStyle w:val="RKnormal"/>
        <w:rPr>
          <w:iCs/>
        </w:rPr>
      </w:pPr>
      <w:r>
        <w:rPr>
          <w:iCs/>
        </w:rPr>
        <w:t>Artikel 43.2 i Fördraget om Europeiska u</w:t>
      </w:r>
      <w:r w:rsidRPr="006572D4">
        <w:rPr>
          <w:iCs/>
        </w:rPr>
        <w:t>nionens funktionssätt</w:t>
      </w:r>
      <w:r>
        <w:rPr>
          <w:iCs/>
        </w:rPr>
        <w:t xml:space="preserve"> </w:t>
      </w:r>
      <w:r>
        <w:t>(</w:t>
      </w:r>
      <w:r w:rsidRPr="00BD3B51">
        <w:rPr>
          <w:iCs/>
        </w:rPr>
        <w:t>TFEU</w:t>
      </w:r>
      <w:r>
        <w:rPr>
          <w:iCs/>
        </w:rPr>
        <w:t>),</w:t>
      </w:r>
      <w:r w:rsidRPr="0020122D">
        <w:rPr>
          <w:iCs/>
        </w:rPr>
        <w:t xml:space="preserve"> </w:t>
      </w:r>
      <w:r w:rsidRPr="00364646">
        <w:rPr>
          <w:iCs/>
        </w:rPr>
        <w:t>ordinarie lagstiftningsförfarande</w:t>
      </w:r>
      <w:r w:rsidRPr="006572D4">
        <w:rPr>
          <w:iCs/>
        </w:rPr>
        <w:t>.</w:t>
      </w:r>
      <w:r w:rsidRPr="00181F3B">
        <w:t xml:space="preserve"> </w:t>
      </w:r>
      <w:r>
        <w:t>B</w:t>
      </w:r>
      <w:r w:rsidRPr="00A00B0A">
        <w:t>eslut fattas av rådet med kvalificerad majoritet i medbeslutande med Europaparlamentet.</w:t>
      </w:r>
    </w:p>
    <w:p w:rsidR="00747FEC" w:rsidRPr="00594ED7" w:rsidRDefault="00747FEC" w:rsidP="00284F5B">
      <w:pPr>
        <w:pStyle w:val="RKnormal"/>
      </w:pPr>
    </w:p>
    <w:p w:rsidR="00747FEC" w:rsidRPr="00814556" w:rsidRDefault="00747FEC" w:rsidP="00814556">
      <w:pPr>
        <w:spacing w:line="240" w:lineRule="auto"/>
        <w:ind w:left="567"/>
        <w:rPr>
          <w:b/>
          <w:i/>
        </w:rPr>
      </w:pPr>
      <w:r w:rsidRPr="00814556">
        <w:rPr>
          <w:b/>
          <w:i/>
        </w:rPr>
        <w:t>a)</w:t>
      </w:r>
      <w:r w:rsidRPr="00814556">
        <w:rPr>
          <w:b/>
          <w:i/>
        </w:rPr>
        <w:tab/>
        <w:t>Regionalisering</w:t>
      </w:r>
    </w:p>
    <w:p w:rsidR="00747FEC" w:rsidRPr="00814556" w:rsidRDefault="00747FEC" w:rsidP="00814556">
      <w:pPr>
        <w:spacing w:line="240" w:lineRule="auto"/>
        <w:ind w:left="567"/>
        <w:rPr>
          <w:b/>
          <w:i/>
        </w:rPr>
      </w:pPr>
      <w:r w:rsidRPr="00814556">
        <w:rPr>
          <w:b/>
          <w:i/>
        </w:rPr>
        <w:tab/>
      </w:r>
    </w:p>
    <w:p w:rsidR="00747FEC" w:rsidRDefault="00747FEC" w:rsidP="00B71024">
      <w:pPr>
        <w:pStyle w:val="RKnormal"/>
        <w:rPr>
          <w:i/>
          <w:iCs/>
        </w:rPr>
      </w:pPr>
      <w:r>
        <w:rPr>
          <w:i/>
          <w:iCs/>
        </w:rPr>
        <w:t>Bakgrund</w:t>
      </w:r>
    </w:p>
    <w:p w:rsidR="00747FEC" w:rsidRPr="002306B3" w:rsidRDefault="00747FEC" w:rsidP="00B71024">
      <w:r w:rsidRPr="002306B3">
        <w:t xml:space="preserve">I </w:t>
      </w:r>
      <w:r>
        <w:t xml:space="preserve">reformen av </w:t>
      </w:r>
      <w:r w:rsidRPr="002306B3">
        <w:t>den gemensamma fi</w:t>
      </w:r>
      <w:r>
        <w:t xml:space="preserve">skeripolitiken, GFP, ingår </w:t>
      </w:r>
      <w:r w:rsidRPr="002306B3">
        <w:t xml:space="preserve">förslag </w:t>
      </w:r>
      <w:r>
        <w:t xml:space="preserve">som ska leda </w:t>
      </w:r>
      <w:r w:rsidRPr="002306B3">
        <w:t xml:space="preserve">till </w:t>
      </w:r>
      <w:r>
        <w:t xml:space="preserve">en ökad </w:t>
      </w:r>
      <w:r w:rsidRPr="002306B3">
        <w:t>regionalisering</w:t>
      </w:r>
      <w:r>
        <w:t>. I kommissionens förslag ges m</w:t>
      </w:r>
      <w:r w:rsidRPr="002306B3">
        <w:t xml:space="preserve">edlemsländerna rätt att anta nationella bestämmelser i syfte att uppnå de </w:t>
      </w:r>
      <w:r>
        <w:t>av EU fastställda målen i G</w:t>
      </w:r>
      <w:r w:rsidRPr="002306B3">
        <w:t>FP:n</w:t>
      </w:r>
      <w:r>
        <w:t>,</w:t>
      </w:r>
      <w:r w:rsidRPr="002306B3">
        <w:t xml:space="preserve"> </w:t>
      </w:r>
      <w:r>
        <w:t>både</w:t>
      </w:r>
      <w:r w:rsidRPr="002306B3">
        <w:t xml:space="preserve"> i genomförandet av de fleråriga plane</w:t>
      </w:r>
      <w:r>
        <w:t>rna och i det tekniska ramverket</w:t>
      </w:r>
      <w:r w:rsidRPr="002306B3">
        <w:t>. Förslaget om regionalisering har under hösten 2011 väckt frågor hos medlemsländerna om hur kommissionen ser på det praktiska genomförandet av regionalisering</w:t>
      </w:r>
      <w:r>
        <w:t>en</w:t>
      </w:r>
      <w:r w:rsidRPr="002306B3">
        <w:t xml:space="preserve">. Kommissionären Maria Damanaki översände </w:t>
      </w:r>
      <w:r>
        <w:t xml:space="preserve">i </w:t>
      </w:r>
      <w:r w:rsidRPr="002306B3">
        <w:t>december 2011 ett brev till det inkommande danska ordförandeskapet (dok.18181/11 PECHE 381 CODEC 2446)</w:t>
      </w:r>
      <w:r>
        <w:t xml:space="preserve"> </w:t>
      </w:r>
      <w:r w:rsidRPr="002306B3">
        <w:t>där hon försök</w:t>
      </w:r>
      <w:r>
        <w:t>te förtydliga kommissionens förslag rörande fyra av de centrala delarna i reformförslaget: regionalisering; överförbara fiskenyttjanderätter (TFC); utkastförbud; samt målet att uppnå maximalt hållbart nyttjande (MSY) av bestånden till år 2015</w:t>
      </w:r>
      <w:r w:rsidRPr="002306B3">
        <w:t>. I brevet framgår att syftet med regionalisering är att gå från en ”mi</w:t>
      </w:r>
      <w:r>
        <w:t>kroförvaltning</w:t>
      </w:r>
      <w:r w:rsidRPr="002306B3">
        <w:t xml:space="preserve">” på unionsnivå till ett mer decentraliserat genomförande av förvaltningen samt att säkerställa att förvaltningsåtgärder och regler är anpassade </w:t>
      </w:r>
      <w:r>
        <w:t xml:space="preserve">till </w:t>
      </w:r>
      <w:r w:rsidRPr="002306B3">
        <w:t>varje havsområde</w:t>
      </w:r>
      <w:r>
        <w:t>s specifika förutsättningar</w:t>
      </w:r>
      <w:r w:rsidRPr="002306B3">
        <w:t xml:space="preserve">. Vidare framgår att regionaliseringen kan bygga på redan existerande samarbeten mellan medlemsländerna (t.ex. Baltfish och Scheveningen). I somliga havsområden måste denna typ </w:t>
      </w:r>
      <w:r>
        <w:t xml:space="preserve">av samarbeten dock utvecklas. </w:t>
      </w:r>
    </w:p>
    <w:p w:rsidR="00747FEC" w:rsidRDefault="00747FEC" w:rsidP="00B71024">
      <w:pPr>
        <w:pStyle w:val="RKnormal"/>
      </w:pPr>
    </w:p>
    <w:p w:rsidR="00747FEC" w:rsidRDefault="00747FEC" w:rsidP="00B71024">
      <w:pPr>
        <w:pStyle w:val="RKnormal"/>
        <w:rPr>
          <w:i/>
          <w:iCs/>
        </w:rPr>
      </w:pPr>
      <w:r>
        <w:t>Det danska ordförandeskapet planerar ett meningsutbyte om regionaliseringsförslagen vid Jordbruks- och fiskerådet.</w:t>
      </w:r>
    </w:p>
    <w:p w:rsidR="00747FEC" w:rsidRDefault="00747FEC" w:rsidP="00B71024">
      <w:pPr>
        <w:pStyle w:val="RKnormal"/>
        <w:rPr>
          <w:i/>
          <w:iCs/>
        </w:rPr>
      </w:pPr>
    </w:p>
    <w:p w:rsidR="00747FEC" w:rsidRDefault="00747FEC" w:rsidP="00B71024">
      <w:pPr>
        <w:pStyle w:val="RKnormal"/>
        <w:rPr>
          <w:i/>
          <w:iCs/>
        </w:rPr>
      </w:pPr>
      <w:r>
        <w:rPr>
          <w:i/>
          <w:iCs/>
        </w:rPr>
        <w:t>Förslag till svensk ståndpunkt</w:t>
      </w:r>
    </w:p>
    <w:p w:rsidR="00747FEC" w:rsidRDefault="00747FEC" w:rsidP="00962597">
      <w:r>
        <w:t>Regeringen anser att en ökad regionalisering är en viktig del i reformen av GFP och stödjer kommissionens ambition att undvika mikroförvaltning på unionsnivå och därmed göra förvaltningen ner adaptiv. Regeringen vill se en regional anpassning med syftet att få</w:t>
      </w:r>
      <w:r w:rsidRPr="002306B3">
        <w:t xml:space="preserve"> en engagerad, ansvarstagande näring där efterlevnaden</w:t>
      </w:r>
      <w:r>
        <w:t xml:space="preserve"> av regelverket förstärks. </w:t>
      </w:r>
    </w:p>
    <w:p w:rsidR="00747FEC" w:rsidRDefault="00747FEC" w:rsidP="00B71024">
      <w:pPr>
        <w:pStyle w:val="RKnormal"/>
        <w:rPr>
          <w:i/>
          <w:iCs/>
        </w:rPr>
      </w:pPr>
    </w:p>
    <w:p w:rsidR="00747FEC" w:rsidRDefault="00747FEC" w:rsidP="00B71024">
      <w:pPr>
        <w:pStyle w:val="RKnormal"/>
        <w:rPr>
          <w:i/>
          <w:iCs/>
        </w:rPr>
      </w:pPr>
    </w:p>
    <w:p w:rsidR="00747FEC" w:rsidRDefault="00747FEC" w:rsidP="00B71024">
      <w:pPr>
        <w:pStyle w:val="RKnormal"/>
        <w:rPr>
          <w:i/>
          <w:iCs/>
        </w:rPr>
      </w:pPr>
    </w:p>
    <w:p w:rsidR="00747FEC" w:rsidRDefault="00747FEC" w:rsidP="00B71024">
      <w:pPr>
        <w:pStyle w:val="RKnormal"/>
        <w:rPr>
          <w:i/>
          <w:iCs/>
        </w:rPr>
      </w:pPr>
    </w:p>
    <w:p w:rsidR="00747FEC" w:rsidRDefault="00747FEC" w:rsidP="00B71024">
      <w:pPr>
        <w:pStyle w:val="RKnormal"/>
        <w:rPr>
          <w:i/>
          <w:iCs/>
        </w:rPr>
      </w:pPr>
    </w:p>
    <w:p w:rsidR="00747FEC" w:rsidRDefault="00747FEC" w:rsidP="00B71024">
      <w:pPr>
        <w:pStyle w:val="RKnormal"/>
        <w:rPr>
          <w:i/>
          <w:iCs/>
        </w:rPr>
      </w:pPr>
    </w:p>
    <w:p w:rsidR="00747FEC" w:rsidRDefault="00747FEC" w:rsidP="00B71024">
      <w:pPr>
        <w:pStyle w:val="RKnormal"/>
        <w:rPr>
          <w:i/>
          <w:iCs/>
        </w:rPr>
      </w:pPr>
      <w:r>
        <w:rPr>
          <w:i/>
          <w:iCs/>
        </w:rPr>
        <w:t>EU-nämnden och MJU</w:t>
      </w:r>
    </w:p>
    <w:p w:rsidR="00747FEC" w:rsidRDefault="00747FEC" w:rsidP="00594ED7">
      <w:pPr>
        <w:pStyle w:val="RKnormal"/>
      </w:pPr>
      <w:r>
        <w:t>Frågan var senast föremål för samråd med EU-nämnden och information i MJU inför Jordbruks- och fiskerådet i juli 2011. Frågan var även föremål för särskild överläggning i MJU den 27 oktober 2011.</w:t>
      </w:r>
    </w:p>
    <w:p w:rsidR="00747FEC" w:rsidRDefault="00747FEC" w:rsidP="00F30D65">
      <w:pPr>
        <w:pStyle w:val="RKrubrik"/>
      </w:pPr>
    </w:p>
    <w:p w:rsidR="00747FEC" w:rsidRPr="00814556" w:rsidRDefault="00747FEC" w:rsidP="00F30D65">
      <w:pPr>
        <w:spacing w:line="240" w:lineRule="auto"/>
        <w:ind w:left="567"/>
        <w:rPr>
          <w:b/>
          <w:i/>
        </w:rPr>
      </w:pPr>
      <w:r>
        <w:rPr>
          <w:b/>
          <w:i/>
        </w:rPr>
        <w:t>b</w:t>
      </w:r>
      <w:r w:rsidRPr="00814556">
        <w:rPr>
          <w:b/>
          <w:i/>
        </w:rPr>
        <w:t>)</w:t>
      </w:r>
      <w:r w:rsidRPr="00814556">
        <w:rPr>
          <w:b/>
          <w:i/>
        </w:rPr>
        <w:tab/>
        <w:t>Överlåtbara fiskenyttjanderätter</w:t>
      </w:r>
    </w:p>
    <w:p w:rsidR="00747FEC" w:rsidRDefault="00747FEC" w:rsidP="00F30D65">
      <w:pPr>
        <w:pStyle w:val="RKnormal"/>
        <w:rPr>
          <w:i/>
          <w:iCs/>
        </w:rPr>
      </w:pPr>
    </w:p>
    <w:p w:rsidR="00747FEC" w:rsidRDefault="00747FEC" w:rsidP="00F30D65">
      <w:pPr>
        <w:pStyle w:val="RKnormal"/>
        <w:rPr>
          <w:i/>
          <w:iCs/>
        </w:rPr>
      </w:pPr>
      <w:r>
        <w:rPr>
          <w:i/>
          <w:iCs/>
        </w:rPr>
        <w:t>Bakgrund</w:t>
      </w:r>
    </w:p>
    <w:p w:rsidR="00747FEC" w:rsidRDefault="00747FEC" w:rsidP="00962597">
      <w:pPr>
        <w:pStyle w:val="RKnormal"/>
        <w:rPr>
          <w:i/>
          <w:iCs/>
        </w:rPr>
      </w:pPr>
      <w:r w:rsidRPr="004D50FE">
        <w:rPr>
          <w:iCs/>
        </w:rPr>
        <w:t>Den gemensamma fiskeripolitiken har misslyckats med att lösa problemet med överkapaciteten i fiskeflottan. I reformen av den gemensa</w:t>
      </w:r>
      <w:r>
        <w:rPr>
          <w:iCs/>
        </w:rPr>
        <w:t>mma fiskeripolitiken har kommissionen</w:t>
      </w:r>
      <w:r w:rsidRPr="004D50FE">
        <w:rPr>
          <w:iCs/>
        </w:rPr>
        <w:t xml:space="preserve"> </w:t>
      </w:r>
      <w:r>
        <w:rPr>
          <w:iCs/>
        </w:rPr>
        <w:t xml:space="preserve">därför </w:t>
      </w:r>
      <w:r w:rsidRPr="004D50FE">
        <w:rPr>
          <w:iCs/>
        </w:rPr>
        <w:t>f</w:t>
      </w:r>
      <w:r>
        <w:rPr>
          <w:iCs/>
        </w:rPr>
        <w:t>öreslagit ett system med överlåt</w:t>
      </w:r>
      <w:r w:rsidRPr="004D50FE">
        <w:rPr>
          <w:iCs/>
        </w:rPr>
        <w:t xml:space="preserve">bara fiskerättigheter </w:t>
      </w:r>
      <w:r>
        <w:rPr>
          <w:iCs/>
        </w:rPr>
        <w:t>(</w:t>
      </w:r>
      <w:r w:rsidRPr="00B70F59">
        <w:t>Transferable fishing concessions</w:t>
      </w:r>
      <w:r w:rsidRPr="00B70F59">
        <w:rPr>
          <w:iCs/>
        </w:rPr>
        <w:t>,</w:t>
      </w:r>
      <w:r>
        <w:rPr>
          <w:iCs/>
        </w:rPr>
        <w:t xml:space="preserve"> </w:t>
      </w:r>
      <w:r w:rsidRPr="004D50FE">
        <w:rPr>
          <w:iCs/>
        </w:rPr>
        <w:t>TFC</w:t>
      </w:r>
      <w:r>
        <w:rPr>
          <w:iCs/>
        </w:rPr>
        <w:t xml:space="preserve">) </w:t>
      </w:r>
      <w:r w:rsidRPr="004D50FE">
        <w:rPr>
          <w:iCs/>
        </w:rPr>
        <w:t xml:space="preserve">som </w:t>
      </w:r>
      <w:r>
        <w:rPr>
          <w:iCs/>
        </w:rPr>
        <w:t xml:space="preserve">är tänkt att </w:t>
      </w:r>
      <w:r w:rsidRPr="004D50FE">
        <w:rPr>
          <w:iCs/>
        </w:rPr>
        <w:t>bidra till att överkapaciteten i fiskeflottan minskar. K</w:t>
      </w:r>
      <w:r>
        <w:rPr>
          <w:iCs/>
        </w:rPr>
        <w:t xml:space="preserve">ommissionen </w:t>
      </w:r>
      <w:r w:rsidRPr="004D50FE">
        <w:rPr>
          <w:iCs/>
        </w:rPr>
        <w:t xml:space="preserve">föreslår att </w:t>
      </w:r>
      <w:r>
        <w:rPr>
          <w:iCs/>
        </w:rPr>
        <w:t xml:space="preserve">systemet ska vara obligatoriskt </w:t>
      </w:r>
      <w:r w:rsidRPr="004D50FE">
        <w:rPr>
          <w:iCs/>
        </w:rPr>
        <w:t xml:space="preserve">för alla </w:t>
      </w:r>
      <w:r>
        <w:rPr>
          <w:iCs/>
        </w:rPr>
        <w:t xml:space="preserve">medlemsstater och </w:t>
      </w:r>
      <w:r w:rsidRPr="004D50FE">
        <w:rPr>
          <w:iCs/>
        </w:rPr>
        <w:t xml:space="preserve">träda i kraft från och med </w:t>
      </w:r>
      <w:r>
        <w:rPr>
          <w:iCs/>
        </w:rPr>
        <w:t xml:space="preserve">år </w:t>
      </w:r>
      <w:r w:rsidRPr="004D50FE">
        <w:rPr>
          <w:iCs/>
        </w:rPr>
        <w:t>2014</w:t>
      </w:r>
      <w:r>
        <w:rPr>
          <w:iCs/>
        </w:rPr>
        <w:t xml:space="preserve">. Systemet, som ska gälla </w:t>
      </w:r>
      <w:r w:rsidRPr="004D50FE">
        <w:rPr>
          <w:iCs/>
        </w:rPr>
        <w:t xml:space="preserve">på nationell nivå </w:t>
      </w:r>
      <w:r>
        <w:rPr>
          <w:iCs/>
        </w:rPr>
        <w:t xml:space="preserve">och för </w:t>
      </w:r>
      <w:r w:rsidRPr="004D50FE">
        <w:rPr>
          <w:iCs/>
        </w:rPr>
        <w:t xml:space="preserve">alla </w:t>
      </w:r>
      <w:r>
        <w:rPr>
          <w:iCs/>
        </w:rPr>
        <w:t xml:space="preserve">kommersiella </w:t>
      </w:r>
      <w:r w:rsidRPr="004D50FE">
        <w:rPr>
          <w:iCs/>
        </w:rPr>
        <w:t>arter</w:t>
      </w:r>
      <w:r>
        <w:rPr>
          <w:iCs/>
        </w:rPr>
        <w:t>, innebär enligt förslaget att</w:t>
      </w:r>
      <w:r w:rsidRPr="004D50FE">
        <w:rPr>
          <w:iCs/>
        </w:rPr>
        <w:t xml:space="preserve"> </w:t>
      </w:r>
      <w:r>
        <w:rPr>
          <w:iCs/>
        </w:rPr>
        <w:t xml:space="preserve">TFC </w:t>
      </w:r>
      <w:r w:rsidRPr="004D50FE">
        <w:rPr>
          <w:iCs/>
        </w:rPr>
        <w:t>introducera</w:t>
      </w:r>
      <w:r>
        <w:rPr>
          <w:iCs/>
        </w:rPr>
        <w:t>s</w:t>
      </w:r>
      <w:r w:rsidRPr="004D50FE">
        <w:rPr>
          <w:iCs/>
        </w:rPr>
        <w:t xml:space="preserve"> </w:t>
      </w:r>
      <w:r>
        <w:rPr>
          <w:iCs/>
        </w:rPr>
        <w:t xml:space="preserve">för fartyg </w:t>
      </w:r>
      <w:r w:rsidRPr="004D50FE">
        <w:rPr>
          <w:iCs/>
        </w:rPr>
        <w:t>över 12 meter</w:t>
      </w:r>
      <w:r>
        <w:rPr>
          <w:iCs/>
        </w:rPr>
        <w:t xml:space="preserve"> </w:t>
      </w:r>
      <w:r w:rsidRPr="004D50FE">
        <w:rPr>
          <w:iCs/>
        </w:rPr>
        <w:t xml:space="preserve">samt för alla </w:t>
      </w:r>
      <w:r>
        <w:rPr>
          <w:iCs/>
        </w:rPr>
        <w:t>fartyg</w:t>
      </w:r>
      <w:r w:rsidRPr="004D50FE">
        <w:rPr>
          <w:iCs/>
        </w:rPr>
        <w:t xml:space="preserve"> med </w:t>
      </w:r>
      <w:r>
        <w:rPr>
          <w:iCs/>
        </w:rPr>
        <w:t xml:space="preserve">släpredskap. </w:t>
      </w:r>
    </w:p>
    <w:p w:rsidR="00747FEC" w:rsidRDefault="00747FEC" w:rsidP="00962597">
      <w:pPr>
        <w:pStyle w:val="RKnormal"/>
        <w:rPr>
          <w:i/>
          <w:iCs/>
        </w:rPr>
      </w:pPr>
    </w:p>
    <w:p w:rsidR="00747FEC" w:rsidRDefault="00747FEC" w:rsidP="00962597">
      <w:pPr>
        <w:pStyle w:val="RKnormal"/>
        <w:rPr>
          <w:i/>
          <w:iCs/>
        </w:rPr>
      </w:pPr>
      <w:r>
        <w:rPr>
          <w:i/>
          <w:iCs/>
        </w:rPr>
        <w:t>Förslag till svensk ståndpunkt</w:t>
      </w:r>
    </w:p>
    <w:p w:rsidR="00747FEC" w:rsidRPr="00F07AA8" w:rsidRDefault="00747FEC" w:rsidP="00962597">
      <w:pPr>
        <w:pStyle w:val="RKnormal"/>
        <w:rPr>
          <w:iCs/>
        </w:rPr>
      </w:pPr>
      <w:r w:rsidRPr="004D50FE">
        <w:rPr>
          <w:iCs/>
        </w:rPr>
        <w:t xml:space="preserve">Regeringen ställer sig i grunden positiv till ett system med nationella överförbara fiskerättigheter. Regeringen anser </w:t>
      </w:r>
      <w:r>
        <w:rPr>
          <w:iCs/>
        </w:rPr>
        <w:t xml:space="preserve">dock </w:t>
      </w:r>
      <w:r w:rsidRPr="004D50FE">
        <w:rPr>
          <w:iCs/>
        </w:rPr>
        <w:t>att överförbara rättigheter till fiske på nationell nivå inte får drabba det kustnära småskaliga fisket och våra kustsamhällen</w:t>
      </w:r>
      <w:r>
        <w:rPr>
          <w:iCs/>
        </w:rPr>
        <w:t>, vilket innebär att regeringen anser att den föreslagna 12-metersgränsen, inklusive regleringen vad gäller släpredskap, inte är lämplig</w:t>
      </w:r>
      <w:r w:rsidRPr="004D50FE">
        <w:rPr>
          <w:noProof/>
        </w:rPr>
        <w:t>.</w:t>
      </w:r>
      <w:r>
        <w:rPr>
          <w:noProof/>
        </w:rPr>
        <w:t xml:space="preserve"> Istället bör principen vara att huvuddelen av flottan omfattas av systemet.</w:t>
      </w:r>
      <w:r w:rsidRPr="004D50FE">
        <w:rPr>
          <w:noProof/>
        </w:rPr>
        <w:t xml:space="preserve"> Regeringen anser att medlemsstater </w:t>
      </w:r>
      <w:r w:rsidRPr="00F07AA8">
        <w:rPr>
          <w:noProof/>
        </w:rPr>
        <w:t xml:space="preserve">bör ges möjlighet att själva bestämma </w:t>
      </w:r>
      <w:r>
        <w:rPr>
          <w:noProof/>
        </w:rPr>
        <w:t xml:space="preserve">kriterier för </w:t>
      </w:r>
      <w:r w:rsidRPr="00F07AA8">
        <w:rPr>
          <w:noProof/>
        </w:rPr>
        <w:t xml:space="preserve">hur stor andel </w:t>
      </w:r>
      <w:r w:rsidRPr="00B70F59">
        <w:rPr>
          <w:noProof/>
        </w:rPr>
        <w:t xml:space="preserve">av kvoten </w:t>
      </w:r>
      <w:r w:rsidRPr="00F07AA8">
        <w:rPr>
          <w:noProof/>
        </w:rPr>
        <w:t xml:space="preserve">som kan reserveras till fiskare för att </w:t>
      </w:r>
      <w:r>
        <w:rPr>
          <w:noProof/>
        </w:rPr>
        <w:t>exempelvis</w:t>
      </w:r>
      <w:r w:rsidRPr="00F07AA8">
        <w:rPr>
          <w:noProof/>
        </w:rPr>
        <w:t xml:space="preserve"> främja vissa regioner, selekt</w:t>
      </w:r>
      <w:r>
        <w:rPr>
          <w:noProof/>
        </w:rPr>
        <w:t xml:space="preserve">iva fiskemetoder och nyrekrytering. </w:t>
      </w:r>
      <w:r w:rsidRPr="00F07AA8">
        <w:rPr>
          <w:rFonts w:cs="Arial"/>
          <w:noProof/>
        </w:rPr>
        <w:t>Regeringen anser också att giltighetstiden för TFC kan ifrågasättas och att en kortare period på minst 10 år</w:t>
      </w:r>
      <w:r w:rsidRPr="00B70F59">
        <w:rPr>
          <w:rFonts w:cs="Arial"/>
          <w:noProof/>
        </w:rPr>
        <w:t xml:space="preserve"> </w:t>
      </w:r>
      <w:r w:rsidRPr="00F07AA8">
        <w:rPr>
          <w:rFonts w:cs="Arial"/>
          <w:noProof/>
        </w:rPr>
        <w:t xml:space="preserve">bör gälla, iställer för de minst 15 </w:t>
      </w:r>
      <w:r>
        <w:rPr>
          <w:rFonts w:cs="Arial"/>
          <w:noProof/>
        </w:rPr>
        <w:t>år som föreslås av kommissionen.</w:t>
      </w:r>
    </w:p>
    <w:p w:rsidR="00747FEC" w:rsidRDefault="00747FEC" w:rsidP="00F30D65">
      <w:pPr>
        <w:pStyle w:val="RKnormal"/>
        <w:rPr>
          <w:i/>
          <w:iCs/>
        </w:rPr>
      </w:pPr>
    </w:p>
    <w:p w:rsidR="00747FEC" w:rsidRDefault="00747FEC" w:rsidP="00F30D65">
      <w:pPr>
        <w:pStyle w:val="RKnormal"/>
        <w:rPr>
          <w:i/>
          <w:iCs/>
        </w:rPr>
      </w:pPr>
      <w:r>
        <w:rPr>
          <w:i/>
          <w:iCs/>
        </w:rPr>
        <w:t>EU-nämnden och MJU</w:t>
      </w:r>
    </w:p>
    <w:p w:rsidR="00747FEC" w:rsidRDefault="00747FEC" w:rsidP="00F30D65">
      <w:pPr>
        <w:pStyle w:val="RKnormal"/>
      </w:pPr>
      <w:r>
        <w:t>Frågan var senast föremål för samråd med EU-nämnden och information i MJU inför Jordbruks- och fiskerådet i juli 2011. Frågan var även föremål för särskild överläggning i MJU den 27 oktober 2011.</w:t>
      </w:r>
    </w:p>
    <w:p w:rsidR="00747FEC" w:rsidRDefault="00747FEC" w:rsidP="00F30D65">
      <w:pPr>
        <w:pStyle w:val="RKnormal"/>
      </w:pPr>
    </w:p>
    <w:p w:rsidR="00747FEC" w:rsidRDefault="00747FEC" w:rsidP="00F30D65"/>
    <w:p w:rsidR="00747FEC" w:rsidRPr="00191F50" w:rsidRDefault="00747FEC" w:rsidP="005F24BF">
      <w:pPr>
        <w:pStyle w:val="RKrubrik"/>
        <w:rPr>
          <w:u w:val="single"/>
        </w:rPr>
      </w:pPr>
      <w:r w:rsidRPr="00191F50">
        <w:rPr>
          <w:u w:val="single"/>
        </w:rPr>
        <w:t>Icke lagstiftande verksamhet</w:t>
      </w:r>
    </w:p>
    <w:p w:rsidR="00747FEC" w:rsidRDefault="00747FEC" w:rsidP="005F24BF">
      <w:pPr>
        <w:pStyle w:val="RKrubrik"/>
      </w:pPr>
      <w:r>
        <w:t>5. Godkännande av A-punktslistan</w:t>
      </w:r>
    </w:p>
    <w:p w:rsidR="00747FEC" w:rsidRDefault="00747FEC" w:rsidP="005F24BF">
      <w:pPr>
        <w:pStyle w:val="RKnormal"/>
      </w:pPr>
    </w:p>
    <w:p w:rsidR="00747FEC" w:rsidRPr="00191F50" w:rsidRDefault="00747FEC" w:rsidP="005F24BF">
      <w:pPr>
        <w:pStyle w:val="RKrubrik"/>
        <w:rPr>
          <w:u w:val="single"/>
        </w:rPr>
      </w:pPr>
      <w:r>
        <w:rPr>
          <w:u w:val="single"/>
        </w:rPr>
        <w:t>6. Övriga frågor</w:t>
      </w:r>
    </w:p>
    <w:p w:rsidR="00747FEC" w:rsidRDefault="00747FEC" w:rsidP="00962597">
      <w:pPr>
        <w:pStyle w:val="RKrubrik"/>
      </w:pPr>
      <w:r>
        <w:t xml:space="preserve">a) </w:t>
      </w:r>
      <w:r w:rsidRPr="00C01D3E">
        <w:t>Uppdatering av medlemsstaternas genomförande av direktivet om skydd av grisar med hänsyn till grupphållning av suggor</w:t>
      </w:r>
    </w:p>
    <w:p w:rsidR="00747FEC" w:rsidRPr="00803E34" w:rsidRDefault="00747FEC" w:rsidP="00962597">
      <w:pPr>
        <w:pStyle w:val="RKrubrik"/>
        <w:rPr>
          <w:i/>
        </w:rPr>
      </w:pPr>
      <w:r w:rsidRPr="00803E34">
        <w:rPr>
          <w:i/>
        </w:rPr>
        <w:t>–</w:t>
      </w:r>
      <w:r>
        <w:rPr>
          <w:i/>
        </w:rPr>
        <w:t xml:space="preserve"> </w:t>
      </w:r>
      <w:r w:rsidRPr="00803E34">
        <w:rPr>
          <w:i/>
        </w:rPr>
        <w:t>Information från kommissionen</w:t>
      </w:r>
    </w:p>
    <w:p w:rsidR="00747FEC" w:rsidRDefault="00747FEC" w:rsidP="005067C6">
      <w:pPr>
        <w:pStyle w:val="RKnormal"/>
        <w:rPr>
          <w:i/>
          <w:iCs/>
        </w:rPr>
      </w:pPr>
    </w:p>
    <w:p w:rsidR="00747FEC" w:rsidRDefault="00747FEC" w:rsidP="005067C6">
      <w:pPr>
        <w:pStyle w:val="RKnormal"/>
        <w:rPr>
          <w:i/>
          <w:iCs/>
        </w:rPr>
      </w:pPr>
      <w:r>
        <w:rPr>
          <w:i/>
          <w:iCs/>
        </w:rPr>
        <w:t>Dokumentbeteckning</w:t>
      </w:r>
    </w:p>
    <w:p w:rsidR="00747FEC" w:rsidRPr="00D636CB" w:rsidRDefault="00747FEC" w:rsidP="005067C6">
      <w:pPr>
        <w:pStyle w:val="RKnormal"/>
      </w:pPr>
      <w:r w:rsidRPr="00D636CB">
        <w:t>Saknas</w:t>
      </w:r>
    </w:p>
    <w:p w:rsidR="00747FEC" w:rsidRDefault="00747FEC" w:rsidP="005067C6">
      <w:pPr>
        <w:pStyle w:val="RKnormal"/>
        <w:rPr>
          <w:i/>
          <w:iCs/>
        </w:rPr>
      </w:pPr>
    </w:p>
    <w:p w:rsidR="00747FEC" w:rsidRDefault="00747FEC" w:rsidP="005067C6">
      <w:pPr>
        <w:pStyle w:val="RKnormal"/>
        <w:rPr>
          <w:i/>
          <w:iCs/>
        </w:rPr>
      </w:pPr>
      <w:r>
        <w:rPr>
          <w:i/>
          <w:iCs/>
        </w:rPr>
        <w:t>Rättslig grund</w:t>
      </w:r>
    </w:p>
    <w:p w:rsidR="00747FEC" w:rsidRDefault="00747FEC" w:rsidP="005067C6">
      <w:pPr>
        <w:pStyle w:val="RKnormal"/>
        <w:rPr>
          <w:i/>
          <w:iCs/>
        </w:rPr>
      </w:pPr>
      <w:r>
        <w:t>Inte aktuellt</w:t>
      </w:r>
    </w:p>
    <w:p w:rsidR="00747FEC" w:rsidRDefault="00747FEC" w:rsidP="005067C6">
      <w:pPr>
        <w:pStyle w:val="RKnormal"/>
        <w:rPr>
          <w:i/>
          <w:iCs/>
        </w:rPr>
      </w:pPr>
    </w:p>
    <w:p w:rsidR="00747FEC" w:rsidRPr="007505BF" w:rsidRDefault="00747FEC" w:rsidP="005067C6">
      <w:pPr>
        <w:pStyle w:val="RKnormal"/>
        <w:rPr>
          <w:i/>
          <w:iCs/>
        </w:rPr>
      </w:pPr>
      <w:r>
        <w:rPr>
          <w:i/>
          <w:iCs/>
        </w:rPr>
        <w:t>Bakgrund</w:t>
      </w:r>
    </w:p>
    <w:p w:rsidR="00747FEC" w:rsidRDefault="00747FEC" w:rsidP="005067C6">
      <w:r>
        <w:t xml:space="preserve">Sverige har genomfört direktiv 2008/120/EG om fastställande av lägsta djurskyddskrav vid svinhållning. </w:t>
      </w:r>
      <w:r w:rsidRPr="00C01D3E">
        <w:rPr>
          <w:rFonts w:cs="Tahoma"/>
          <w:color w:val="000000"/>
          <w:szCs w:val="24"/>
        </w:rPr>
        <w:t>Direktivet innehåller flera långtgående bestämmelser för att öka djurskyddet vid grishållning. Det som kommissionen befarar kommer vara svårast för medlemsstaterna att genomföra är kravet på s.k. grupphållning av suggor. Därutöver finns även krav om bl.a. minsta golvyta, golvens utformning och miljön grisarna vistas i. Vidare ska djuren ha tillgång till </w:t>
      </w:r>
      <w:r w:rsidRPr="00C01D3E">
        <w:rPr>
          <w:rStyle w:val="spelle"/>
          <w:rFonts w:cs="Tahoma"/>
          <w:color w:val="000000"/>
          <w:szCs w:val="24"/>
        </w:rPr>
        <w:t>bökbart</w:t>
      </w:r>
      <w:r w:rsidRPr="00C01D3E">
        <w:rPr>
          <w:rFonts w:cs="Tahoma"/>
          <w:color w:val="000000"/>
          <w:szCs w:val="24"/>
        </w:rPr>
        <w:t> material och tillräckligt med foder och vatten. Direktivet innehåller även utbildningskrav för djurskötare, förbud mot att hålla suggor och gyltor uppbundna, samt begränsningar vad det gäller olika typer av stympning, som t.ex. svanskupering</w:t>
      </w:r>
      <w:r w:rsidRPr="00C01D3E">
        <w:rPr>
          <w:szCs w:val="24"/>
        </w:rPr>
        <w:t>.</w:t>
      </w:r>
      <w:r>
        <w:rPr>
          <w:szCs w:val="24"/>
        </w:rPr>
        <w:t xml:space="preserve"> </w:t>
      </w:r>
      <w:r>
        <w:t xml:space="preserve">Direktivet träder i kraft i sin helhet den 1 januari 2013. </w:t>
      </w:r>
    </w:p>
    <w:p w:rsidR="00747FEC" w:rsidRDefault="00747FEC" w:rsidP="005067C6"/>
    <w:p w:rsidR="00747FEC" w:rsidRPr="006308B5" w:rsidRDefault="00747FEC" w:rsidP="005067C6">
      <w:r>
        <w:t>Flera av bestämmelserna i direktivet är praxis i Sverige sedan tidigare och vi bedömer att efterlevandegraden hos svenska grisbönder är hög och att det inte kommer att finnas något problem med olaglig grishållning i Sverige efter årsskiftet.</w:t>
      </w:r>
    </w:p>
    <w:p w:rsidR="00747FEC" w:rsidRDefault="00747FEC" w:rsidP="005067C6">
      <w:pPr>
        <w:pStyle w:val="RKnormal"/>
        <w:rPr>
          <w:i/>
          <w:iCs/>
        </w:rPr>
      </w:pPr>
    </w:p>
    <w:p w:rsidR="00747FEC" w:rsidRDefault="00747FEC" w:rsidP="005067C6">
      <w:pPr>
        <w:pStyle w:val="RKnormal"/>
        <w:rPr>
          <w:i/>
          <w:iCs/>
        </w:rPr>
      </w:pPr>
      <w:r>
        <w:rPr>
          <w:i/>
          <w:iCs/>
        </w:rPr>
        <w:t>Förslag till svensk ståndpunkt</w:t>
      </w:r>
    </w:p>
    <w:p w:rsidR="00747FEC" w:rsidRDefault="00747FEC" w:rsidP="005067C6">
      <w:pPr>
        <w:pStyle w:val="RKnormal"/>
      </w:pPr>
      <w:r>
        <w:t>Sverige stödjer kommissionen i dess strävan att säkerställa att direktivet är genomfört och efterlevs i alla medlemsstater från den 1 januari 2013. Det är viktigt att alla aktörer följer regelverket. Dels för att skapa goda förutsättningar för en fungerande inre marknad, och dels för att inte missgynna de producenter som investerat i att leva upp till kraven.  Det är prioriterat att undvika en situation liknande den som uppstod med höns i oinredda burar 1 januari 2012.</w:t>
      </w:r>
    </w:p>
    <w:p w:rsidR="00747FEC" w:rsidRDefault="00747FEC" w:rsidP="005067C6">
      <w:pPr>
        <w:pStyle w:val="RKnormal"/>
        <w:rPr>
          <w:i/>
          <w:iCs/>
        </w:rPr>
      </w:pPr>
    </w:p>
    <w:p w:rsidR="00747FEC" w:rsidRDefault="00747FEC" w:rsidP="005067C6">
      <w:pPr>
        <w:pStyle w:val="RKnormal"/>
        <w:rPr>
          <w:i/>
          <w:iCs/>
        </w:rPr>
      </w:pPr>
      <w:r>
        <w:rPr>
          <w:i/>
          <w:iCs/>
        </w:rPr>
        <w:t>EU-nämnden och MJU</w:t>
      </w:r>
    </w:p>
    <w:p w:rsidR="00747FEC" w:rsidRDefault="00747FEC" w:rsidP="005067C6">
      <w:pPr>
        <w:pStyle w:val="RKnormal"/>
      </w:pPr>
      <w:r>
        <w:t>Frågan har inte tidigare varit föremål för samråd med EU-nämnden eller information i MJU.</w:t>
      </w:r>
    </w:p>
    <w:p w:rsidR="00747FEC" w:rsidRDefault="00747FEC" w:rsidP="005067C6">
      <w:pPr>
        <w:pStyle w:val="RKnormal"/>
      </w:pPr>
    </w:p>
    <w:p w:rsidR="00747FEC" w:rsidRDefault="00747FEC" w:rsidP="005067C6"/>
    <w:p w:rsidR="00747FEC" w:rsidRDefault="00747FEC" w:rsidP="005F24BF">
      <w:pPr>
        <w:pStyle w:val="RKnormal"/>
        <w:rPr>
          <w:i/>
          <w:iCs/>
        </w:rPr>
      </w:pPr>
    </w:p>
    <w:p w:rsidR="00747FEC" w:rsidRPr="00803E34" w:rsidRDefault="00747FEC" w:rsidP="00962597">
      <w:pPr>
        <w:pStyle w:val="RKrubrik"/>
      </w:pPr>
      <w:r w:rsidRPr="00803E34">
        <w:t>b)</w:t>
      </w:r>
      <w:r>
        <w:t xml:space="preserve"> </w:t>
      </w:r>
      <w:r w:rsidRPr="00803E34">
        <w:t xml:space="preserve">Meddelande från kommissionen </w:t>
      </w:r>
      <w:r>
        <w:t>om s</w:t>
      </w:r>
      <w:r w:rsidRPr="00803E34">
        <w:t xml:space="preserve">äljfrämjande åtgärder </w:t>
      </w:r>
    </w:p>
    <w:p w:rsidR="00747FEC" w:rsidRPr="00803E34" w:rsidRDefault="00747FEC" w:rsidP="00962597">
      <w:pPr>
        <w:pStyle w:val="RKrubrik"/>
        <w:rPr>
          <w:i/>
        </w:rPr>
      </w:pPr>
      <w:r w:rsidRPr="00803E34">
        <w:t>–</w:t>
      </w:r>
      <w:r>
        <w:t xml:space="preserve"> </w:t>
      </w:r>
      <w:r w:rsidRPr="00803E34">
        <w:rPr>
          <w:i/>
        </w:rPr>
        <w:t>Föredragning av kommissionen</w:t>
      </w:r>
    </w:p>
    <w:p w:rsidR="00747FEC" w:rsidRDefault="00747FEC" w:rsidP="00073FE8">
      <w:pPr>
        <w:pStyle w:val="RKnormal"/>
        <w:rPr>
          <w:b/>
          <w:bCs/>
          <w:i/>
          <w:iCs/>
        </w:rPr>
      </w:pPr>
    </w:p>
    <w:p w:rsidR="00747FEC" w:rsidRDefault="00747FEC" w:rsidP="00073FE8">
      <w:pPr>
        <w:pStyle w:val="RKnormal"/>
        <w:rPr>
          <w:i/>
          <w:iCs/>
        </w:rPr>
      </w:pPr>
    </w:p>
    <w:p w:rsidR="00747FEC" w:rsidRDefault="00747FEC" w:rsidP="00073FE8">
      <w:pPr>
        <w:pStyle w:val="RKnormal"/>
        <w:rPr>
          <w:i/>
          <w:iCs/>
        </w:rPr>
      </w:pPr>
      <w:r>
        <w:rPr>
          <w:i/>
          <w:iCs/>
        </w:rPr>
        <w:t>Dokumentbeteckning</w:t>
      </w:r>
    </w:p>
    <w:p w:rsidR="00747FEC" w:rsidRDefault="00747FEC" w:rsidP="00073FE8">
      <w:pPr>
        <w:pStyle w:val="RKnormal"/>
        <w:rPr>
          <w:iCs/>
        </w:rPr>
      </w:pPr>
      <w:r>
        <w:rPr>
          <w:iCs/>
        </w:rPr>
        <w:t>Saknas.</w:t>
      </w:r>
    </w:p>
    <w:p w:rsidR="00747FEC" w:rsidRPr="00DF706C" w:rsidRDefault="00747FEC" w:rsidP="00073FE8">
      <w:pPr>
        <w:pStyle w:val="RKnormal"/>
        <w:rPr>
          <w:iCs/>
        </w:rPr>
      </w:pPr>
    </w:p>
    <w:p w:rsidR="00747FEC" w:rsidRDefault="00747FEC" w:rsidP="00DF706C">
      <w:pPr>
        <w:pStyle w:val="RKnormal"/>
        <w:rPr>
          <w:i/>
          <w:iCs/>
        </w:rPr>
      </w:pPr>
      <w:r>
        <w:rPr>
          <w:i/>
          <w:iCs/>
        </w:rPr>
        <w:t>Bakgrund</w:t>
      </w:r>
    </w:p>
    <w:p w:rsidR="00747FEC" w:rsidRDefault="00747FEC" w:rsidP="00DF706C">
      <w:pPr>
        <w:pStyle w:val="RKnormal"/>
        <w:rPr>
          <w:iCs/>
        </w:rPr>
      </w:pPr>
      <w:r w:rsidRPr="006842C3">
        <w:rPr>
          <w:iCs/>
        </w:rPr>
        <w:t xml:space="preserve">Den </w:t>
      </w:r>
      <w:r>
        <w:rPr>
          <w:iCs/>
        </w:rPr>
        <w:t xml:space="preserve">14 juli 2011 offentliggjorde </w:t>
      </w:r>
      <w:r w:rsidRPr="006842C3">
        <w:rPr>
          <w:iCs/>
        </w:rPr>
        <w:t>kommissionen</w:t>
      </w:r>
      <w:r>
        <w:rPr>
          <w:iCs/>
        </w:rPr>
        <w:t xml:space="preserve"> sin g</w:t>
      </w:r>
      <w:r w:rsidRPr="006842C3">
        <w:rPr>
          <w:iCs/>
        </w:rPr>
        <w:t>rönbok om säljfrämjande åtgärder och informationskampanjer för jordbruks</w:t>
      </w:r>
      <w:r>
        <w:rPr>
          <w:iCs/>
        </w:rPr>
        <w:softHyphen/>
      </w:r>
      <w:r w:rsidRPr="006842C3">
        <w:rPr>
          <w:iCs/>
        </w:rPr>
        <w:t xml:space="preserve">produkter. Syftet </w:t>
      </w:r>
      <w:r>
        <w:rPr>
          <w:iCs/>
        </w:rPr>
        <w:t>var att</w:t>
      </w:r>
      <w:r w:rsidRPr="006842C3">
        <w:rPr>
          <w:iCs/>
        </w:rPr>
        <w:t xml:space="preserve"> inleda en översyn av EU:s politik för säljfrämjande åtgärder och informationskampanjer, samt</w:t>
      </w:r>
      <w:r>
        <w:rPr>
          <w:iCs/>
        </w:rPr>
        <w:t xml:space="preserve"> att</w:t>
      </w:r>
      <w:r w:rsidRPr="006842C3">
        <w:rPr>
          <w:iCs/>
        </w:rPr>
        <w:t xml:space="preserve"> initiera en diskussion om hur nuvarande system skulle kunna förbättras och utvecklas som instrument i </w:t>
      </w:r>
      <w:r>
        <w:rPr>
          <w:iCs/>
        </w:rPr>
        <w:t xml:space="preserve">den gemensamma jordbrukspolitiken, </w:t>
      </w:r>
      <w:r w:rsidRPr="006842C3">
        <w:rPr>
          <w:iCs/>
        </w:rPr>
        <w:t>GJP.</w:t>
      </w:r>
    </w:p>
    <w:p w:rsidR="00747FEC" w:rsidRDefault="00747FEC" w:rsidP="00DF706C">
      <w:pPr>
        <w:pStyle w:val="RKnormal"/>
        <w:rPr>
          <w:iCs/>
        </w:rPr>
      </w:pPr>
    </w:p>
    <w:p w:rsidR="00747FEC" w:rsidRDefault="00747FEC" w:rsidP="00C30EB4">
      <w:pPr>
        <w:rPr>
          <w:iCs/>
        </w:rPr>
      </w:pPr>
      <w:r w:rsidRPr="007907F5">
        <w:rPr>
          <w:iCs/>
        </w:rPr>
        <w:t>Politiken för säljfrämjande åtgärder och informationskampanjer till stöd för jordbruksprodukter skapades i början av 1980-talet. Den har successivt utvidgats till att omfatta de flesta av jordbrukets och livsmedelsindustrins produkter i första förädlingsledet. Enligt kommissionen har den förda politiken fungerat väl på flera sätt. Under senare år har emellertid vissa begränsningar och brister blivit tydliga. Kommissionen anser till exempel att politiken i alltför liten utsträckning varit inriktad på främjandeåtgärder i länder utanför EU, inte minst med tanke på den starka tillväxt som skett på många globala marknader. Vidare menar man att politiken inte i tillräckligt hög grad har uppmuntrat till samarbete över landsgränser eller omfattat alla EU-medlemsstaters produkter och sakkunskap. Brister konstaterades också av Revisionsrätten i samband med en effektivitetsgranskning år 2009.</w:t>
      </w:r>
      <w:r>
        <w:rPr>
          <w:iCs/>
        </w:rPr>
        <w:t xml:space="preserve"> </w:t>
      </w:r>
    </w:p>
    <w:p w:rsidR="00747FEC" w:rsidRDefault="00747FEC" w:rsidP="00C30EB4">
      <w:pPr>
        <w:rPr>
          <w:iCs/>
        </w:rPr>
      </w:pPr>
    </w:p>
    <w:p w:rsidR="00747FEC" w:rsidRPr="00C30EB4" w:rsidRDefault="00747FEC" w:rsidP="00C30EB4">
      <w:r>
        <w:rPr>
          <w:iCs/>
        </w:rPr>
        <w:t xml:space="preserve">På initiativ av det polska ordförandeskapet antogs rådsslutsatser om säljfrämjande åtgärder i december 2011. </w:t>
      </w:r>
    </w:p>
    <w:p w:rsidR="00747FEC" w:rsidRDefault="00747FEC" w:rsidP="00DF706C">
      <w:pPr>
        <w:pStyle w:val="RKnormal"/>
        <w:rPr>
          <w:i/>
          <w:iCs/>
        </w:rPr>
      </w:pPr>
    </w:p>
    <w:p w:rsidR="00747FEC" w:rsidRDefault="00747FEC" w:rsidP="00DF706C">
      <w:pPr>
        <w:pStyle w:val="RKnormal"/>
        <w:rPr>
          <w:i/>
          <w:iCs/>
        </w:rPr>
      </w:pPr>
      <w:r>
        <w:rPr>
          <w:i/>
          <w:iCs/>
        </w:rPr>
        <w:t>Förslag till svensk ståndpunkt</w:t>
      </w:r>
    </w:p>
    <w:p w:rsidR="00747FEC" w:rsidRPr="005067C6" w:rsidRDefault="00747FEC" w:rsidP="005067C6">
      <w:pPr>
        <w:pStyle w:val="RKnormal"/>
        <w:rPr>
          <w:iCs/>
        </w:rPr>
      </w:pPr>
      <w:r w:rsidRPr="005067C6">
        <w:rPr>
          <w:iCs/>
        </w:rPr>
        <w:t>Regeringens övergripande ståndpunkt är att informationskampanjer och säljfrämjande åtgärder inte ska finansieras med offentliga medel. Företag och organisationer bör själva stå för kostnader som uppstår i samband med denna typ av åtgärder.</w:t>
      </w:r>
    </w:p>
    <w:p w:rsidR="00747FEC" w:rsidRPr="005067C6" w:rsidRDefault="00747FEC" w:rsidP="005067C6">
      <w:pPr>
        <w:pStyle w:val="RKnormal"/>
        <w:rPr>
          <w:iCs/>
        </w:rPr>
      </w:pPr>
    </w:p>
    <w:p w:rsidR="00747FEC" w:rsidRPr="005067C6" w:rsidRDefault="00747FEC" w:rsidP="005067C6">
      <w:pPr>
        <w:pStyle w:val="RKnormal"/>
        <w:rPr>
          <w:iCs/>
        </w:rPr>
      </w:pPr>
      <w:r w:rsidRPr="005067C6">
        <w:rPr>
          <w:iCs/>
        </w:rPr>
        <w:t>Inför det faktum att systemet med offentligt stöd till informations</w:t>
      </w:r>
      <w:r>
        <w:rPr>
          <w:iCs/>
        </w:rPr>
        <w:softHyphen/>
      </w:r>
      <w:r w:rsidRPr="005067C6">
        <w:rPr>
          <w:iCs/>
        </w:rPr>
        <w:t xml:space="preserve">kampanjer och säljfrämjande åtgärder redan existerar, ligger det i svenskt intresse att se till att gemenskapens medel används på ett så klokt och effektivt sätt som möjligt. </w:t>
      </w:r>
    </w:p>
    <w:p w:rsidR="00747FEC" w:rsidRPr="005067C6" w:rsidRDefault="00747FEC" w:rsidP="005067C6">
      <w:pPr>
        <w:pStyle w:val="RKnormal"/>
        <w:rPr>
          <w:iCs/>
        </w:rPr>
      </w:pPr>
    </w:p>
    <w:p w:rsidR="00747FEC" w:rsidRPr="005067C6" w:rsidRDefault="00747FEC" w:rsidP="005067C6">
      <w:pPr>
        <w:pStyle w:val="RKnormal"/>
        <w:rPr>
          <w:iCs/>
        </w:rPr>
      </w:pPr>
      <w:r w:rsidRPr="005067C6">
        <w:rPr>
          <w:iCs/>
        </w:rPr>
        <w:t>Sverige bör aktivt verka för att utgifterna minskar och motverka att de ökar. Det svenska agerandet i diskussioner om främjandeåtgärder bör vara i linje med Sveriges övergripande målsättni</w:t>
      </w:r>
      <w:r>
        <w:rPr>
          <w:iCs/>
        </w:rPr>
        <w:t>ng om en utgiftsnivå väl under en</w:t>
      </w:r>
      <w:r w:rsidRPr="005067C6">
        <w:rPr>
          <w:iCs/>
        </w:rPr>
        <w:t xml:space="preserve"> procent av EU:s BNI och en modernisering av budgetens utgiftsstruktur</w:t>
      </w:r>
      <w:r>
        <w:rPr>
          <w:iCs/>
        </w:rPr>
        <w:t>,</w:t>
      </w:r>
      <w:r w:rsidRPr="005067C6">
        <w:rPr>
          <w:iCs/>
        </w:rPr>
        <w:t xml:space="preserve"> vilket till stor del måste uppnås genom väsentligt lägre utgifter för GJP. </w:t>
      </w:r>
    </w:p>
    <w:p w:rsidR="00747FEC" w:rsidRPr="005067C6" w:rsidRDefault="00747FEC" w:rsidP="005067C6">
      <w:pPr>
        <w:pStyle w:val="RKnormal"/>
        <w:rPr>
          <w:iCs/>
        </w:rPr>
      </w:pPr>
    </w:p>
    <w:p w:rsidR="00747FEC" w:rsidRPr="005067C6" w:rsidRDefault="00747FEC" w:rsidP="005067C6">
      <w:pPr>
        <w:pStyle w:val="RKnormal"/>
        <w:rPr>
          <w:iCs/>
        </w:rPr>
      </w:pPr>
      <w:r w:rsidRPr="005067C6">
        <w:rPr>
          <w:iCs/>
        </w:rPr>
        <w:t>Vidare är det viktigt att regelförenkling eftersträvas; att regelverket kan tillämpas på ett sätt som innebär att alla medlemsstater behandlas lika; att stöd till marknadsföring av produkter som kan vara skadliga för hälsan motverkas; att åtgärderna är förenliga med gröna boxens kriterier i WTO:s jordbruksavtal; samt att medlemsstaternas deltagande med finansiering förblir frivilligt.</w:t>
      </w:r>
    </w:p>
    <w:p w:rsidR="00747FEC" w:rsidRPr="005067C6" w:rsidRDefault="00747FEC" w:rsidP="005067C6">
      <w:pPr>
        <w:pStyle w:val="RKnormal"/>
        <w:rPr>
          <w:iCs/>
        </w:rPr>
      </w:pPr>
    </w:p>
    <w:p w:rsidR="00747FEC" w:rsidRPr="006842C3" w:rsidRDefault="00747FEC" w:rsidP="005067C6">
      <w:pPr>
        <w:pStyle w:val="RKnormal"/>
        <w:rPr>
          <w:iCs/>
        </w:rPr>
      </w:pPr>
      <w:r w:rsidRPr="005067C6">
        <w:rPr>
          <w:iCs/>
        </w:rPr>
        <w:t>Regeringen ser positivt på initiativ som syftar till att förbättra och effektivisera dagens system för informationskampanjer och säljfrämjande. Sverige bör uppmuntra en diskussion om hur informationskampanjer och säljfrämjande åtgärder kan bidra t</w:t>
      </w:r>
      <w:r>
        <w:rPr>
          <w:iCs/>
        </w:rPr>
        <w:t>ill att minska nyttjandet av</w:t>
      </w:r>
      <w:r w:rsidRPr="005067C6">
        <w:rPr>
          <w:iCs/>
        </w:rPr>
        <w:t xml:space="preserve"> marknadsstörande stödformer, t.ex. exportbidrag, offentlig intervention och stöd till privat lagring</w:t>
      </w:r>
      <w:r>
        <w:rPr>
          <w:iCs/>
        </w:rPr>
        <w:t>.</w:t>
      </w:r>
    </w:p>
    <w:p w:rsidR="00747FEC" w:rsidRDefault="00747FEC" w:rsidP="00DF706C">
      <w:pPr>
        <w:pStyle w:val="RKnormal"/>
        <w:rPr>
          <w:i/>
          <w:iCs/>
        </w:rPr>
      </w:pPr>
    </w:p>
    <w:p w:rsidR="00747FEC" w:rsidRDefault="00747FEC" w:rsidP="00DF706C">
      <w:pPr>
        <w:pStyle w:val="RKnormal"/>
        <w:rPr>
          <w:i/>
          <w:iCs/>
        </w:rPr>
      </w:pPr>
      <w:r>
        <w:rPr>
          <w:i/>
          <w:iCs/>
        </w:rPr>
        <w:t>EU-nämnden och MJU</w:t>
      </w:r>
    </w:p>
    <w:p w:rsidR="00747FEC" w:rsidRDefault="00747FEC" w:rsidP="00DF706C">
      <w:pPr>
        <w:pStyle w:val="RKnormal"/>
      </w:pPr>
      <w:r w:rsidRPr="00683172">
        <w:t>Frågan var senast föremål för samråd med EU-nämnden och information i MJU inför att rådsslutsatserna skulle antas vid Jordbruks- och fiskerådet i december 2011.</w:t>
      </w:r>
      <w:r>
        <w:t xml:space="preserve"> </w:t>
      </w:r>
    </w:p>
    <w:p w:rsidR="00747FEC" w:rsidRDefault="00747FEC" w:rsidP="00DF706C"/>
    <w:p w:rsidR="00747FEC" w:rsidRDefault="00747FEC" w:rsidP="005F24BF">
      <w:pPr>
        <w:pStyle w:val="RKnormal"/>
        <w:rPr>
          <w:rFonts w:ascii="TradeGothic" w:hAnsi="TradeGothic"/>
          <w:b/>
          <w:iCs/>
          <w:sz w:val="22"/>
          <w:szCs w:val="22"/>
        </w:rPr>
      </w:pPr>
    </w:p>
    <w:sectPr w:rsidR="00747FEC" w:rsidSect="005F24BF">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EC" w:rsidRDefault="00747FEC" w:rsidP="005F24BF">
      <w:pPr>
        <w:spacing w:line="240" w:lineRule="auto"/>
      </w:pPr>
      <w:r>
        <w:separator/>
      </w:r>
    </w:p>
  </w:endnote>
  <w:endnote w:type="continuationSeparator" w:id="0">
    <w:p w:rsidR="00747FEC" w:rsidRDefault="00747FEC" w:rsidP="005F2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EC" w:rsidRDefault="00747FEC" w:rsidP="005F24BF">
      <w:pPr>
        <w:spacing w:line="240" w:lineRule="auto"/>
      </w:pPr>
      <w:r>
        <w:separator/>
      </w:r>
    </w:p>
  </w:footnote>
  <w:footnote w:type="continuationSeparator" w:id="0">
    <w:p w:rsidR="00747FEC" w:rsidRDefault="00747FEC" w:rsidP="005F24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EC" w:rsidRDefault="00747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47FEC" w:rsidRDefault="00747FEC">
    <w:pPr>
      <w:pStyle w:val="Header"/>
      <w:ind w:right="360"/>
    </w:pPr>
  </w:p>
  <w:p w:rsidR="00747FEC" w:rsidRDefault="00747FE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EC" w:rsidRDefault="00747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47FEC" w:rsidRDefault="00747FEC">
    <w:pPr>
      <w:pStyle w:val="Header"/>
      <w:ind w:right="360"/>
    </w:pPr>
  </w:p>
  <w:p w:rsidR="00747FEC" w:rsidRDefault="00747FE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EC" w:rsidRDefault="00747FEC">
    <w:pPr>
      <w:framePr w:w="2948" w:h="1321" w:hRule="exact" w:wrap="notBeside" w:vAnchor="page" w:hAnchor="page" w:x="1362" w:y="653"/>
    </w:pPr>
    <w:r w:rsidRPr="007275D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6pt;visibility:visible">
          <v:imagedata r:id="rId1" o:title=""/>
        </v:shape>
      </w:pict>
    </w:r>
  </w:p>
  <w:p w:rsidR="00747FEC" w:rsidRDefault="00747FEC">
    <w:pPr>
      <w:pStyle w:val="RKrubrik"/>
      <w:keepNext w:val="0"/>
      <w:tabs>
        <w:tab w:val="clear" w:pos="1134"/>
        <w:tab w:val="clear" w:pos="2835"/>
      </w:tabs>
      <w:spacing w:before="0" w:after="0" w:line="320" w:lineRule="atLeast"/>
      <w:rPr>
        <w:bCs/>
      </w:rPr>
    </w:pPr>
  </w:p>
  <w:p w:rsidR="00747FEC" w:rsidRDefault="00747FEC">
    <w:pPr>
      <w:rPr>
        <w:rFonts w:ascii="TradeGothic" w:hAnsi="TradeGothic"/>
        <w:b/>
        <w:bCs/>
        <w:spacing w:val="12"/>
        <w:sz w:val="22"/>
      </w:rPr>
    </w:pPr>
  </w:p>
  <w:p w:rsidR="00747FEC" w:rsidRDefault="00747FEC">
    <w:pPr>
      <w:pStyle w:val="RKrubrik"/>
      <w:keepNext w:val="0"/>
      <w:tabs>
        <w:tab w:val="clear" w:pos="1134"/>
        <w:tab w:val="clear" w:pos="2835"/>
      </w:tabs>
      <w:spacing w:before="0" w:after="0" w:line="320" w:lineRule="atLeast"/>
      <w:rPr>
        <w:bCs/>
      </w:rPr>
    </w:pPr>
  </w:p>
  <w:p w:rsidR="00747FEC" w:rsidRDefault="00747FEC">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E52"/>
    <w:multiLevelType w:val="hybridMultilevel"/>
    <w:tmpl w:val="1898CAD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37A917AD"/>
    <w:multiLevelType w:val="hybridMultilevel"/>
    <w:tmpl w:val="123A96A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6EED53E6"/>
    <w:multiLevelType w:val="hybridMultilevel"/>
    <w:tmpl w:val="F0E89F1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727F3EC5"/>
    <w:multiLevelType w:val="hybridMultilevel"/>
    <w:tmpl w:val="3274E0D2"/>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BF"/>
    <w:rsid w:val="00037C59"/>
    <w:rsid w:val="00073FE8"/>
    <w:rsid w:val="000D338F"/>
    <w:rsid w:val="00150CAE"/>
    <w:rsid w:val="00181F3B"/>
    <w:rsid w:val="00191F50"/>
    <w:rsid w:val="0020122D"/>
    <w:rsid w:val="00223D38"/>
    <w:rsid w:val="002306B3"/>
    <w:rsid w:val="00284F5B"/>
    <w:rsid w:val="002929A0"/>
    <w:rsid w:val="00364646"/>
    <w:rsid w:val="003D6564"/>
    <w:rsid w:val="004D50FE"/>
    <w:rsid w:val="005067C6"/>
    <w:rsid w:val="005265F5"/>
    <w:rsid w:val="00551E21"/>
    <w:rsid w:val="00557B47"/>
    <w:rsid w:val="00594ED7"/>
    <w:rsid w:val="005B67EF"/>
    <w:rsid w:val="005C7654"/>
    <w:rsid w:val="005F24BF"/>
    <w:rsid w:val="0062189C"/>
    <w:rsid w:val="006308B5"/>
    <w:rsid w:val="00632B2A"/>
    <w:rsid w:val="00654460"/>
    <w:rsid w:val="006572D4"/>
    <w:rsid w:val="00683172"/>
    <w:rsid w:val="006842C3"/>
    <w:rsid w:val="006E3A44"/>
    <w:rsid w:val="007275D9"/>
    <w:rsid w:val="00747FEC"/>
    <w:rsid w:val="007505BF"/>
    <w:rsid w:val="007907F5"/>
    <w:rsid w:val="007F63C4"/>
    <w:rsid w:val="00803E34"/>
    <w:rsid w:val="00814556"/>
    <w:rsid w:val="00815F2E"/>
    <w:rsid w:val="00845E2D"/>
    <w:rsid w:val="00875342"/>
    <w:rsid w:val="00876137"/>
    <w:rsid w:val="008F192C"/>
    <w:rsid w:val="00962597"/>
    <w:rsid w:val="00A00B0A"/>
    <w:rsid w:val="00A63D5E"/>
    <w:rsid w:val="00AE0EE2"/>
    <w:rsid w:val="00AE20D5"/>
    <w:rsid w:val="00AF56AF"/>
    <w:rsid w:val="00B21E82"/>
    <w:rsid w:val="00B70F59"/>
    <w:rsid w:val="00B71024"/>
    <w:rsid w:val="00B83822"/>
    <w:rsid w:val="00BD3B51"/>
    <w:rsid w:val="00C01D3E"/>
    <w:rsid w:val="00C11E5C"/>
    <w:rsid w:val="00C1423B"/>
    <w:rsid w:val="00C30EB4"/>
    <w:rsid w:val="00C90A70"/>
    <w:rsid w:val="00D636CB"/>
    <w:rsid w:val="00DF706C"/>
    <w:rsid w:val="00E57E02"/>
    <w:rsid w:val="00ED42B5"/>
    <w:rsid w:val="00F07AA8"/>
    <w:rsid w:val="00F14D93"/>
    <w:rsid w:val="00F30D65"/>
    <w:rsid w:val="00F547DB"/>
    <w:rsid w:val="00F60465"/>
    <w:rsid w:val="00FD3D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BF"/>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paragraph" w:styleId="Heading1">
    <w:name w:val="heading 1"/>
    <w:basedOn w:val="Normal"/>
    <w:next w:val="Normal"/>
    <w:link w:val="Heading1Char"/>
    <w:uiPriority w:val="99"/>
    <w:qFormat/>
    <w:rsid w:val="00ED42B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F24BF"/>
    <w:pPr>
      <w:keepNext/>
      <w:keepLines/>
      <w:spacing w:before="200"/>
      <w:outlineLvl w:val="1"/>
    </w:pPr>
    <w:rPr>
      <w:rFonts w:ascii="Cambria" w:hAnsi="Cambria"/>
      <w:b/>
      <w:bCs/>
      <w:color w:val="4F81BD"/>
      <w:sz w:val="26"/>
      <w:szCs w:val="26"/>
    </w:rPr>
  </w:style>
  <w:style w:type="paragraph" w:styleId="Heading3">
    <w:name w:val="heading 3"/>
    <w:basedOn w:val="Heading2"/>
    <w:next w:val="RKnormal"/>
    <w:link w:val="Heading3Char"/>
    <w:uiPriority w:val="99"/>
    <w:qFormat/>
    <w:rsid w:val="005F24BF"/>
    <w:pPr>
      <w:keepLines w:val="0"/>
      <w:tabs>
        <w:tab w:val="left" w:pos="1134"/>
      </w:tabs>
      <w:spacing w:before="360" w:after="120" w:line="240" w:lineRule="atLeast"/>
      <w:outlineLvl w:val="2"/>
    </w:pPr>
    <w:rPr>
      <w:rFonts w:ascii="TradeGothic" w:hAnsi="TradeGothic"/>
      <w:b w:val="0"/>
      <w:bCs w:val="0"/>
      <w:color w:val="auto"/>
      <w:kern w:val="28"/>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2B5"/>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F24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F24BF"/>
    <w:rPr>
      <w:rFonts w:ascii="TradeGothic" w:hAnsi="TradeGothic" w:cs="Times New Roman"/>
      <w:kern w:val="28"/>
      <w:sz w:val="20"/>
      <w:szCs w:val="20"/>
    </w:rPr>
  </w:style>
  <w:style w:type="paragraph" w:customStyle="1" w:styleId="Avsndare">
    <w:name w:val="Avsändare"/>
    <w:basedOn w:val="Normal"/>
    <w:uiPriority w:val="99"/>
    <w:rsid w:val="005F24B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5F24BF"/>
    <w:pPr>
      <w:tabs>
        <w:tab w:val="center" w:pos="4153"/>
        <w:tab w:val="right" w:pos="8306"/>
      </w:tabs>
    </w:pPr>
  </w:style>
  <w:style w:type="character" w:customStyle="1" w:styleId="HeaderChar">
    <w:name w:val="Header Char"/>
    <w:basedOn w:val="DefaultParagraphFont"/>
    <w:link w:val="Header"/>
    <w:uiPriority w:val="99"/>
    <w:locked/>
    <w:rsid w:val="005F24BF"/>
    <w:rPr>
      <w:rFonts w:ascii="OrigGarmnd BT" w:hAnsi="OrigGarmnd BT" w:cs="Times New Roman"/>
      <w:sz w:val="20"/>
      <w:szCs w:val="20"/>
    </w:rPr>
  </w:style>
  <w:style w:type="paragraph" w:customStyle="1" w:styleId="RKnormal">
    <w:name w:val="RKnormal"/>
    <w:basedOn w:val="Normal"/>
    <w:link w:val="RKnormalChar"/>
    <w:uiPriority w:val="99"/>
    <w:rsid w:val="005F24BF"/>
    <w:pPr>
      <w:tabs>
        <w:tab w:val="left" w:pos="2835"/>
      </w:tabs>
      <w:spacing w:line="240" w:lineRule="atLeast"/>
    </w:pPr>
    <w:rPr>
      <w:lang w:eastAsia="ko-KR"/>
    </w:rPr>
  </w:style>
  <w:style w:type="paragraph" w:customStyle="1" w:styleId="RKrubrik">
    <w:name w:val="RKrubrik"/>
    <w:basedOn w:val="RKnormal"/>
    <w:next w:val="RKnormal"/>
    <w:link w:val="RKrubrikChar"/>
    <w:uiPriority w:val="99"/>
    <w:rsid w:val="005F24BF"/>
    <w:pPr>
      <w:keepNext/>
      <w:tabs>
        <w:tab w:val="left" w:pos="1134"/>
      </w:tabs>
      <w:spacing w:before="360" w:after="120"/>
    </w:pPr>
    <w:rPr>
      <w:rFonts w:ascii="TradeGothic" w:hAnsi="TradeGothic"/>
      <w:b/>
      <w:sz w:val="20"/>
    </w:rPr>
  </w:style>
  <w:style w:type="character" w:styleId="PageNumber">
    <w:name w:val="page number"/>
    <w:basedOn w:val="DefaultParagraphFont"/>
    <w:uiPriority w:val="99"/>
    <w:rsid w:val="005F24BF"/>
    <w:rPr>
      <w:rFonts w:cs="Times New Roman"/>
    </w:rPr>
  </w:style>
  <w:style w:type="character" w:customStyle="1" w:styleId="RKnormalChar">
    <w:name w:val="RKnormal Char"/>
    <w:link w:val="RKnormal"/>
    <w:uiPriority w:val="99"/>
    <w:locked/>
    <w:rsid w:val="005F24BF"/>
    <w:rPr>
      <w:rFonts w:ascii="OrigGarmnd BT" w:hAnsi="OrigGarmnd BT"/>
      <w:sz w:val="20"/>
    </w:rPr>
  </w:style>
  <w:style w:type="character" w:customStyle="1" w:styleId="RKrubrikChar">
    <w:name w:val="RKrubrik Char"/>
    <w:link w:val="RKrubrik"/>
    <w:uiPriority w:val="99"/>
    <w:locked/>
    <w:rsid w:val="005F24BF"/>
    <w:rPr>
      <w:rFonts w:ascii="TradeGothic" w:hAnsi="TradeGothic"/>
      <w:b/>
      <w:sz w:val="20"/>
    </w:rPr>
  </w:style>
  <w:style w:type="paragraph" w:styleId="FootnoteText">
    <w:name w:val="footnote text"/>
    <w:basedOn w:val="Normal"/>
    <w:link w:val="FootnoteTextChar"/>
    <w:uiPriority w:val="99"/>
    <w:rsid w:val="005F24BF"/>
    <w:rPr>
      <w:sz w:val="20"/>
    </w:rPr>
  </w:style>
  <w:style w:type="character" w:customStyle="1" w:styleId="FootnoteTextChar">
    <w:name w:val="Footnote Text Char"/>
    <w:basedOn w:val="DefaultParagraphFont"/>
    <w:link w:val="FootnoteText"/>
    <w:uiPriority w:val="99"/>
    <w:locked/>
    <w:rsid w:val="005F24BF"/>
    <w:rPr>
      <w:rFonts w:ascii="OrigGarmnd BT" w:hAnsi="OrigGarmnd BT" w:cs="Times New Roman"/>
      <w:sz w:val="20"/>
      <w:szCs w:val="20"/>
    </w:rPr>
  </w:style>
  <w:style w:type="character" w:styleId="FootnoteReference">
    <w:name w:val="footnote reference"/>
    <w:basedOn w:val="DefaultParagraphFont"/>
    <w:uiPriority w:val="99"/>
    <w:rsid w:val="005F24BF"/>
    <w:rPr>
      <w:rFonts w:cs="Times New Roman"/>
      <w:vertAlign w:val="superscript"/>
    </w:rPr>
  </w:style>
  <w:style w:type="paragraph" w:styleId="BalloonText">
    <w:name w:val="Balloon Text"/>
    <w:basedOn w:val="Normal"/>
    <w:link w:val="BalloonTextChar"/>
    <w:uiPriority w:val="99"/>
    <w:semiHidden/>
    <w:rsid w:val="005F2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4BF"/>
    <w:rPr>
      <w:rFonts w:ascii="Tahoma" w:hAnsi="Tahoma" w:cs="Tahoma"/>
      <w:sz w:val="16"/>
      <w:szCs w:val="16"/>
    </w:rPr>
  </w:style>
  <w:style w:type="paragraph" w:customStyle="1" w:styleId="Char">
    <w:name w:val="Char"/>
    <w:basedOn w:val="Normal"/>
    <w:uiPriority w:val="99"/>
    <w:rsid w:val="00814556"/>
    <w:pPr>
      <w:overflowPunct/>
      <w:autoSpaceDE/>
      <w:autoSpaceDN/>
      <w:adjustRightInd/>
      <w:spacing w:after="160" w:line="240" w:lineRule="exact"/>
      <w:textAlignment w:val="auto"/>
    </w:pPr>
    <w:rPr>
      <w:rFonts w:ascii="Tahoma" w:hAnsi="Tahoma"/>
      <w:sz w:val="20"/>
      <w:lang w:val="en-US"/>
    </w:rPr>
  </w:style>
  <w:style w:type="character" w:customStyle="1" w:styleId="RKnormalChar2">
    <w:name w:val="RKnormal Char2"/>
    <w:uiPriority w:val="99"/>
    <w:locked/>
    <w:rsid w:val="005067C6"/>
    <w:rPr>
      <w:rFonts w:ascii="OrigGarmnd BT" w:hAnsi="OrigGarmnd BT"/>
      <w:sz w:val="24"/>
      <w:lang w:eastAsia="en-US"/>
    </w:rPr>
  </w:style>
  <w:style w:type="paragraph" w:customStyle="1" w:styleId="Char1">
    <w:name w:val="Char1"/>
    <w:basedOn w:val="Normal"/>
    <w:uiPriority w:val="99"/>
    <w:rsid w:val="00815F2E"/>
    <w:pPr>
      <w:overflowPunct/>
      <w:autoSpaceDE/>
      <w:autoSpaceDN/>
      <w:adjustRightInd/>
      <w:spacing w:after="160" w:line="240" w:lineRule="exact"/>
      <w:textAlignment w:val="auto"/>
    </w:pPr>
    <w:rPr>
      <w:rFonts w:ascii="Tahoma" w:hAnsi="Tahoma"/>
      <w:sz w:val="20"/>
      <w:lang w:val="en-US"/>
    </w:rPr>
  </w:style>
  <w:style w:type="character" w:customStyle="1" w:styleId="spelle">
    <w:name w:val="spelle"/>
    <w:basedOn w:val="DefaultParagraphFont"/>
    <w:uiPriority w:val="99"/>
    <w:rsid w:val="00C01D3E"/>
    <w:rPr>
      <w:rFonts w:cs="Times New Roman"/>
    </w:rPr>
  </w:style>
</w:styles>
</file>

<file path=word/webSettings.xml><?xml version="1.0" encoding="utf-8"?>
<w:webSettings xmlns:r="http://schemas.openxmlformats.org/officeDocument/2006/relationships" xmlns:w="http://schemas.openxmlformats.org/wordprocessingml/2006/main">
  <w:divs>
    <w:div w:id="935285516">
      <w:marLeft w:val="0"/>
      <w:marRight w:val="0"/>
      <w:marTop w:val="0"/>
      <w:marBottom w:val="0"/>
      <w:divBdr>
        <w:top w:val="none" w:sz="0" w:space="0" w:color="auto"/>
        <w:left w:val="none" w:sz="0" w:space="0" w:color="auto"/>
        <w:bottom w:val="none" w:sz="0" w:space="0" w:color="auto"/>
        <w:right w:val="none" w:sz="0" w:space="0" w:color="auto"/>
      </w:divBdr>
    </w:div>
    <w:div w:id="935285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2025</Words>
  <Characters>12638</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dc:title>
  <dc:subject/>
  <dc:creator>Johanna Jansson</dc:creator>
  <cp:keywords/>
  <dc:description/>
  <cp:lastModifiedBy>Agota Földes</cp:lastModifiedBy>
  <cp:revision>2</cp:revision>
  <cp:lastPrinted>2012-04-16T11:13:00Z</cp:lastPrinted>
  <dcterms:created xsi:type="dcterms:W3CDTF">2012-04-16T11:14:00Z</dcterms:created>
  <dcterms:modified xsi:type="dcterms:W3CDTF">2012-04-16T11:14:00Z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Order">
    <vt:r8>1.38104728525288E-305</vt:r8>
  </property>
  <property fmtid="{D5CDD505-2E9C-101B-9397-08002B2CF9AE}" pid="4" name="_dlc_DocIdItemGuid">
    <vt:lpwstr>4139ad1e-cb01-42e5-91be-ef7d1a7550b5</vt:lpwstr>
  </property>
  <property fmtid="{D5CDD505-2E9C-101B-9397-08002B2CF9AE}" pid="5" name="RKOrdnaDiarienummer">
    <vt:lpwstr/>
  </property>
  <property fmtid="{D5CDD505-2E9C-101B-9397-08002B2CF9AE}" pid="6" name="RKOrdnaClass">
    <vt:lpwstr>3</vt:lpwstr>
  </property>
  <property fmtid="{D5CDD505-2E9C-101B-9397-08002B2CF9AE}" pid="7" name="RKOrdnaCheckInComment">
    <vt:lpwstr/>
  </property>
  <property fmtid="{D5CDD505-2E9C-101B-9397-08002B2CF9AE}" pid="8" name="RKOrdnaDepartement2">
    <vt:lpwstr>Landsbygdsdepartementet</vt:lpwstr>
  </property>
  <property fmtid="{D5CDD505-2E9C-101B-9397-08002B2CF9AE}" pid="9" name="QFMSP source name">
    <vt:lpwstr/>
  </property>
  <property fmtid="{D5CDD505-2E9C-101B-9397-08002B2CF9AE}" pid="10" name="RKOrdnaActivityCategory2">
    <vt:lpwstr>4.1. Europeiska unionen</vt:lpwstr>
  </property>
  <property fmtid="{D5CDD505-2E9C-101B-9397-08002B2CF9AE}" pid="11" name="Nyckelord">
    <vt:lpwstr/>
  </property>
  <property fmtid="{D5CDD505-2E9C-101B-9397-08002B2CF9AE}" pid="12" name="n6ebc720a2e4435cbb955ffc8e8fc22a">
    <vt:lpwstr/>
  </property>
  <property fmtid="{D5CDD505-2E9C-101B-9397-08002B2CF9AE}" pid="13" name="TaxCatchAll">
    <vt:lpwstr/>
  </property>
  <property fmtid="{D5CDD505-2E9C-101B-9397-08002B2CF9AE}" pid="14" name="a9aae4f16d8846798319505abcc83d84">
    <vt:lpwstr/>
  </property>
  <property fmtid="{D5CDD505-2E9C-101B-9397-08002B2CF9AE}" pid="15" name="Sekretess m.m.">
    <vt:lpwstr>0</vt:lpwstr>
  </property>
  <property fmtid="{D5CDD505-2E9C-101B-9397-08002B2CF9AE}" pid="16" name="Diarienummer">
    <vt:lpwstr/>
  </property>
  <property fmtid="{D5CDD505-2E9C-101B-9397-08002B2CF9AE}" pid="17" name="_dlc_DocId">
    <vt:lpwstr>J4ACQ3WQMRDN-3-21941</vt:lpwstr>
  </property>
  <property fmtid="{D5CDD505-2E9C-101B-9397-08002B2CF9AE}" pid="18" name="_dlc_DocIdUrl">
    <vt:lpwstr>http://rkdhs-l/enhet/eui/_layouts/DocIdRedir.aspx?ID=J4ACQ3WQMRDN-3-21941, J4ACQ3WQMRDN-3-21941</vt:lpwstr>
  </property>
</Properties>
</file>