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2B577D" w14:textId="77777777">
        <w:tc>
          <w:tcPr>
            <w:tcW w:w="2268" w:type="dxa"/>
          </w:tcPr>
          <w:p w14:paraId="6B1563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bKoncept"/>
            <w:bookmarkStart w:id="1" w:name="_GoBack"/>
            <w:bookmarkEnd w:id="0"/>
            <w:bookmarkEnd w:id="1"/>
          </w:p>
        </w:tc>
        <w:tc>
          <w:tcPr>
            <w:tcW w:w="2999" w:type="dxa"/>
            <w:gridSpan w:val="2"/>
          </w:tcPr>
          <w:p w14:paraId="2E966E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019DAC" w14:textId="77777777">
        <w:tc>
          <w:tcPr>
            <w:tcW w:w="2268" w:type="dxa"/>
          </w:tcPr>
          <w:p w14:paraId="05C82F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2" w:name="bPM"/>
            <w:bookmarkEnd w:id="2"/>
          </w:p>
        </w:tc>
        <w:tc>
          <w:tcPr>
            <w:tcW w:w="2999" w:type="dxa"/>
            <w:gridSpan w:val="2"/>
          </w:tcPr>
          <w:p w14:paraId="6BE179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3" w:name="bNr"/>
            <w:bookmarkEnd w:id="3"/>
          </w:p>
        </w:tc>
      </w:tr>
      <w:tr w:rsidR="006E4E11" w14:paraId="5CA051B9" w14:textId="77777777">
        <w:tc>
          <w:tcPr>
            <w:tcW w:w="3402" w:type="dxa"/>
            <w:gridSpan w:val="2"/>
          </w:tcPr>
          <w:p w14:paraId="0D0A9BD7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4" w:name="bRegSam"/>
            <w:bookmarkEnd w:id="4"/>
          </w:p>
        </w:tc>
        <w:tc>
          <w:tcPr>
            <w:tcW w:w="1865" w:type="dxa"/>
          </w:tcPr>
          <w:p w14:paraId="6B093E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45D0993" w14:textId="77777777">
        <w:tc>
          <w:tcPr>
            <w:tcW w:w="2268" w:type="dxa"/>
          </w:tcPr>
          <w:p w14:paraId="0D6BFDCD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5" w:name="bDatum"/>
            <w:bookmarkEnd w:id="5"/>
          </w:p>
        </w:tc>
        <w:tc>
          <w:tcPr>
            <w:tcW w:w="2999" w:type="dxa"/>
            <w:gridSpan w:val="2"/>
          </w:tcPr>
          <w:p w14:paraId="02F461EA" w14:textId="77777777" w:rsidR="006E4E11" w:rsidRPr="00ED583F" w:rsidRDefault="00BC639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6" w:name="bDiaNr"/>
            <w:bookmarkEnd w:id="6"/>
            <w:r>
              <w:rPr>
                <w:sz w:val="20"/>
              </w:rPr>
              <w:t xml:space="preserve">Dnr </w:t>
            </w:r>
            <w:r w:rsidR="00B81A35">
              <w:rPr>
                <w:sz w:val="20"/>
              </w:rPr>
              <w:t>Ju2016/</w:t>
            </w:r>
            <w:r w:rsidR="00B81A35" w:rsidRPr="00B81A35">
              <w:rPr>
                <w:sz w:val="20"/>
              </w:rPr>
              <w:t>07149/POL</w:t>
            </w:r>
          </w:p>
        </w:tc>
      </w:tr>
      <w:tr w:rsidR="006E4E11" w14:paraId="35FC9159" w14:textId="77777777">
        <w:tc>
          <w:tcPr>
            <w:tcW w:w="2268" w:type="dxa"/>
          </w:tcPr>
          <w:p w14:paraId="304535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2C06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74"/>
      </w:tblGrid>
      <w:tr w:rsidR="006E4E11" w14:paraId="5F317CBE" w14:textId="77777777" w:rsidTr="005B7C5F">
        <w:trPr>
          <w:trHeight w:val="193"/>
        </w:trPr>
        <w:tc>
          <w:tcPr>
            <w:tcW w:w="4474" w:type="dxa"/>
          </w:tcPr>
          <w:p w14:paraId="3560D754" w14:textId="77777777" w:rsidR="006E4E11" w:rsidRDefault="00BC6399" w:rsidP="005B7C5F">
            <w:pPr>
              <w:pStyle w:val="Avsndare"/>
              <w:framePr w:h="2483" w:wrap="notBeside" w:x="1343" w:y="2131"/>
              <w:rPr>
                <w:b/>
                <w:i w:val="0"/>
                <w:sz w:val="22"/>
              </w:rPr>
            </w:pPr>
            <w:bookmarkStart w:id="7" w:name="RKdep"/>
            <w:bookmarkStart w:id="8" w:name="RKenh"/>
            <w:bookmarkStart w:id="9" w:name="b1"/>
            <w:bookmarkEnd w:id="7"/>
            <w:bookmarkEnd w:id="8"/>
            <w:bookmarkEnd w:id="9"/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7DF7DA4" w14:textId="77777777" w:rsidTr="005B7C5F">
        <w:trPr>
          <w:trHeight w:val="193"/>
        </w:trPr>
        <w:tc>
          <w:tcPr>
            <w:tcW w:w="4474" w:type="dxa"/>
          </w:tcPr>
          <w:p w14:paraId="088B6CF4" w14:textId="77777777" w:rsidR="006E4E11" w:rsidRDefault="00BC6399" w:rsidP="005B7C5F">
            <w:pPr>
              <w:pStyle w:val="Avsndare"/>
              <w:framePr w:h="2483" w:wrap="notBeside" w:x="1343" w:y="2131"/>
              <w:rPr>
                <w:bCs/>
                <w:iCs/>
              </w:rPr>
            </w:pPr>
            <w:bookmarkStart w:id="10" w:name="b2"/>
            <w:bookmarkEnd w:id="10"/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B34A409" w14:textId="77777777" w:rsidTr="005B7C5F">
        <w:trPr>
          <w:trHeight w:val="193"/>
        </w:trPr>
        <w:tc>
          <w:tcPr>
            <w:tcW w:w="4474" w:type="dxa"/>
          </w:tcPr>
          <w:p w14:paraId="03E3F4D8" w14:textId="77777777" w:rsidR="006E4E11" w:rsidRDefault="006E4E11" w:rsidP="005B7C5F">
            <w:pPr>
              <w:pStyle w:val="Avsndare"/>
              <w:framePr w:h="2483" w:wrap="notBeside" w:x="1343" w:y="2131"/>
              <w:rPr>
                <w:bCs/>
                <w:iCs/>
              </w:rPr>
            </w:pPr>
            <w:bookmarkStart w:id="11" w:name="b3"/>
            <w:bookmarkEnd w:id="11"/>
          </w:p>
        </w:tc>
      </w:tr>
      <w:tr w:rsidR="00600766" w14:paraId="625C3603" w14:textId="77777777" w:rsidTr="005B7C5F">
        <w:trPr>
          <w:trHeight w:val="193"/>
        </w:trPr>
        <w:tc>
          <w:tcPr>
            <w:tcW w:w="4474" w:type="dxa"/>
          </w:tcPr>
          <w:p w14:paraId="0D85D580" w14:textId="77777777" w:rsidR="00600766" w:rsidRDefault="00600766" w:rsidP="005B7C5F">
            <w:pPr>
              <w:pStyle w:val="Avsndare"/>
              <w:framePr w:h="2483" w:wrap="notBeside" w:x="1343" w:y="2131"/>
              <w:rPr>
                <w:bCs/>
                <w:iCs/>
              </w:rPr>
            </w:pPr>
            <w:bookmarkStart w:id="12" w:name="b4"/>
            <w:bookmarkEnd w:id="12"/>
          </w:p>
        </w:tc>
      </w:tr>
      <w:tr w:rsidR="00600766" w:rsidRPr="00BE0D4A" w14:paraId="02A82615" w14:textId="77777777" w:rsidTr="005B7C5F">
        <w:trPr>
          <w:trHeight w:val="193"/>
        </w:trPr>
        <w:tc>
          <w:tcPr>
            <w:tcW w:w="4474" w:type="dxa"/>
          </w:tcPr>
          <w:p w14:paraId="0690F8DF" w14:textId="77777777" w:rsidR="00600766" w:rsidRPr="0077589A" w:rsidRDefault="00600766" w:rsidP="005B7C5F">
            <w:pPr>
              <w:pStyle w:val="Avsndare"/>
              <w:framePr w:h="2483" w:wrap="notBeside" w:x="1343" w:y="2131"/>
              <w:rPr>
                <w:bCs/>
                <w:iCs/>
                <w:lang w:val="de-DE"/>
              </w:rPr>
            </w:pPr>
            <w:bookmarkStart w:id="13" w:name="b5"/>
            <w:bookmarkEnd w:id="13"/>
          </w:p>
        </w:tc>
      </w:tr>
      <w:tr w:rsidR="00600766" w14:paraId="40C66EA1" w14:textId="77777777" w:rsidTr="005B7C5F">
        <w:trPr>
          <w:trHeight w:val="193"/>
        </w:trPr>
        <w:tc>
          <w:tcPr>
            <w:tcW w:w="4474" w:type="dxa"/>
          </w:tcPr>
          <w:p w14:paraId="07C9A768" w14:textId="77777777" w:rsidR="00600766" w:rsidRPr="0077589A" w:rsidRDefault="00600766" w:rsidP="005B7C5F">
            <w:pPr>
              <w:pStyle w:val="Avsndare"/>
              <w:framePr w:h="2483" w:wrap="notBeside" w:x="1343" w:y="2131"/>
              <w:rPr>
                <w:bCs/>
                <w:iCs/>
                <w:lang w:val="de-DE"/>
              </w:rPr>
            </w:pPr>
            <w:bookmarkStart w:id="14" w:name="b6"/>
            <w:bookmarkEnd w:id="14"/>
          </w:p>
          <w:p w14:paraId="5E2807F7" w14:textId="77777777" w:rsidR="00600766" w:rsidRDefault="00600766" w:rsidP="005B7C5F">
            <w:pPr>
              <w:pStyle w:val="Avsndare"/>
              <w:framePr w:h="2483" w:wrap="notBeside" w:x="1343" w:y="2131"/>
              <w:rPr>
                <w:bCs/>
                <w:iCs/>
              </w:rPr>
            </w:pPr>
          </w:p>
        </w:tc>
      </w:tr>
      <w:tr w:rsidR="00600766" w14:paraId="623C1176" w14:textId="77777777" w:rsidTr="005B7C5F">
        <w:trPr>
          <w:trHeight w:val="193"/>
        </w:trPr>
        <w:tc>
          <w:tcPr>
            <w:tcW w:w="4474" w:type="dxa"/>
          </w:tcPr>
          <w:p w14:paraId="178EF43A" w14:textId="77777777" w:rsidR="00600766" w:rsidRDefault="00600766" w:rsidP="005B7C5F">
            <w:pPr>
              <w:pStyle w:val="Avsndare"/>
              <w:framePr w:h="2483" w:wrap="notBeside" w:x="1343" w:y="2131"/>
              <w:rPr>
                <w:bCs/>
                <w:iCs/>
              </w:rPr>
            </w:pPr>
            <w:bookmarkStart w:id="15" w:name="b7"/>
            <w:bookmarkEnd w:id="15"/>
          </w:p>
        </w:tc>
      </w:tr>
      <w:tr w:rsidR="00600766" w14:paraId="2875D7C9" w14:textId="77777777" w:rsidTr="005B7C5F">
        <w:trPr>
          <w:trHeight w:val="193"/>
        </w:trPr>
        <w:tc>
          <w:tcPr>
            <w:tcW w:w="4474" w:type="dxa"/>
          </w:tcPr>
          <w:p w14:paraId="3576C524" w14:textId="77777777" w:rsidR="00600766" w:rsidRDefault="00600766" w:rsidP="005B7C5F">
            <w:pPr>
              <w:pStyle w:val="Avsndare"/>
              <w:framePr w:h="2483" w:wrap="notBeside" w:x="1343" w:y="2131"/>
              <w:rPr>
                <w:bCs/>
                <w:iCs/>
              </w:rPr>
            </w:pPr>
            <w:bookmarkStart w:id="16" w:name="b8"/>
            <w:bookmarkEnd w:id="16"/>
          </w:p>
        </w:tc>
      </w:tr>
      <w:tr w:rsidR="00600766" w14:paraId="070BB9E9" w14:textId="77777777" w:rsidTr="005B7C5F">
        <w:trPr>
          <w:trHeight w:val="193"/>
        </w:trPr>
        <w:tc>
          <w:tcPr>
            <w:tcW w:w="4474" w:type="dxa"/>
          </w:tcPr>
          <w:p w14:paraId="4BE40E77" w14:textId="77777777" w:rsidR="00600766" w:rsidRDefault="00600766" w:rsidP="005B7C5F">
            <w:pPr>
              <w:pStyle w:val="Avsndare"/>
              <w:framePr w:h="2483" w:wrap="notBeside" w:x="1343" w:y="2131"/>
              <w:rPr>
                <w:bCs/>
                <w:iCs/>
              </w:rPr>
            </w:pPr>
            <w:bookmarkStart w:id="17" w:name="b9"/>
            <w:bookmarkEnd w:id="17"/>
          </w:p>
        </w:tc>
      </w:tr>
      <w:tr w:rsidR="00600766" w14:paraId="4202F04C" w14:textId="77777777" w:rsidTr="005B7C5F">
        <w:trPr>
          <w:trHeight w:val="54"/>
        </w:trPr>
        <w:tc>
          <w:tcPr>
            <w:tcW w:w="4474" w:type="dxa"/>
          </w:tcPr>
          <w:p w14:paraId="67E7C87A" w14:textId="77777777" w:rsidR="00600766" w:rsidRDefault="00600766" w:rsidP="005B7C5F">
            <w:pPr>
              <w:pStyle w:val="Avsndare"/>
              <w:framePr w:h="2483" w:wrap="notBeside" w:x="1343" w:y="2131"/>
              <w:rPr>
                <w:bCs/>
                <w:iCs/>
              </w:rPr>
            </w:pPr>
          </w:p>
        </w:tc>
      </w:tr>
    </w:tbl>
    <w:p w14:paraId="05C976BE" w14:textId="77777777" w:rsidR="006E4E11" w:rsidRDefault="00BC6399">
      <w:pPr>
        <w:framePr w:w="4400" w:h="2523" w:wrap="notBeside" w:vAnchor="page" w:hAnchor="page" w:x="6453" w:y="2445"/>
        <w:ind w:left="142"/>
      </w:pPr>
      <w:bookmarkStart w:id="18" w:name="bMottag"/>
      <w:bookmarkEnd w:id="18"/>
      <w:r>
        <w:t>Till riksdagen</w:t>
      </w:r>
      <w:r w:rsidR="004F08D1">
        <w:br/>
      </w:r>
      <w:r w:rsidR="004F08D1">
        <w:br/>
      </w:r>
      <w:r w:rsidR="004F08D1">
        <w:br/>
      </w:r>
    </w:p>
    <w:p w14:paraId="1CDD166A" w14:textId="77777777" w:rsidR="006E4E11" w:rsidRDefault="00BC6399" w:rsidP="00BC6399">
      <w:pPr>
        <w:pStyle w:val="RKrubrik"/>
        <w:pBdr>
          <w:bottom w:val="single" w:sz="4" w:space="1" w:color="auto"/>
        </w:pBdr>
        <w:spacing w:before="0" w:after="0"/>
      </w:pPr>
      <w:bookmarkStart w:id="19" w:name="bRubrik"/>
      <w:bookmarkEnd w:id="19"/>
      <w:r>
        <w:t>Svar på fråga 2016/17:143 av Johan Forssell (M) Preskriptionstiden för ny asylansökan</w:t>
      </w:r>
    </w:p>
    <w:p w14:paraId="68B1AD9B" w14:textId="77777777" w:rsidR="006E4E11" w:rsidRDefault="006E4E11">
      <w:pPr>
        <w:pStyle w:val="RKnormal"/>
      </w:pPr>
      <w:bookmarkStart w:id="20" w:name="bBilaga"/>
      <w:bookmarkEnd w:id="20"/>
    </w:p>
    <w:p w14:paraId="035E0FFE" w14:textId="77777777" w:rsidR="00CF5F9B" w:rsidRDefault="00BC6399" w:rsidP="001F2898">
      <w:bookmarkStart w:id="21" w:name="BrevSÖver"/>
      <w:bookmarkStart w:id="22" w:name="bSkrivStart"/>
      <w:bookmarkEnd w:id="21"/>
      <w:bookmarkEnd w:id="22"/>
      <w:r>
        <w:t>Johan Forssell har frågat mig om jag avser att vidta några åtgärder för att antingen fördubbla eller ta bort preskriptions</w:t>
      </w:r>
      <w:r>
        <w:softHyphen/>
      </w:r>
      <w:r>
        <w:softHyphen/>
        <w:t>tiden för asylansökan i Sverige.</w:t>
      </w:r>
      <w:r w:rsidR="00063CF7">
        <w:t xml:space="preserve"> </w:t>
      </w:r>
      <w:r w:rsidR="0073431B">
        <w:t xml:space="preserve">Enligt </w:t>
      </w:r>
      <w:r w:rsidR="00F13B57">
        <w:t>frågeställaren</w:t>
      </w:r>
      <w:r w:rsidR="00063CF7">
        <w:t xml:space="preserve"> kan </w:t>
      </w:r>
      <w:r w:rsidR="00DE0507">
        <w:t xml:space="preserve">nuvarande regler för preskription av ett avlägsnandebeslut bidra till att människor avviker och håller sig gömda från myndigheterna. </w:t>
      </w:r>
    </w:p>
    <w:p w14:paraId="4A984057" w14:textId="77777777" w:rsidR="00CF5F9B" w:rsidRDefault="00CF5F9B" w:rsidP="001F2898"/>
    <w:p w14:paraId="4DE924DE" w14:textId="77777777" w:rsidR="00F07FD6" w:rsidRDefault="00F07FD6" w:rsidP="001F2898">
      <w:r>
        <w:t xml:space="preserve">Reglerna om preskription i den svenska utlänningslagstiftningen innebär </w:t>
      </w:r>
      <w:r w:rsidRPr="00B42CF8">
        <w:t xml:space="preserve">att ett beslut om avvisning eller utvisning som inte har meddelats av allmän domstol upphör att gälla fyra år från det att beslutet </w:t>
      </w:r>
      <w:r w:rsidR="00BE0D4A">
        <w:t>fick</w:t>
      </w:r>
      <w:r w:rsidR="00BE0D4A" w:rsidRPr="00B42CF8">
        <w:t xml:space="preserve"> </w:t>
      </w:r>
      <w:r w:rsidRPr="00B42CF8">
        <w:t>laga kraft</w:t>
      </w:r>
      <w:r>
        <w:t>. De</w:t>
      </w:r>
      <w:r w:rsidR="0074524F">
        <w:t xml:space="preserve">tta har bedömts vara en rimlig tidsmässig balans mellan </w:t>
      </w:r>
      <w:r>
        <w:t xml:space="preserve">att </w:t>
      </w:r>
      <w:r w:rsidR="00BE0D4A">
        <w:t xml:space="preserve">å ena sidan </w:t>
      </w:r>
      <w:r w:rsidRPr="00B42CF8">
        <w:t>förskona den enskilde från att under mycket lång tid behöva leva under hot om avlägsnande på grund av ett beslut som av någon anledn</w:t>
      </w:r>
      <w:r w:rsidR="0074524F">
        <w:t>ing inte har kunnat verkställas</w:t>
      </w:r>
      <w:r w:rsidR="00BE0D4A">
        <w:t>,</w:t>
      </w:r>
      <w:r w:rsidR="0074524F">
        <w:t xml:space="preserve"> och</w:t>
      </w:r>
      <w:r w:rsidR="00BE0D4A">
        <w:t xml:space="preserve"> å andra sidan</w:t>
      </w:r>
      <w:r>
        <w:t xml:space="preserve"> motverka a</w:t>
      </w:r>
      <w:r w:rsidRPr="00B42CF8">
        <w:t>tt utlänningar förhindra</w:t>
      </w:r>
      <w:r>
        <w:t>r</w:t>
      </w:r>
      <w:r w:rsidRPr="00B42CF8">
        <w:t xml:space="preserve"> verkställigheten genom att hålla sig undan</w:t>
      </w:r>
      <w:r>
        <w:t xml:space="preserve">. </w:t>
      </w:r>
      <w:r w:rsidR="00C84AF9">
        <w:t>I de fall där preskription</w:t>
      </w:r>
      <w:r w:rsidR="00875574">
        <w:t>en</w:t>
      </w:r>
      <w:r w:rsidR="00C84AF9">
        <w:t xml:space="preserve"> har föranletts av att personen i fråga har hållit sig undan </w:t>
      </w:r>
      <w:r w:rsidR="00A1015A">
        <w:t>eller på annat sätt bidragit till att beslutet inte har kunnat</w:t>
      </w:r>
      <w:r w:rsidR="00875574">
        <w:t xml:space="preserve"> verkställas, </w:t>
      </w:r>
      <w:r w:rsidR="00C84AF9">
        <w:t>är u</w:t>
      </w:r>
      <w:r w:rsidR="00FB2304">
        <w:t xml:space="preserve">trymmet att bevilja uppehållstillstånd </w:t>
      </w:r>
      <w:r w:rsidR="00C84AF9">
        <w:t>ytterst begränsat.</w:t>
      </w:r>
      <w:r w:rsidR="00FB2304">
        <w:t xml:space="preserve"> </w:t>
      </w:r>
      <w:r>
        <w:t xml:space="preserve">När det gäller 18-månadersfristen </w:t>
      </w:r>
      <w:r w:rsidRPr="00B42CF8">
        <w:t xml:space="preserve">i </w:t>
      </w:r>
      <w:r>
        <w:t>så kallade Dublinärenden</w:t>
      </w:r>
      <w:r w:rsidR="0074524F">
        <w:t>,</w:t>
      </w:r>
      <w:r>
        <w:t xml:space="preserve"> regleras detta i </w:t>
      </w:r>
      <w:proofErr w:type="spellStart"/>
      <w:r>
        <w:t>Dublin</w:t>
      </w:r>
      <w:r w:rsidR="0074524F">
        <w:softHyphen/>
      </w:r>
      <w:r>
        <w:t>förord</w:t>
      </w:r>
      <w:r w:rsidR="0074524F">
        <w:softHyphen/>
      </w:r>
      <w:r>
        <w:t>ningen</w:t>
      </w:r>
      <w:proofErr w:type="spellEnd"/>
      <w:r>
        <w:t xml:space="preserve"> som Sverige är </w:t>
      </w:r>
      <w:r w:rsidR="00A74D5A">
        <w:t xml:space="preserve">direkt </w:t>
      </w:r>
      <w:r>
        <w:t>bunden av och alltså i</w:t>
      </w:r>
      <w:r w:rsidRPr="00B42CF8">
        <w:t xml:space="preserve">nte </w:t>
      </w:r>
      <w:r>
        <w:t xml:space="preserve">kan </w:t>
      </w:r>
      <w:r w:rsidRPr="00B42CF8">
        <w:t xml:space="preserve">lagstifta om </w:t>
      </w:r>
      <w:r w:rsidR="001F2898" w:rsidRPr="00B42CF8">
        <w:t>nationellt</w:t>
      </w:r>
      <w:r w:rsidRPr="00B42CF8">
        <w:t>.</w:t>
      </w:r>
    </w:p>
    <w:p w14:paraId="04383BA2" w14:textId="77777777" w:rsidR="00F07FD6" w:rsidRDefault="00F07FD6" w:rsidP="001F2898">
      <w:r w:rsidRPr="00B42CF8">
        <w:t xml:space="preserve"> </w:t>
      </w:r>
    </w:p>
    <w:p w14:paraId="7C54674D" w14:textId="77777777" w:rsidR="00DA2C9A" w:rsidRDefault="004C55B1" w:rsidP="0006025F">
      <w:r>
        <w:t xml:space="preserve">Regeringen har </w:t>
      </w:r>
      <w:r w:rsidR="00F07FD6" w:rsidRPr="00F07FD6">
        <w:t xml:space="preserve">vidtagit ett antal åtgärder och </w:t>
      </w:r>
      <w:r w:rsidR="001F2898">
        <w:t xml:space="preserve">har </w:t>
      </w:r>
      <w:r w:rsidR="00F07FD6" w:rsidRPr="00F07FD6">
        <w:t>tillfört resurser till berörda myndigheter för</w:t>
      </w:r>
      <w:r w:rsidR="00BE0D4A">
        <w:t xml:space="preserve"> att</w:t>
      </w:r>
      <w:r w:rsidR="00F07FD6" w:rsidRPr="00F07FD6">
        <w:t xml:space="preserve"> </w:t>
      </w:r>
      <w:r w:rsidR="00BA7F24">
        <w:t xml:space="preserve">få till stånd </w:t>
      </w:r>
      <w:r>
        <w:t xml:space="preserve">ett </w:t>
      </w:r>
      <w:r w:rsidR="00F07FD6" w:rsidRPr="00F07FD6">
        <w:t>effektivt och välordnat återvändande</w:t>
      </w:r>
      <w:r w:rsidR="00BE0D4A">
        <w:t>,</w:t>
      </w:r>
      <w:r w:rsidR="00F07FD6" w:rsidRPr="00F07FD6">
        <w:t xml:space="preserve"> </w:t>
      </w:r>
      <w:r w:rsidR="001F2898">
        <w:t xml:space="preserve">som i sin tur ska bidra till att motverka </w:t>
      </w:r>
      <w:r w:rsidR="00F07FD6" w:rsidRPr="00F07FD6">
        <w:t>att personer med avlägsnande</w:t>
      </w:r>
      <w:r w:rsidR="001F2898">
        <w:softHyphen/>
      </w:r>
      <w:r w:rsidR="00F07FD6" w:rsidRPr="00F07FD6">
        <w:t>beslut avviker i samband med verkställighets</w:t>
      </w:r>
      <w:r w:rsidR="00F07FD6" w:rsidRPr="00F07FD6">
        <w:softHyphen/>
        <w:t>processen.</w:t>
      </w:r>
      <w:r w:rsidR="001F2898">
        <w:t xml:space="preserve"> </w:t>
      </w:r>
    </w:p>
    <w:p w14:paraId="4D0BF0AE" w14:textId="77777777" w:rsidR="00DA2C9A" w:rsidRDefault="00DA2C9A" w:rsidP="0006025F"/>
    <w:p w14:paraId="5E1D18DA" w14:textId="77777777" w:rsidR="0006025F" w:rsidRDefault="00CF5F9B" w:rsidP="0006025F">
      <w:r>
        <w:t>I reglerings</w:t>
      </w:r>
      <w:r w:rsidR="001F2898">
        <w:softHyphen/>
      </w:r>
      <w:r>
        <w:t>breven för 2016 har Migrationsverket och Polismyndigheten med bistånd av Kriminalvården fått i uppdrag att genomföra en försöks</w:t>
      </w:r>
      <w:r w:rsidR="001F2898">
        <w:softHyphen/>
      </w:r>
      <w:r>
        <w:t>verksamhet i syfte att effektivisera återvändandet. Uppdraget ska redo</w:t>
      </w:r>
      <w:r w:rsidR="00BA7F24">
        <w:softHyphen/>
      </w:r>
      <w:r>
        <w:t xml:space="preserve">visas senare i höst. Vidare har myndigheterna särskilt fått i uppdrag att </w:t>
      </w:r>
      <w:r>
        <w:lastRenderedPageBreak/>
        <w:t>korta tiden från ansökan till återvändande, att placera ut särskilda återvändande</w:t>
      </w:r>
      <w:r w:rsidR="00063CF7">
        <w:softHyphen/>
      </w:r>
      <w:r>
        <w:t>sambandsmän vid valda utlandsmyndigheter samt att utöka antalet förvarsplatser</w:t>
      </w:r>
      <w:r w:rsidR="0006025F">
        <w:t xml:space="preserve"> med ett hundratal platser från den 1 oktober, vilket innebär en ökning med 40 procent i förhållande till tidigare. </w:t>
      </w:r>
    </w:p>
    <w:p w14:paraId="1D4F54A4" w14:textId="77777777" w:rsidR="001A734C" w:rsidRDefault="001A734C" w:rsidP="0073431B"/>
    <w:p w14:paraId="076ECB35" w14:textId="77777777" w:rsidR="0073431B" w:rsidRDefault="00CF5F9B" w:rsidP="0073431B">
      <w:r>
        <w:t xml:space="preserve">Även ändringar i lagstiftningen har genomförts, bland annat i syfte att öka incitamenten </w:t>
      </w:r>
      <w:r w:rsidR="001C7B87">
        <w:t xml:space="preserve">för </w:t>
      </w:r>
      <w:r>
        <w:t>att återvända självmant. Sedan den 1 juni i år är huvud</w:t>
      </w:r>
      <w:r w:rsidR="0074524F">
        <w:softHyphen/>
      </w:r>
      <w:r>
        <w:t xml:space="preserve">regeln att vuxna utan barn förlorar rätten till bostad och dagersättning efter </w:t>
      </w:r>
      <w:r w:rsidR="001A734C">
        <w:t xml:space="preserve">att </w:t>
      </w:r>
      <w:r>
        <w:t>ett avslagsbeslut</w:t>
      </w:r>
      <w:r w:rsidR="001A734C">
        <w:t xml:space="preserve"> fått laga kraft</w:t>
      </w:r>
      <w:r>
        <w:t xml:space="preserve">. </w:t>
      </w:r>
    </w:p>
    <w:p w14:paraId="40766980" w14:textId="77777777" w:rsidR="0073431B" w:rsidRDefault="0073431B" w:rsidP="006979A6"/>
    <w:p w14:paraId="19BA24A6" w14:textId="77777777" w:rsidR="00DA2C9A" w:rsidRDefault="0073431B" w:rsidP="006979A6">
      <w:r>
        <w:t>För att Migrationsverket, Polismyndigheten och övriga berörda myndig</w:t>
      </w:r>
      <w:r>
        <w:softHyphen/>
        <w:t>heter ska kunna fullgöra sina uppdrag på området presenterade regeringen den 22 september dessutom ytterligare åtgärder som för</w:t>
      </w:r>
      <w:r w:rsidR="00F43567">
        <w:softHyphen/>
      </w:r>
      <w:r>
        <w:t xml:space="preserve">tydligar ansvarsfördelningen och ger myndigheterna bättre verktyg. </w:t>
      </w:r>
    </w:p>
    <w:p w14:paraId="151CC348" w14:textId="77777777" w:rsidR="00DA2C9A" w:rsidRDefault="00DA2C9A" w:rsidP="006979A6"/>
    <w:p w14:paraId="0B7C65DE" w14:textId="77777777" w:rsidR="0073431B" w:rsidRDefault="0073431B" w:rsidP="006979A6">
      <w:r w:rsidRPr="00B04FC2">
        <w:t xml:space="preserve">Bland annat föreslås polisen få möjligheter att genomföra </w:t>
      </w:r>
      <w:proofErr w:type="spellStart"/>
      <w:r w:rsidRPr="00B04FC2">
        <w:t>arbetsplats</w:t>
      </w:r>
      <w:r>
        <w:softHyphen/>
      </w:r>
      <w:r w:rsidRPr="00B04FC2">
        <w:t>inspektioner</w:t>
      </w:r>
      <w:proofErr w:type="spellEnd"/>
      <w:r w:rsidRPr="00B04FC2">
        <w:t xml:space="preserve"> för att kontrollera att arbetsgivare inte utnyttjar personer som inte får vistas i Sverige.</w:t>
      </w:r>
      <w:r w:rsidRPr="005237B0">
        <w:t xml:space="preserve"> </w:t>
      </w:r>
      <w:r w:rsidRPr="00B04FC2">
        <w:t>Det handlar även om förbättrade möjlig</w:t>
      </w:r>
      <w:r>
        <w:softHyphen/>
      </w:r>
      <w:r w:rsidRPr="00B04FC2">
        <w:t>heter att kunna fastställa identiteten på personer som kan antas befinna sig i landet utan uppehållstillstånd</w:t>
      </w:r>
      <w:r w:rsidR="00BA7F24">
        <w:t xml:space="preserve"> och utökade möjligheter att om</w:t>
      </w:r>
      <w:r w:rsidR="00F43567">
        <w:softHyphen/>
      </w:r>
      <w:r w:rsidR="00BA7F24">
        <w:t>händerta pass och andra identitetshandlingar</w:t>
      </w:r>
      <w:r w:rsidRPr="00B04FC2">
        <w:t>.</w:t>
      </w:r>
      <w:r>
        <w:t xml:space="preserve"> D</w:t>
      </w:r>
      <w:r w:rsidR="0074524F">
        <w:t xml:space="preserve">ärutöver </w:t>
      </w:r>
      <w:r>
        <w:t>föreslås förbättrade regler för förvar. Exempelvis vill regeringen införa en bestämmelse som tydlig</w:t>
      </w:r>
      <w:r>
        <w:softHyphen/>
        <w:t>gör</w:t>
      </w:r>
      <w:r w:rsidRPr="005237B0">
        <w:t xml:space="preserve"> </w:t>
      </w:r>
      <w:r>
        <w:t xml:space="preserve">att </w:t>
      </w:r>
      <w:r w:rsidRPr="005237B0">
        <w:t xml:space="preserve">en person får placeras utanför Migrationsverkets förvarslokaler </w:t>
      </w:r>
      <w:r>
        <w:t xml:space="preserve">av transporttekniska skäl i högst tre dygn. Detta kommer </w:t>
      </w:r>
      <w:r w:rsidR="001A734C">
        <w:t xml:space="preserve">att </w:t>
      </w:r>
      <w:r>
        <w:t xml:space="preserve">ge </w:t>
      </w:r>
      <w:r w:rsidRPr="00C32E49">
        <w:t>Polismyndig</w:t>
      </w:r>
      <w:r>
        <w:softHyphen/>
      </w:r>
      <w:r w:rsidRPr="00C32E49">
        <w:t>heten nödvändig tid att kunna organi</w:t>
      </w:r>
      <w:r>
        <w:t>sera e</w:t>
      </w:r>
      <w:r w:rsidR="001A734C">
        <w:t>tt</w:t>
      </w:r>
      <w:r>
        <w:t xml:space="preserve"> välordnat återvändande</w:t>
      </w:r>
      <w:r w:rsidRPr="00C32E49">
        <w:t xml:space="preserve"> utan risk</w:t>
      </w:r>
      <w:r w:rsidR="001A734C">
        <w:t xml:space="preserve"> för</w:t>
      </w:r>
      <w:r w:rsidRPr="00C32E49">
        <w:t xml:space="preserve"> att </w:t>
      </w:r>
      <w:r>
        <w:t>personer</w:t>
      </w:r>
      <w:r w:rsidRPr="00C32E49">
        <w:t xml:space="preserve"> avviker</w:t>
      </w:r>
      <w:r>
        <w:t xml:space="preserve"> under tiden</w:t>
      </w:r>
      <w:r w:rsidRPr="00C32E49">
        <w:t>.</w:t>
      </w:r>
    </w:p>
    <w:p w14:paraId="3E5CBEC7" w14:textId="77777777" w:rsidR="00CF5F9B" w:rsidRDefault="00CF5F9B" w:rsidP="006979A6"/>
    <w:p w14:paraId="070FBCED" w14:textId="77777777" w:rsidR="00BA7F24" w:rsidRDefault="00BA7F24" w:rsidP="00BA7F24">
      <w:r>
        <w:t xml:space="preserve">Nyligen tecknade regeringen </w:t>
      </w:r>
      <w:r w:rsidR="001A734C">
        <w:t xml:space="preserve">och Afghanistan </w:t>
      </w:r>
      <w:r>
        <w:t>ett</w:t>
      </w:r>
      <w:r w:rsidRPr="00173EF1">
        <w:t xml:space="preserve"> samförståndsavtal om återtagande</w:t>
      </w:r>
      <w:r>
        <w:t xml:space="preserve">, vilket </w:t>
      </w:r>
      <w:r w:rsidRPr="00173EF1">
        <w:t xml:space="preserve">kan bidra till att korta väntetiderna för personer som ska återvända </w:t>
      </w:r>
      <w:r>
        <w:t xml:space="preserve">till Afghanistan </w:t>
      </w:r>
      <w:r w:rsidRPr="00173EF1">
        <w:t xml:space="preserve">och </w:t>
      </w:r>
      <w:r w:rsidR="001A734C">
        <w:t xml:space="preserve">även till </w:t>
      </w:r>
      <w:r w:rsidRPr="00173EF1">
        <w:t>en mer välordnad och förutsägbar process</w:t>
      </w:r>
      <w:r>
        <w:t>.</w:t>
      </w:r>
      <w:r w:rsidRPr="00173EF1">
        <w:t xml:space="preserve"> </w:t>
      </w:r>
    </w:p>
    <w:p w14:paraId="01CF8168" w14:textId="77777777" w:rsidR="00BA7F24" w:rsidRDefault="00BA7F24" w:rsidP="006979A6"/>
    <w:p w14:paraId="10A413D4" w14:textId="77777777" w:rsidR="0073431B" w:rsidRDefault="0074524F" w:rsidP="006979A6">
      <w:r>
        <w:t xml:space="preserve">Slutligen kan det </w:t>
      </w:r>
      <w:r w:rsidR="0073431B">
        <w:t>konstateras att å</w:t>
      </w:r>
      <w:r w:rsidR="0073431B" w:rsidRPr="00F53855">
        <w:t xml:space="preserve">tervändandet </w:t>
      </w:r>
      <w:r w:rsidR="0073431B">
        <w:t>har ökat under 2016.</w:t>
      </w:r>
      <w:r w:rsidR="0073431B" w:rsidRPr="00F53855">
        <w:t xml:space="preserve"> Mellan </w:t>
      </w:r>
      <w:r w:rsidR="0073431B" w:rsidRPr="00B36DEB">
        <w:t xml:space="preserve">januari och </w:t>
      </w:r>
      <w:r w:rsidR="0073431B">
        <w:t>september</w:t>
      </w:r>
      <w:r w:rsidR="0073431B" w:rsidRPr="00F53855">
        <w:t xml:space="preserve"> var det totalt </w:t>
      </w:r>
      <w:r w:rsidR="0073431B">
        <w:t>15 500</w:t>
      </w:r>
      <w:r w:rsidR="0073431B" w:rsidRPr="00F53855">
        <w:t xml:space="preserve"> p</w:t>
      </w:r>
      <w:r w:rsidR="0073431B">
        <w:t>ersoner som återvände, vilket är</w:t>
      </w:r>
      <w:r w:rsidR="0073431B" w:rsidRPr="00F53855">
        <w:t xml:space="preserve"> </w:t>
      </w:r>
      <w:r w:rsidR="0073431B">
        <w:t>ca 70</w:t>
      </w:r>
      <w:r w:rsidR="0073431B" w:rsidRPr="00F53855">
        <w:t xml:space="preserve"> procent mer än under motsvarande period 2015.</w:t>
      </w:r>
    </w:p>
    <w:p w14:paraId="01996378" w14:textId="77777777" w:rsidR="0073431B" w:rsidRDefault="0073431B" w:rsidP="006979A6"/>
    <w:p w14:paraId="7489A697" w14:textId="77777777" w:rsidR="004F08D1" w:rsidRDefault="00AA6968" w:rsidP="006979A6">
      <w:r>
        <w:t xml:space="preserve">Regeringen kommer att fortsätta att följa frågan noga för att säkerställa att det finns ett fungerande </w:t>
      </w:r>
      <w:r w:rsidR="001955CC">
        <w:t>återvändande</w:t>
      </w:r>
      <w:r>
        <w:t>.</w:t>
      </w:r>
      <w:r w:rsidR="00F93C23">
        <w:t xml:space="preserve"> Mot ovanstående bakgrund anser jag dock inte att det finns skäl att ändra p</w:t>
      </w:r>
      <w:r w:rsidR="004F08D1">
        <w:t>reskriptionstiden i utlänningsärenden</w:t>
      </w:r>
      <w:r w:rsidR="0073431B">
        <w:t>.</w:t>
      </w:r>
    </w:p>
    <w:p w14:paraId="5FC8F14E" w14:textId="77777777" w:rsidR="00B42CF8" w:rsidRDefault="00B42CF8" w:rsidP="006979A6"/>
    <w:p w14:paraId="3ADE2BB5" w14:textId="77777777" w:rsidR="00BC6399" w:rsidRDefault="00BC6399">
      <w:pPr>
        <w:pStyle w:val="RKnormal"/>
      </w:pPr>
      <w:r>
        <w:t>Stockholm den 26 oktober 2016</w:t>
      </w:r>
    </w:p>
    <w:p w14:paraId="783F8795" w14:textId="77777777" w:rsidR="00BC6399" w:rsidRDefault="00BC6399">
      <w:pPr>
        <w:pStyle w:val="RKnormal"/>
      </w:pPr>
    </w:p>
    <w:p w14:paraId="38414E40" w14:textId="77777777" w:rsidR="005B7C5F" w:rsidRDefault="005B7C5F">
      <w:pPr>
        <w:pStyle w:val="RKnormal"/>
      </w:pPr>
    </w:p>
    <w:p w14:paraId="3C63AF1D" w14:textId="77777777" w:rsidR="00BC6399" w:rsidRDefault="00BC6399">
      <w:pPr>
        <w:pStyle w:val="RKnormal"/>
      </w:pPr>
      <w:r>
        <w:t>Morgan Johansson</w:t>
      </w:r>
    </w:p>
    <w:sectPr w:rsidR="00BC639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E873D" w14:textId="77777777" w:rsidR="008C5479" w:rsidRDefault="008C5479">
      <w:r>
        <w:separator/>
      </w:r>
    </w:p>
  </w:endnote>
  <w:endnote w:type="continuationSeparator" w:id="0">
    <w:p w14:paraId="7F7773E5" w14:textId="77777777" w:rsidR="008C5479" w:rsidRDefault="008C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1B869" w14:textId="77777777" w:rsidR="008C5479" w:rsidRDefault="008C5479">
      <w:r>
        <w:separator/>
      </w:r>
    </w:p>
  </w:footnote>
  <w:footnote w:type="continuationSeparator" w:id="0">
    <w:p w14:paraId="043AD62B" w14:textId="77777777" w:rsidR="008C5479" w:rsidRDefault="008C5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99AD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3553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A7F905" w14:textId="77777777">
      <w:trPr>
        <w:cantSplit/>
      </w:trPr>
      <w:tc>
        <w:tcPr>
          <w:tcW w:w="3119" w:type="dxa"/>
        </w:tcPr>
        <w:p w14:paraId="7E06662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8AA3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9D969E" w14:textId="77777777" w:rsidR="00E80146" w:rsidRDefault="00E80146">
          <w:pPr>
            <w:pStyle w:val="Sidhuvud"/>
            <w:ind w:right="360"/>
          </w:pPr>
        </w:p>
      </w:tc>
    </w:tr>
  </w:tbl>
  <w:p w14:paraId="76093BE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CC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B7C5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E26E38" w14:textId="77777777">
      <w:trPr>
        <w:cantSplit/>
      </w:trPr>
      <w:tc>
        <w:tcPr>
          <w:tcW w:w="3119" w:type="dxa"/>
        </w:tcPr>
        <w:p w14:paraId="629C491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ADBAD3" w14:textId="77777777" w:rsidR="00E80146" w:rsidRDefault="00E80146">
          <w:pPr>
            <w:pStyle w:val="Sidhuvud"/>
            <w:ind w:right="360"/>
          </w:pPr>
          <w:bookmarkStart w:id="23" w:name="hDoktyp"/>
          <w:bookmarkEnd w:id="23"/>
        </w:p>
      </w:tc>
      <w:tc>
        <w:tcPr>
          <w:tcW w:w="1525" w:type="dxa"/>
        </w:tcPr>
        <w:p w14:paraId="43E4E999" w14:textId="77777777" w:rsidR="00E80146" w:rsidRDefault="00E80146">
          <w:pPr>
            <w:pStyle w:val="Sidhuvud"/>
            <w:ind w:right="360"/>
          </w:pPr>
        </w:p>
      </w:tc>
    </w:tr>
  </w:tbl>
  <w:p w14:paraId="6CAB39C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93EA7" w14:textId="77777777" w:rsidR="00BC6399" w:rsidRDefault="00BE0D4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4810C5D" wp14:editId="65C3F55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557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E1348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  <w:bookmarkStart w:id="24" w:name="EjLoggaRegKansl"/>
    <w:bookmarkEnd w:id="24"/>
  </w:p>
  <w:p w14:paraId="40A81C9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  <w:bookmarkStart w:id="25" w:name="EjLoggaDep"/>
    <w:bookmarkEnd w:id="25"/>
  </w:p>
  <w:p w14:paraId="0C5DC3FF" w14:textId="77777777" w:rsidR="00E80146" w:rsidRDefault="00E80146">
    <w:pPr>
      <w:rPr>
        <w:rFonts w:ascii="TradeGothic" w:hAnsi="TradeGothic"/>
        <w:i/>
        <w:iCs/>
        <w:sz w:val="18"/>
      </w:rPr>
    </w:pPr>
    <w:bookmarkStart w:id="26" w:name="EjLoggaTitel"/>
    <w:bookmarkEnd w:id="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99"/>
    <w:rsid w:val="0006025F"/>
    <w:rsid w:val="000615E3"/>
    <w:rsid w:val="00063CF7"/>
    <w:rsid w:val="000D31A5"/>
    <w:rsid w:val="00150384"/>
    <w:rsid w:val="00160901"/>
    <w:rsid w:val="001805B7"/>
    <w:rsid w:val="001955CC"/>
    <w:rsid w:val="001A734C"/>
    <w:rsid w:val="001C1A09"/>
    <w:rsid w:val="001C7B87"/>
    <w:rsid w:val="001E2193"/>
    <w:rsid w:val="001F2898"/>
    <w:rsid w:val="00202FCE"/>
    <w:rsid w:val="00322428"/>
    <w:rsid w:val="00367B1C"/>
    <w:rsid w:val="004A328D"/>
    <w:rsid w:val="004C55B1"/>
    <w:rsid w:val="004F08D1"/>
    <w:rsid w:val="0053553F"/>
    <w:rsid w:val="0058762B"/>
    <w:rsid w:val="005B7C5F"/>
    <w:rsid w:val="00600766"/>
    <w:rsid w:val="0065351A"/>
    <w:rsid w:val="006979A6"/>
    <w:rsid w:val="006E4E11"/>
    <w:rsid w:val="007242A3"/>
    <w:rsid w:val="0073431B"/>
    <w:rsid w:val="0074524F"/>
    <w:rsid w:val="0077589A"/>
    <w:rsid w:val="007A6855"/>
    <w:rsid w:val="00875574"/>
    <w:rsid w:val="008C5479"/>
    <w:rsid w:val="0092027A"/>
    <w:rsid w:val="00924999"/>
    <w:rsid w:val="00955E31"/>
    <w:rsid w:val="00992E72"/>
    <w:rsid w:val="00A1015A"/>
    <w:rsid w:val="00A74D5A"/>
    <w:rsid w:val="00AA6968"/>
    <w:rsid w:val="00AF26D1"/>
    <w:rsid w:val="00B42CF8"/>
    <w:rsid w:val="00B81A35"/>
    <w:rsid w:val="00BA7F24"/>
    <w:rsid w:val="00BC6399"/>
    <w:rsid w:val="00BE0D4A"/>
    <w:rsid w:val="00C84AF9"/>
    <w:rsid w:val="00CD6D94"/>
    <w:rsid w:val="00CF5F9B"/>
    <w:rsid w:val="00D133D7"/>
    <w:rsid w:val="00D5330C"/>
    <w:rsid w:val="00DA2C9A"/>
    <w:rsid w:val="00DC6F27"/>
    <w:rsid w:val="00DE0507"/>
    <w:rsid w:val="00E80146"/>
    <w:rsid w:val="00E904D0"/>
    <w:rsid w:val="00EC25F9"/>
    <w:rsid w:val="00ED583F"/>
    <w:rsid w:val="00F07FD6"/>
    <w:rsid w:val="00F13B57"/>
    <w:rsid w:val="00F43567"/>
    <w:rsid w:val="00F93C23"/>
    <w:rsid w:val="00FB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5DAD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063CF7"/>
    <w:rPr>
      <w:rFonts w:ascii="OrigGarmnd BT" w:hAnsi="OrigGarmnd BT"/>
      <w:sz w:val="24"/>
      <w:lang w:eastAsia="en-US"/>
    </w:rPr>
  </w:style>
  <w:style w:type="character" w:styleId="Hyperlnk">
    <w:name w:val="Hyperlink"/>
    <w:rsid w:val="0060076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E0D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E0D4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E0D4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E0D4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E0D4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E0D4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E0D4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063CF7"/>
    <w:rPr>
      <w:rFonts w:ascii="OrigGarmnd BT" w:hAnsi="OrigGarmnd BT"/>
      <w:sz w:val="24"/>
      <w:lang w:eastAsia="en-US"/>
    </w:rPr>
  </w:style>
  <w:style w:type="character" w:styleId="Hyperlnk">
    <w:name w:val="Hyperlink"/>
    <w:rsid w:val="0060076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E0D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E0D4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E0D4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E0D4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E0D4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E0D4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E0D4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daeb9c3e-a6e9-4aa6-bc50-d3fb886531a2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E489F-2415-4FD6-AFF2-BE8D764664F4}"/>
</file>

<file path=customXml/itemProps2.xml><?xml version="1.0" encoding="utf-8"?>
<ds:datastoreItem xmlns:ds="http://schemas.openxmlformats.org/officeDocument/2006/customXml" ds:itemID="{72D07F91-7BC1-473C-A4E6-BD5AFF20F4FA}"/>
</file>

<file path=customXml/itemProps3.xml><?xml version="1.0" encoding="utf-8"?>
<ds:datastoreItem xmlns:ds="http://schemas.openxmlformats.org/officeDocument/2006/customXml" ds:itemID="{0AAAF111-F140-4534-8131-A514492779E7}"/>
</file>

<file path=customXml/itemProps4.xml><?xml version="1.0" encoding="utf-8"?>
<ds:datastoreItem xmlns:ds="http://schemas.openxmlformats.org/officeDocument/2006/customXml" ds:itemID="{72D07F91-7BC1-473C-A4E6-BD5AFF20F4FA}"/>
</file>

<file path=customXml/itemProps5.xml><?xml version="1.0" encoding="utf-8"?>
<ds:datastoreItem xmlns:ds="http://schemas.openxmlformats.org/officeDocument/2006/customXml" ds:itemID="{7A023A9A-33E5-4291-B4CF-DBB643585940}"/>
</file>

<file path=customXml/itemProps6.xml><?xml version="1.0" encoding="utf-8"?>
<ds:datastoreItem xmlns:ds="http://schemas.openxmlformats.org/officeDocument/2006/customXml" ds:itemID="{72D07F91-7BC1-473C-A4E6-BD5AFF20F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3685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</vt:lpstr>
    </vt:vector>
  </TitlesOfParts>
  <Company>Regeringskansliet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2000-01-21</dc:title>
  <dc:creator>Jenny Strandberg</dc:creator>
  <cp:lastModifiedBy>Gunilla Hansson-Böe</cp:lastModifiedBy>
  <cp:revision>2</cp:revision>
  <cp:lastPrinted>2016-10-25T13:13:00Z</cp:lastPrinted>
  <dcterms:created xsi:type="dcterms:W3CDTF">2016-10-25T13:43:00Z</dcterms:created>
  <dcterms:modified xsi:type="dcterms:W3CDTF">2016-10-25T13:43:00Z</dcterms:modified>
  <cp:category>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83f143e5-e046-4136-be43-8a1af9b30078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