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15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6 tim. 57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D0B5B11-DFEA-4E43-8D8F-B93851AED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