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80183" w:rsidTr="00816F5B">
        <w:tblPrEx>
          <w:tblCellMar>
            <w:top w:w="0" w:type="dxa"/>
            <w:bottom w:w="0" w:type="dxa"/>
          </w:tblCellMar>
        </w:tblPrEx>
        <w:tc>
          <w:tcPr>
            <w:tcW w:w="2268" w:type="dxa"/>
          </w:tcPr>
          <w:p w:rsidR="006E4E11" w:rsidRPr="0008018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80183" w:rsidRDefault="006E4E11" w:rsidP="007242A3">
            <w:pPr>
              <w:framePr w:w="5035" w:h="1644" w:wrap="notBeside" w:vAnchor="page" w:hAnchor="page" w:x="6573" w:y="721"/>
              <w:rPr>
                <w:rFonts w:ascii="TradeGothic" w:hAnsi="TradeGothic"/>
                <w:i/>
                <w:sz w:val="18"/>
              </w:rPr>
            </w:pPr>
          </w:p>
        </w:tc>
      </w:tr>
      <w:tr w:rsidR="00816F5B" w:rsidRPr="00080183" w:rsidTr="00816F5B">
        <w:tblPrEx>
          <w:tblCellMar>
            <w:top w:w="0" w:type="dxa"/>
            <w:bottom w:w="0" w:type="dxa"/>
          </w:tblCellMar>
        </w:tblPrEx>
        <w:tc>
          <w:tcPr>
            <w:tcW w:w="2268" w:type="dxa"/>
          </w:tcPr>
          <w:p w:rsidR="00816F5B" w:rsidRPr="00080183" w:rsidRDefault="00816F5B" w:rsidP="00816F5B">
            <w:pPr>
              <w:framePr w:w="5035" w:h="1644" w:wrap="notBeside" w:vAnchor="page" w:hAnchor="page" w:x="6573" w:y="721"/>
              <w:rPr>
                <w:rFonts w:ascii="TradeGothic" w:hAnsi="TradeGothic"/>
                <w:sz w:val="22"/>
              </w:rPr>
            </w:pPr>
            <w:r w:rsidRPr="00080183">
              <w:rPr>
                <w:b/>
              </w:rPr>
              <w:t>Kommenterad dagordning</w:t>
            </w:r>
            <w:r w:rsidRPr="00080183">
              <w:rPr>
                <w:rFonts w:ascii="TradeGothic" w:hAnsi="TradeGothic"/>
                <w:sz w:val="22"/>
              </w:rPr>
              <w:t xml:space="preserve"> </w:t>
            </w:r>
          </w:p>
        </w:tc>
        <w:tc>
          <w:tcPr>
            <w:tcW w:w="2999" w:type="dxa"/>
            <w:gridSpan w:val="2"/>
          </w:tcPr>
          <w:p w:rsidR="00816F5B" w:rsidRPr="00080183" w:rsidRDefault="00816F5B" w:rsidP="00816F5B">
            <w:pPr>
              <w:framePr w:w="5035" w:h="1644" w:wrap="notBeside" w:vAnchor="page" w:hAnchor="page" w:x="6573" w:y="721"/>
              <w:rPr>
                <w:rFonts w:ascii="TradeGothic" w:hAnsi="TradeGothic"/>
                <w:b/>
                <w:sz w:val="22"/>
              </w:rPr>
            </w:pPr>
            <w:r w:rsidRPr="00080183">
              <w:t>2011-</w:t>
            </w:r>
            <w:r w:rsidR="00E92894" w:rsidRPr="00080183">
              <w:t>09-1</w:t>
            </w:r>
            <w:r w:rsidR="008C051E" w:rsidRPr="00080183">
              <w:t>6</w:t>
            </w:r>
          </w:p>
        </w:tc>
      </w:tr>
      <w:tr w:rsidR="00816F5B" w:rsidRPr="00080183" w:rsidTr="00816F5B">
        <w:tblPrEx>
          <w:tblCellMar>
            <w:top w:w="0" w:type="dxa"/>
            <w:bottom w:w="0" w:type="dxa"/>
          </w:tblCellMar>
        </w:tblPrEx>
        <w:tc>
          <w:tcPr>
            <w:tcW w:w="3402" w:type="dxa"/>
            <w:gridSpan w:val="2"/>
          </w:tcPr>
          <w:p w:rsidR="00816F5B" w:rsidRPr="00080183" w:rsidRDefault="00816F5B" w:rsidP="00816F5B">
            <w:pPr>
              <w:framePr w:w="5035" w:h="1644" w:wrap="notBeside" w:vAnchor="page" w:hAnchor="page" w:x="6573" w:y="721"/>
              <w:rPr>
                <w:b/>
              </w:rPr>
            </w:pPr>
            <w:r w:rsidRPr="00080183">
              <w:rPr>
                <w:b/>
              </w:rPr>
              <w:t xml:space="preserve">Konkurrenskraftsrådet </w:t>
            </w:r>
          </w:p>
        </w:tc>
        <w:tc>
          <w:tcPr>
            <w:tcW w:w="1865" w:type="dxa"/>
          </w:tcPr>
          <w:p w:rsidR="00816F5B" w:rsidRPr="00080183" w:rsidRDefault="00816F5B" w:rsidP="00816F5B">
            <w:pPr>
              <w:framePr w:w="5035" w:h="1644" w:wrap="notBeside" w:vAnchor="page" w:hAnchor="page" w:x="6573" w:y="721"/>
            </w:pPr>
          </w:p>
        </w:tc>
      </w:tr>
      <w:tr w:rsidR="00816F5B" w:rsidRPr="00080183" w:rsidTr="00816F5B">
        <w:tblPrEx>
          <w:tblCellMar>
            <w:top w:w="0" w:type="dxa"/>
            <w:bottom w:w="0" w:type="dxa"/>
          </w:tblCellMar>
        </w:tblPrEx>
        <w:tc>
          <w:tcPr>
            <w:tcW w:w="2268" w:type="dxa"/>
          </w:tcPr>
          <w:p w:rsidR="00816F5B" w:rsidRPr="00080183" w:rsidRDefault="00816F5B" w:rsidP="00816F5B">
            <w:pPr>
              <w:framePr w:w="5035" w:h="1644" w:wrap="notBeside" w:vAnchor="page" w:hAnchor="page" w:x="6573" w:y="721"/>
            </w:pPr>
            <w:r w:rsidRPr="00080183">
              <w:t xml:space="preserve">inför samråd med EU-nämnden </w:t>
            </w:r>
            <w:r w:rsidR="00E92894" w:rsidRPr="00080183">
              <w:t>23 september 2011</w:t>
            </w:r>
          </w:p>
        </w:tc>
        <w:tc>
          <w:tcPr>
            <w:tcW w:w="2999" w:type="dxa"/>
            <w:gridSpan w:val="2"/>
          </w:tcPr>
          <w:p w:rsidR="00816F5B" w:rsidRPr="00080183" w:rsidRDefault="00816F5B" w:rsidP="00816F5B">
            <w:pPr>
              <w:framePr w:w="5035" w:h="1644" w:wrap="notBeside" w:vAnchor="page" w:hAnchor="page" w:x="6573" w:y="721"/>
              <w:rPr>
                <w:sz w:val="20"/>
              </w:rPr>
            </w:pPr>
          </w:p>
        </w:tc>
      </w:tr>
      <w:tr w:rsidR="00816F5B" w:rsidRPr="00080183" w:rsidTr="00816F5B">
        <w:tblPrEx>
          <w:tblCellMar>
            <w:top w:w="0" w:type="dxa"/>
            <w:bottom w:w="0" w:type="dxa"/>
          </w:tblCellMar>
        </w:tblPrEx>
        <w:tc>
          <w:tcPr>
            <w:tcW w:w="2268" w:type="dxa"/>
          </w:tcPr>
          <w:p w:rsidR="00816F5B" w:rsidRPr="00080183" w:rsidRDefault="00816F5B" w:rsidP="00816F5B">
            <w:pPr>
              <w:framePr w:w="5035" w:h="1644" w:wrap="notBeside" w:vAnchor="page" w:hAnchor="page" w:x="6573" w:y="721"/>
            </w:pPr>
          </w:p>
        </w:tc>
        <w:tc>
          <w:tcPr>
            <w:tcW w:w="2999" w:type="dxa"/>
            <w:gridSpan w:val="2"/>
          </w:tcPr>
          <w:p w:rsidR="00816F5B" w:rsidRPr="00080183" w:rsidRDefault="00816F5B" w:rsidP="00816F5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80183">
        <w:tblPrEx>
          <w:tblCellMar>
            <w:top w:w="0" w:type="dxa"/>
            <w:bottom w:w="0" w:type="dxa"/>
          </w:tblCellMar>
        </w:tblPrEx>
        <w:trPr>
          <w:trHeight w:val="284"/>
        </w:trPr>
        <w:tc>
          <w:tcPr>
            <w:tcW w:w="4911" w:type="dxa"/>
          </w:tcPr>
          <w:p w:rsidR="006E4E11" w:rsidRPr="00080183" w:rsidRDefault="00816F5B">
            <w:pPr>
              <w:pStyle w:val="Avsndare"/>
              <w:framePr w:h="2483" w:wrap="notBeside" w:x="1504"/>
              <w:rPr>
                <w:b/>
                <w:i w:val="0"/>
                <w:sz w:val="22"/>
              </w:rPr>
            </w:pPr>
            <w:r w:rsidRPr="00080183">
              <w:rPr>
                <w:b/>
                <w:i w:val="0"/>
                <w:sz w:val="22"/>
              </w:rPr>
              <w:t>Utrikesdepartementet</w:t>
            </w:r>
          </w:p>
        </w:tc>
      </w:tr>
      <w:tr w:rsidR="006E4E11" w:rsidRPr="00080183">
        <w:tblPrEx>
          <w:tblCellMar>
            <w:top w:w="0" w:type="dxa"/>
            <w:bottom w:w="0" w:type="dxa"/>
          </w:tblCellMar>
        </w:tblPrEx>
        <w:trPr>
          <w:trHeight w:val="284"/>
        </w:trPr>
        <w:tc>
          <w:tcPr>
            <w:tcW w:w="4911" w:type="dxa"/>
          </w:tcPr>
          <w:p w:rsidR="006E4E11" w:rsidRPr="00080183" w:rsidRDefault="006E4E11">
            <w:pPr>
              <w:pStyle w:val="Avsndare"/>
              <w:framePr w:h="2483" w:wrap="notBeside" w:x="1504"/>
              <w:rPr>
                <w:bCs/>
                <w:iCs/>
              </w:rPr>
            </w:pPr>
          </w:p>
        </w:tc>
      </w:tr>
      <w:tr w:rsidR="006E4E11" w:rsidRPr="00080183">
        <w:tblPrEx>
          <w:tblCellMar>
            <w:top w:w="0" w:type="dxa"/>
            <w:bottom w:w="0" w:type="dxa"/>
          </w:tblCellMar>
        </w:tblPrEx>
        <w:trPr>
          <w:trHeight w:val="284"/>
        </w:trPr>
        <w:tc>
          <w:tcPr>
            <w:tcW w:w="4911" w:type="dxa"/>
          </w:tcPr>
          <w:p w:rsidR="006E4E11" w:rsidRPr="00080183" w:rsidRDefault="00816F5B">
            <w:pPr>
              <w:pStyle w:val="Avsndare"/>
              <w:framePr w:h="2483" w:wrap="notBeside" w:x="1504"/>
              <w:rPr>
                <w:bCs/>
                <w:iCs/>
              </w:rPr>
            </w:pPr>
            <w:r w:rsidRPr="00080183">
              <w:rPr>
                <w:bCs/>
                <w:iCs/>
              </w:rPr>
              <w:t>Enheten för främjande och EU:s inre marknad (UD-FIM)</w:t>
            </w:r>
          </w:p>
          <w:p w:rsidR="00BC7403" w:rsidRPr="00080183" w:rsidRDefault="00BC7403">
            <w:pPr>
              <w:pStyle w:val="Avsndare"/>
              <w:framePr w:h="2483" w:wrap="notBeside" w:x="1504"/>
              <w:rPr>
                <w:bCs/>
                <w:iCs/>
              </w:rPr>
            </w:pPr>
            <w:r w:rsidRPr="00080183">
              <w:rPr>
                <w:bCs/>
                <w:iCs/>
              </w:rPr>
              <w:t>Agnes Abrahamsson</w:t>
            </w:r>
          </w:p>
        </w:tc>
      </w:tr>
      <w:tr w:rsidR="00816F5B" w:rsidRPr="00080183">
        <w:tblPrEx>
          <w:tblCellMar>
            <w:top w:w="0" w:type="dxa"/>
            <w:bottom w:w="0" w:type="dxa"/>
          </w:tblCellMar>
        </w:tblPrEx>
        <w:trPr>
          <w:trHeight w:val="284"/>
        </w:trPr>
        <w:tc>
          <w:tcPr>
            <w:tcW w:w="4911" w:type="dxa"/>
          </w:tcPr>
          <w:p w:rsidR="00816F5B" w:rsidRPr="00080183" w:rsidRDefault="00816F5B">
            <w:pPr>
              <w:pStyle w:val="Avsndare"/>
              <w:framePr w:h="2483" w:wrap="notBeside" w:x="1504"/>
              <w:rPr>
                <w:bCs/>
                <w:iCs/>
              </w:rPr>
            </w:pPr>
          </w:p>
        </w:tc>
      </w:tr>
    </w:tbl>
    <w:p w:rsidR="006E4E11" w:rsidRPr="00080183" w:rsidRDefault="006E4E11">
      <w:pPr>
        <w:framePr w:w="4400" w:h="2523" w:wrap="notBeside" w:vAnchor="page" w:hAnchor="page" w:x="6453" w:y="2445"/>
        <w:ind w:left="142"/>
      </w:pPr>
    </w:p>
    <w:p w:rsidR="006E4E11" w:rsidRPr="00080183" w:rsidRDefault="00816F5B" w:rsidP="00816F5B">
      <w:pPr>
        <w:pStyle w:val="RKrubrik"/>
        <w:pBdr>
          <w:bottom w:val="single" w:sz="4" w:space="1" w:color="000000"/>
        </w:pBdr>
        <w:spacing w:before="0" w:after="0"/>
      </w:pPr>
      <w:r w:rsidRPr="00080183">
        <w:t xml:space="preserve">Konkurrenskraftsrådet den </w:t>
      </w:r>
      <w:r w:rsidR="00E92894" w:rsidRPr="00080183">
        <w:t>29 september</w:t>
      </w:r>
      <w:r w:rsidRPr="00080183">
        <w:t xml:space="preserve"> </w:t>
      </w:r>
      <w:r w:rsidR="00ED4A1D" w:rsidRPr="00080183">
        <w:t>– inre marknaden</w:t>
      </w:r>
      <w:r w:rsidR="00DD7D02" w:rsidRPr="00080183">
        <w:t xml:space="preserve"> och industri</w:t>
      </w:r>
    </w:p>
    <w:p w:rsidR="00E92894" w:rsidRPr="00080183" w:rsidRDefault="00E92894" w:rsidP="00E92894">
      <w:pPr>
        <w:rPr>
          <w:b/>
        </w:rPr>
      </w:pPr>
    </w:p>
    <w:p w:rsidR="001C6B9F" w:rsidRPr="00080183" w:rsidRDefault="001C6B9F" w:rsidP="001C6B9F">
      <w:pPr>
        <w:spacing w:line="240" w:lineRule="auto"/>
        <w:ind w:left="480" w:hanging="567"/>
        <w:rPr>
          <w:b/>
        </w:rPr>
      </w:pPr>
      <w:r w:rsidRPr="00080183">
        <w:rPr>
          <w:b/>
        </w:rPr>
        <w:t xml:space="preserve">       dp 3.   </w:t>
      </w:r>
      <w:r w:rsidR="00DD7D02" w:rsidRPr="00080183">
        <w:rPr>
          <w:b/>
        </w:rPr>
        <w:t>Standardiseringspaketet</w:t>
      </w:r>
    </w:p>
    <w:p w:rsidR="001C6B9F" w:rsidRPr="00080183" w:rsidRDefault="001C6B9F" w:rsidP="001C6B9F">
      <w:pPr>
        <w:spacing w:line="240" w:lineRule="auto"/>
        <w:ind w:left="480" w:hanging="567"/>
        <w:rPr>
          <w:b/>
        </w:rPr>
      </w:pPr>
      <w:r w:rsidRPr="00080183">
        <w:rPr>
          <w:b/>
        </w:rPr>
        <w:t xml:space="preserve">           </w:t>
      </w:r>
      <w:r w:rsidR="00DD7D02" w:rsidRPr="00080183">
        <w:rPr>
          <w:b/>
        </w:rPr>
        <w:t>(</w:t>
      </w:r>
      <w:r w:rsidRPr="00080183">
        <w:rPr>
          <w:b/>
        </w:rPr>
        <w:t xml:space="preserve">a)   </w:t>
      </w:r>
      <w:r w:rsidR="00DD7D02" w:rsidRPr="00080183">
        <w:rPr>
          <w:b/>
        </w:rPr>
        <w:t>Förslag till Europaparlam</w:t>
      </w:r>
      <w:r w:rsidRPr="00080183">
        <w:rPr>
          <w:b/>
        </w:rPr>
        <w:t>entets och rådets förordning om</w:t>
      </w:r>
    </w:p>
    <w:p w:rsidR="001C6B9F" w:rsidRPr="00080183" w:rsidRDefault="001C6B9F" w:rsidP="001C6B9F">
      <w:pPr>
        <w:spacing w:line="240" w:lineRule="auto"/>
        <w:ind w:left="1440" w:hanging="720"/>
      </w:pPr>
      <w:r w:rsidRPr="00080183">
        <w:rPr>
          <w:b/>
        </w:rPr>
        <w:t xml:space="preserve">     </w:t>
      </w:r>
      <w:r w:rsidR="00DD7D02" w:rsidRPr="00080183">
        <w:rPr>
          <w:b/>
        </w:rPr>
        <w:t>europeisk standardisering och om ändring av rådets direktiv</w:t>
      </w:r>
    </w:p>
    <w:p w:rsidR="001C6B9F" w:rsidRPr="00080183" w:rsidRDefault="001C6B9F" w:rsidP="001C6B9F">
      <w:pPr>
        <w:spacing w:line="240" w:lineRule="auto"/>
        <w:ind w:left="1440" w:hanging="840"/>
        <w:rPr>
          <w:b/>
        </w:rPr>
      </w:pPr>
      <w:r w:rsidRPr="00080183">
        <w:rPr>
          <w:b/>
        </w:rPr>
        <w:t xml:space="preserve">(b)  </w:t>
      </w:r>
      <w:r w:rsidR="00DD7D02" w:rsidRPr="00080183">
        <w:rPr>
          <w:b/>
        </w:rPr>
        <w:t>Meddelande från kommi</w:t>
      </w:r>
      <w:r w:rsidRPr="00080183">
        <w:rPr>
          <w:b/>
        </w:rPr>
        <w:t>ssionen: En strategisk vision för</w:t>
      </w:r>
    </w:p>
    <w:p w:rsidR="001C6B9F" w:rsidRPr="00080183" w:rsidRDefault="001C6B9F" w:rsidP="001C6B9F">
      <w:pPr>
        <w:spacing w:line="240" w:lineRule="auto"/>
        <w:ind w:left="1440" w:hanging="840"/>
        <w:rPr>
          <w:b/>
        </w:rPr>
      </w:pPr>
      <w:r w:rsidRPr="00080183">
        <w:rPr>
          <w:b/>
        </w:rPr>
        <w:t xml:space="preserve">       </w:t>
      </w:r>
      <w:r w:rsidR="00DD7D02" w:rsidRPr="00080183">
        <w:rPr>
          <w:b/>
        </w:rPr>
        <w:t>eu</w:t>
      </w:r>
      <w:r w:rsidRPr="00080183">
        <w:rPr>
          <w:b/>
        </w:rPr>
        <w:t>ropeiska standarder: bättre och snabbare hållbar tillväxt i</w:t>
      </w:r>
    </w:p>
    <w:p w:rsidR="00DD7D02" w:rsidRPr="00080183" w:rsidRDefault="001C6B9F" w:rsidP="001C6B9F">
      <w:pPr>
        <w:spacing w:line="240" w:lineRule="auto"/>
        <w:ind w:left="1440" w:hanging="840"/>
        <w:rPr>
          <w:b/>
        </w:rPr>
      </w:pPr>
      <w:r w:rsidRPr="00080183">
        <w:rPr>
          <w:b/>
        </w:rPr>
        <w:t xml:space="preserve">       </w:t>
      </w:r>
      <w:r w:rsidR="00DD7D02" w:rsidRPr="00080183">
        <w:rPr>
          <w:b/>
        </w:rPr>
        <w:t>den europeiska ekonomin före 2020</w:t>
      </w:r>
    </w:p>
    <w:p w:rsidR="00DD7D02" w:rsidRPr="00080183" w:rsidRDefault="00DD7D02" w:rsidP="00DD7D02">
      <w:pPr>
        <w:spacing w:before="120" w:line="240" w:lineRule="auto"/>
        <w:ind w:firstLine="567"/>
        <w:rPr>
          <w:i/>
        </w:rPr>
      </w:pPr>
      <w:r w:rsidRPr="00080183">
        <w:rPr>
          <w:i/>
        </w:rPr>
        <w:t>–</w:t>
      </w:r>
      <w:r w:rsidRPr="00080183">
        <w:rPr>
          <w:i/>
        </w:rPr>
        <w:tab/>
        <w:t xml:space="preserve"> Diskussion</w:t>
      </w:r>
    </w:p>
    <w:p w:rsidR="001C6B9F" w:rsidRPr="00080183" w:rsidRDefault="001C6B9F" w:rsidP="001C6B9F">
      <w:pPr>
        <w:spacing w:before="120" w:line="240" w:lineRule="auto"/>
        <w:ind w:firstLine="567"/>
        <w:rPr>
          <w:i/>
          <w:sz w:val="20"/>
        </w:rPr>
      </w:pPr>
    </w:p>
    <w:p w:rsidR="001C6B9F" w:rsidRPr="00080183" w:rsidRDefault="001C6B9F" w:rsidP="001C6B9F">
      <w:pPr>
        <w:pStyle w:val="RKnormal"/>
      </w:pPr>
      <w:r w:rsidRPr="00080183">
        <w:t>Kommissionen presenterade den 1 juni 2011 ett standardiseringspaket. Det består av två delar:</w:t>
      </w:r>
    </w:p>
    <w:p w:rsidR="001C6B9F" w:rsidRPr="00080183" w:rsidRDefault="001C6B9F" w:rsidP="001C6B9F">
      <w:pPr>
        <w:pStyle w:val="RKnormal"/>
      </w:pPr>
      <w:r w:rsidRPr="00080183">
        <w:t>- Ett meddelande med en strategi för användning av standardisering inom unionens politikområden för att stärka konkurrenskraften i EU:s ekonomi.  Detta avser tjänster, innovation, global handel, hållbar utveckling, offentlig upphandling etc.</w:t>
      </w:r>
    </w:p>
    <w:p w:rsidR="001C6B9F" w:rsidRPr="00080183" w:rsidRDefault="001C6B9F" w:rsidP="001C6B9F">
      <w:pPr>
        <w:pStyle w:val="RKnormal"/>
      </w:pPr>
      <w:r w:rsidRPr="00080183">
        <w:t>- Ett lagstiftningsförslag där flera beslut och direktiv revideras och slås samman i en förordning. Förslaget kommer bl.a. att ersätta standardiseringsdelen av direktivet 98/34/EG.</w:t>
      </w:r>
    </w:p>
    <w:p w:rsidR="001C6B9F" w:rsidRPr="00080183" w:rsidRDefault="001C6B9F" w:rsidP="001C6B9F">
      <w:pPr>
        <w:pStyle w:val="RKnormal"/>
      </w:pPr>
    </w:p>
    <w:p w:rsidR="001C6B9F" w:rsidRPr="00080183" w:rsidRDefault="001C6B9F" w:rsidP="001C6B9F">
      <w:pPr>
        <w:pStyle w:val="RKnormal"/>
      </w:pPr>
      <w:r w:rsidRPr="00080183">
        <w:t xml:space="preserve">Det polska ordförandeskapet har annonserat att de inför mötet kommer att skicka ut ett antal diskussionsfrågor. </w:t>
      </w:r>
    </w:p>
    <w:p w:rsidR="001C6B9F" w:rsidRPr="00080183" w:rsidRDefault="001C6B9F" w:rsidP="001C6B9F">
      <w:pPr>
        <w:pStyle w:val="RKnormal"/>
      </w:pPr>
    </w:p>
    <w:p w:rsidR="001C6B9F" w:rsidRPr="00080183" w:rsidRDefault="001C6B9F" w:rsidP="001C6B9F">
      <w:pPr>
        <w:pStyle w:val="RKnormal"/>
      </w:pPr>
      <w:r w:rsidRPr="00080183">
        <w:t xml:space="preserve">Förslaget behandlades vid överläggning med Näringsutskottet den 22 september. Förslaget har inte behandlats i EU-nämnden tidigare. </w:t>
      </w:r>
    </w:p>
    <w:p w:rsidR="001C6B9F" w:rsidRPr="00080183" w:rsidRDefault="001C6B9F" w:rsidP="001C6B9F">
      <w:pPr>
        <w:pStyle w:val="RKnormal"/>
      </w:pPr>
    </w:p>
    <w:p w:rsidR="001C6B9F" w:rsidRPr="00080183" w:rsidRDefault="001C6B9F" w:rsidP="001C6B9F">
      <w:pPr>
        <w:pStyle w:val="RKnormal"/>
        <w:rPr>
          <w:u w:val="single"/>
        </w:rPr>
      </w:pPr>
      <w:r w:rsidRPr="00080183">
        <w:rPr>
          <w:u w:val="single"/>
        </w:rPr>
        <w:t xml:space="preserve">Förslag till svenska ståndpunkt: </w:t>
      </w:r>
    </w:p>
    <w:p w:rsidR="001C6B9F" w:rsidRPr="00080183" w:rsidRDefault="001C6B9F" w:rsidP="001C6B9F">
      <w:pPr>
        <w:pStyle w:val="RKnormal"/>
      </w:pPr>
      <w:r w:rsidRPr="00080183">
        <w:t xml:space="preserve">Regeringen anser att standardisering som instrument bidrar positivt till konkurrenskraft och tillväxt och att paketets genomförande ytterligare kommer att öka denna potential. Regeringen ser övergripande positivt på meddelandet och förordningsförslaget. </w:t>
      </w:r>
    </w:p>
    <w:p w:rsidR="001C6B9F" w:rsidRPr="00080183" w:rsidRDefault="001C6B9F" w:rsidP="001C6B9F">
      <w:pPr>
        <w:pStyle w:val="RKnormal"/>
      </w:pPr>
    </w:p>
    <w:p w:rsidR="00DD7D02" w:rsidRPr="00080183" w:rsidRDefault="001C6B9F" w:rsidP="001C6B9F">
      <w:pPr>
        <w:pStyle w:val="RKnormal"/>
        <w:rPr>
          <w:i/>
        </w:rPr>
      </w:pPr>
      <w:r w:rsidRPr="00080183">
        <w:rPr>
          <w:i/>
        </w:rPr>
        <w:t>Se vidare rådspromemoria.</w:t>
      </w:r>
    </w:p>
    <w:p w:rsidR="001C6B9F" w:rsidRPr="00080183" w:rsidRDefault="001C6B9F" w:rsidP="001C6B9F">
      <w:pPr>
        <w:pStyle w:val="RKnormal"/>
        <w:rPr>
          <w:i/>
        </w:rPr>
      </w:pPr>
    </w:p>
    <w:p w:rsidR="00DD7D02" w:rsidRPr="00080183" w:rsidRDefault="00DD7D02" w:rsidP="00DD7D02">
      <w:pPr>
        <w:spacing w:line="240" w:lineRule="auto"/>
        <w:ind w:left="1440" w:hanging="480"/>
        <w:rPr>
          <w:b/>
        </w:rPr>
      </w:pPr>
    </w:p>
    <w:p w:rsidR="00DD7D02" w:rsidRPr="00080183" w:rsidRDefault="00DD7D02" w:rsidP="00DD7D02">
      <w:pPr>
        <w:spacing w:line="240" w:lineRule="auto"/>
        <w:ind w:left="1440" w:hanging="840"/>
        <w:rPr>
          <w:b/>
        </w:rPr>
      </w:pPr>
      <w:r w:rsidRPr="00080183">
        <w:rPr>
          <w:b/>
        </w:rPr>
        <w:t>dp 5.</w:t>
      </w:r>
      <w:r w:rsidRPr="00080183">
        <w:rPr>
          <w:b/>
        </w:rPr>
        <w:tab/>
        <w:t xml:space="preserve">Konkurrenskraftig europeisk ekonomi: industriell konkurrenskraft med beaktande av resurseffektiviteten </w:t>
      </w:r>
    </w:p>
    <w:p w:rsidR="00DD7D02" w:rsidRPr="00080183" w:rsidRDefault="00DD7D02" w:rsidP="00DD7D02">
      <w:pPr>
        <w:spacing w:before="120" w:line="240" w:lineRule="auto"/>
        <w:ind w:firstLine="567"/>
        <w:rPr>
          <w:i/>
        </w:rPr>
      </w:pPr>
      <w:r w:rsidRPr="00080183">
        <w:rPr>
          <w:i/>
        </w:rPr>
        <w:lastRenderedPageBreak/>
        <w:t>– Antagande av rådets slutsatser</w:t>
      </w:r>
    </w:p>
    <w:p w:rsidR="00FE5745" w:rsidRPr="00080183" w:rsidRDefault="00FE5745" w:rsidP="001C6B9F">
      <w:pPr>
        <w:spacing w:before="120" w:line="240" w:lineRule="auto"/>
        <w:ind w:firstLine="567"/>
        <w:rPr>
          <w:i/>
          <w:sz w:val="20"/>
        </w:rPr>
      </w:pPr>
    </w:p>
    <w:p w:rsidR="00FE5745" w:rsidRPr="00080183" w:rsidRDefault="00FE5745" w:rsidP="00FE5745">
      <w:r w:rsidRPr="00080183">
        <w:t>Det polska ordförandeskapet har tagit fram ett utkast till rådsslutsatser som ska antas. Slutsatserna är inriktade på att ge en signal om vikten av effektivt resursutnyttjande av industrin som en positiv konkurrens</w:t>
      </w:r>
      <w:r w:rsidR="001C6B9F" w:rsidRPr="00080183">
        <w:t>-</w:t>
      </w:r>
      <w:r w:rsidRPr="00080183">
        <w:t xml:space="preserve">faktor. </w:t>
      </w:r>
      <w:r w:rsidR="001C6B9F" w:rsidRPr="00080183">
        <w:t>Av</w:t>
      </w:r>
      <w:r w:rsidRPr="00080183">
        <w:t xml:space="preserve"> utkastet </w:t>
      </w:r>
      <w:r w:rsidR="001C6B9F" w:rsidRPr="00080183">
        <w:t>framgår vikten av att</w:t>
      </w:r>
      <w:r w:rsidRPr="00080183">
        <w:t xml:space="preserve"> anpassa möjliga krav utifrån de olika branschernas och regionerna utgångspunkter och möjligheter. </w:t>
      </w:r>
    </w:p>
    <w:p w:rsidR="00FE5745" w:rsidRPr="00080183" w:rsidRDefault="00FE5745" w:rsidP="00FE5745">
      <w:pPr>
        <w:pStyle w:val="RKnormal"/>
      </w:pPr>
    </w:p>
    <w:p w:rsidR="00FE5745" w:rsidRPr="00080183" w:rsidRDefault="00FE5745" w:rsidP="00FE5745">
      <w:pPr>
        <w:pStyle w:val="RKnormal"/>
        <w:rPr>
          <w:u w:val="single"/>
        </w:rPr>
      </w:pPr>
      <w:r w:rsidRPr="00080183">
        <w:rPr>
          <w:u w:val="single"/>
        </w:rPr>
        <w:t xml:space="preserve">Förslag till svensk ståndpunkt: </w:t>
      </w:r>
      <w:r w:rsidRPr="00080183">
        <w:t>Sverige kan ställa sig bakom ordförandeskapets förslag till rådsslutsatser. Sverige anser att det är möjligt att arbeta för en grön, resurseffektiv samhällsekonomi och därigenom skapa tillgång till nya marknader och affärsmöjligheter för EU:s företag på ett sätt som bidrar till ökad konkurrenskraft och tillväxt. Det är viktigt att detta arbete sker utifrån de olika branschernas och regionernas utgångspunkter och möjligheter.</w:t>
      </w:r>
    </w:p>
    <w:p w:rsidR="00FE5745" w:rsidRPr="00080183" w:rsidRDefault="00FE5745" w:rsidP="00FE5745">
      <w:pPr>
        <w:pStyle w:val="RKnormal"/>
        <w:jc w:val="both"/>
        <w:rPr>
          <w:i/>
        </w:rPr>
      </w:pPr>
    </w:p>
    <w:p w:rsidR="00FE5745" w:rsidRPr="00080183" w:rsidRDefault="00FE5745" w:rsidP="001C6B9F">
      <w:pPr>
        <w:pStyle w:val="RKnormal"/>
        <w:rPr>
          <w:i/>
        </w:rPr>
      </w:pPr>
      <w:r w:rsidRPr="00080183">
        <w:rPr>
          <w:i/>
        </w:rPr>
        <w:t>Se vidare rådspromemoria.</w:t>
      </w:r>
    </w:p>
    <w:p w:rsidR="00DD7D02" w:rsidRPr="00080183" w:rsidRDefault="00DD7D02" w:rsidP="00DD7D02">
      <w:pPr>
        <w:tabs>
          <w:tab w:val="left" w:pos="540"/>
          <w:tab w:val="left" w:pos="1080"/>
        </w:tabs>
        <w:spacing w:line="240" w:lineRule="auto"/>
        <w:ind w:left="540"/>
      </w:pPr>
    </w:p>
    <w:p w:rsidR="00DD7D02" w:rsidRPr="00080183" w:rsidRDefault="00DD7D02" w:rsidP="00DD7D02">
      <w:pPr>
        <w:tabs>
          <w:tab w:val="left" w:pos="540"/>
          <w:tab w:val="left" w:pos="1080"/>
        </w:tabs>
        <w:spacing w:line="240" w:lineRule="auto"/>
        <w:ind w:left="540"/>
      </w:pPr>
    </w:p>
    <w:p w:rsidR="00DD7D02" w:rsidRPr="00080183" w:rsidRDefault="00DD7D02" w:rsidP="00DD7D02">
      <w:pPr>
        <w:spacing w:line="240" w:lineRule="auto"/>
        <w:ind w:left="1440" w:hanging="840"/>
        <w:rPr>
          <w:b/>
        </w:rPr>
      </w:pPr>
      <w:r w:rsidRPr="00080183">
        <w:rPr>
          <w:b/>
        </w:rPr>
        <w:t>dp 6.</w:t>
      </w:r>
      <w:r w:rsidRPr="00080183">
        <w:rPr>
          <w:b/>
        </w:rPr>
        <w:tab/>
        <w:t>Utkast till avtal om inrättandet av en domstol för det enhetliga patentet</w:t>
      </w:r>
    </w:p>
    <w:p w:rsidR="00DD7D02" w:rsidRPr="00080183" w:rsidRDefault="00DD7D02" w:rsidP="00DD7D02">
      <w:pPr>
        <w:spacing w:before="120" w:line="240" w:lineRule="auto"/>
        <w:ind w:firstLine="567"/>
        <w:rPr>
          <w:i/>
        </w:rPr>
      </w:pPr>
      <w:r w:rsidRPr="00080183">
        <w:rPr>
          <w:i/>
        </w:rPr>
        <w:t>–</w:t>
      </w:r>
      <w:r w:rsidRPr="00080183">
        <w:rPr>
          <w:i/>
        </w:rPr>
        <w:tab/>
        <w:t>Diskussion</w:t>
      </w:r>
    </w:p>
    <w:p w:rsidR="007E006C" w:rsidRPr="00080183" w:rsidRDefault="007E006C" w:rsidP="007E006C">
      <w:pPr>
        <w:pStyle w:val="RKnormal"/>
        <w:rPr>
          <w:i/>
          <w:sz w:val="20"/>
        </w:rPr>
      </w:pPr>
    </w:p>
    <w:p w:rsidR="007E006C" w:rsidRPr="00080183" w:rsidRDefault="007E006C" w:rsidP="007E006C">
      <w:pPr>
        <w:pStyle w:val="RKnormal"/>
      </w:pPr>
      <w:r w:rsidRPr="00080183">
        <w:t>Ett förbättrat patentsystem i Europa med ett enhetligt patentskydd (f.d. EU-patent) och en enhetlig europeisk patentdomstol är en av de viktigaste åtgärderna för att främja innovation på den inre marknaden. Ordförandeskapet har presenterat ett förslag till avtal för att inrätta en enhetlig patentdomstol för det kommande enhetliga patentskyddet och de redan befintliga europeiska patenten. Det nya förslaget bygger till stora delar på vad som tidigare förhandlats. Tanken är – som tidigare – att inrätta en internationell specialdomstol för patent</w:t>
      </w:r>
      <w:r w:rsidRPr="00080183">
        <w:softHyphen/>
        <w:t xml:space="preserve">tvister. Förslaget innehåller dock ändringar som gjorts i syfte att beakta EU-domstolens yttrande 1/09. Enligt yttrandet var det tidigare förslaget till avtal om en enhetlig patentdomstol inte förenligt med fördragen. Ordförandeskapet har föreslagit en diskussion om det aktuella förslaget vid konkurrenskraftsrådet den 29 september. </w:t>
      </w:r>
    </w:p>
    <w:p w:rsidR="007E006C" w:rsidRPr="00080183" w:rsidRDefault="007E006C" w:rsidP="007E006C">
      <w:pPr>
        <w:pStyle w:val="RKnormal"/>
      </w:pPr>
    </w:p>
    <w:p w:rsidR="007E006C" w:rsidRPr="00080183" w:rsidRDefault="007E006C" w:rsidP="007E006C">
      <w:pPr>
        <w:pStyle w:val="RKnormal"/>
      </w:pPr>
      <w:r w:rsidRPr="00080183">
        <w:rPr>
          <w:u w:val="single"/>
        </w:rPr>
        <w:t>Förslag till svensk ståndpunkt</w:t>
      </w:r>
      <w:r w:rsidRPr="00080183">
        <w:t>: Regeringen stöder inriktningen i förslaget och gör bedömningen att det är förenligt med fördragen. Regeringen verkar för förändring av vissa bestämmelser om domstolens organisation, arbetssätt och finansiering som följer av remissinstansernas synpunkter. Men regeringen bedömer samtidigt att förslaget utgör en tillräckligt bra utgångspunkt för att kunna möta användarnas behov.</w:t>
      </w:r>
    </w:p>
    <w:p w:rsidR="007E006C" w:rsidRPr="00080183" w:rsidRDefault="007E006C" w:rsidP="007E006C">
      <w:pPr>
        <w:rPr>
          <w:i/>
        </w:rPr>
      </w:pPr>
    </w:p>
    <w:p w:rsidR="007E006C" w:rsidRPr="00080183" w:rsidRDefault="007E006C" w:rsidP="00E9114C">
      <w:pPr>
        <w:pStyle w:val="RKnormal"/>
        <w:rPr>
          <w:i/>
        </w:rPr>
      </w:pPr>
      <w:r w:rsidRPr="00080183">
        <w:rPr>
          <w:i/>
        </w:rPr>
        <w:t>Se vidare rådspromemoria.</w:t>
      </w:r>
    </w:p>
    <w:p w:rsidR="00DD7D02" w:rsidRPr="00080183" w:rsidRDefault="00DD7D02" w:rsidP="00DD7D02">
      <w:pPr>
        <w:tabs>
          <w:tab w:val="left" w:pos="540"/>
        </w:tabs>
        <w:spacing w:line="240" w:lineRule="auto"/>
        <w:ind w:left="1"/>
        <w:jc w:val="both"/>
        <w:rPr>
          <w:b/>
          <w:bCs/>
          <w:u w:val="single"/>
        </w:rPr>
      </w:pPr>
      <w:r w:rsidRPr="00080183">
        <w:rPr>
          <w:b/>
          <w:bCs/>
          <w:u w:val="single"/>
        </w:rPr>
        <w:t>Övriga frågor</w:t>
      </w:r>
    </w:p>
    <w:p w:rsidR="00DD7D02" w:rsidRPr="00080183" w:rsidRDefault="00DD7D02" w:rsidP="00DD7D02">
      <w:pPr>
        <w:spacing w:line="240" w:lineRule="auto"/>
        <w:ind w:left="540"/>
        <w:jc w:val="both"/>
        <w:outlineLvl w:val="0"/>
        <w:rPr>
          <w:u w:val="single"/>
        </w:rPr>
      </w:pPr>
    </w:p>
    <w:p w:rsidR="00DD7D02" w:rsidRPr="00080183" w:rsidRDefault="00DD7D02" w:rsidP="00DD7D02">
      <w:pPr>
        <w:spacing w:line="240" w:lineRule="auto"/>
        <w:ind w:left="1440" w:hanging="840"/>
        <w:rPr>
          <w:b/>
        </w:rPr>
      </w:pPr>
      <w:r w:rsidRPr="00080183">
        <w:rPr>
          <w:b/>
        </w:rPr>
        <w:t>dp 12.</w:t>
      </w:r>
      <w:r w:rsidRPr="00080183">
        <w:rPr>
          <w:b/>
        </w:rPr>
        <w:tab/>
        <w:t xml:space="preserve">a) Resultaten från det informella mötet i rådet (konkurrenskraft) (Sopot den 21–22 juli 2011) </w:t>
      </w:r>
    </w:p>
    <w:p w:rsidR="00DD7D02" w:rsidRPr="00080183" w:rsidRDefault="00DD7D02" w:rsidP="00DD7D02">
      <w:pPr>
        <w:spacing w:before="120" w:line="240" w:lineRule="auto"/>
        <w:ind w:firstLine="567"/>
        <w:rPr>
          <w:i/>
        </w:rPr>
      </w:pPr>
      <w:r w:rsidRPr="00080183">
        <w:rPr>
          <w:i/>
        </w:rPr>
        <w:t>–</w:t>
      </w:r>
      <w:r w:rsidRPr="00080183">
        <w:rPr>
          <w:i/>
        </w:rPr>
        <w:tab/>
        <w:t>Information från ordförandeskapet</w:t>
      </w:r>
    </w:p>
    <w:p w:rsidR="00DD7D02" w:rsidRPr="00080183" w:rsidRDefault="00DD7D02" w:rsidP="00DD7D02">
      <w:pPr>
        <w:tabs>
          <w:tab w:val="left" w:pos="540"/>
          <w:tab w:val="left" w:pos="1080"/>
        </w:tabs>
        <w:spacing w:line="240" w:lineRule="auto"/>
      </w:pPr>
    </w:p>
    <w:p w:rsidR="00A51F8C" w:rsidRPr="00080183" w:rsidRDefault="00A51F8C" w:rsidP="00A51F8C">
      <w:pPr>
        <w:pStyle w:val="RKnormal"/>
      </w:pPr>
      <w:r w:rsidRPr="00080183">
        <w:t xml:space="preserve">Ordförandeskapet förväntas presentera de diskussioner som fördes under det informella konkurrenskraftsrådet i Sopot i juli. Temat på mötet vad hur man ska uppnå ökad konkurrenskraft samtidigt som man når upp till miljö- och klimatkrav genom resurseffektivitet. Diskussionerna skulle ligga som grund för rådsslutsatser om resurseffektivitet och konkurrenskraft (se dp 5). SE betonade på mötet de möjligheter resurseffektivitet kan innebära för företag samt underströk den inre marknadens betydelse för att främja nya resurseffektiva företagsidéer. </w:t>
      </w:r>
    </w:p>
    <w:p w:rsidR="00A51F8C" w:rsidRPr="00080183" w:rsidRDefault="00A51F8C" w:rsidP="00A51F8C">
      <w:pPr>
        <w:pStyle w:val="RKnormal"/>
      </w:pPr>
    </w:p>
    <w:p w:rsidR="00A51F8C" w:rsidRPr="00080183" w:rsidRDefault="00A51F8C" w:rsidP="00A51F8C">
      <w:pPr>
        <w:pStyle w:val="RKnormal"/>
      </w:pPr>
      <w:r w:rsidRPr="00080183">
        <w:rPr>
          <w:u w:val="single"/>
        </w:rPr>
        <w:t>Förslag till svensk ståndpunkt:</w:t>
      </w:r>
      <w:r w:rsidRPr="00080183">
        <w:t xml:space="preserve"> Sverige välkomnar ordförandeskapets rapport från mötet. </w:t>
      </w:r>
    </w:p>
    <w:p w:rsidR="00ED415A" w:rsidRPr="00080183" w:rsidRDefault="00ED415A" w:rsidP="00A51F8C">
      <w:pPr>
        <w:pStyle w:val="RKnormal"/>
      </w:pPr>
    </w:p>
    <w:p w:rsidR="00ED415A" w:rsidRPr="00080183" w:rsidRDefault="00ED415A" w:rsidP="00A51F8C">
      <w:pPr>
        <w:pStyle w:val="RKnormal"/>
        <w:rPr>
          <w:i/>
        </w:rPr>
      </w:pPr>
      <w:r w:rsidRPr="00080183">
        <w:rPr>
          <w:i/>
        </w:rPr>
        <w:t>Se vidare rådspromemoria.</w:t>
      </w:r>
    </w:p>
    <w:p w:rsidR="00A51F8C" w:rsidRPr="00080183" w:rsidRDefault="00A51F8C" w:rsidP="00A51F8C">
      <w:pPr>
        <w:pStyle w:val="RKnormal"/>
      </w:pPr>
    </w:p>
    <w:p w:rsidR="00A51F8C" w:rsidRPr="00080183" w:rsidRDefault="00A51F8C" w:rsidP="00DD7D02">
      <w:pPr>
        <w:tabs>
          <w:tab w:val="left" w:pos="540"/>
          <w:tab w:val="left" w:pos="1080"/>
        </w:tabs>
        <w:spacing w:line="240" w:lineRule="auto"/>
      </w:pPr>
    </w:p>
    <w:p w:rsidR="00DD7D02" w:rsidRPr="00080183" w:rsidRDefault="00DD7D02" w:rsidP="00DD7D02">
      <w:pPr>
        <w:spacing w:line="240" w:lineRule="auto"/>
        <w:ind w:left="1440" w:hanging="840"/>
        <w:rPr>
          <w:b/>
        </w:rPr>
      </w:pPr>
      <w:r w:rsidRPr="00080183">
        <w:rPr>
          <w:b/>
        </w:rPr>
        <w:t>b)</w:t>
      </w:r>
      <w:r w:rsidRPr="00080183">
        <w:rPr>
          <w:b/>
        </w:rPr>
        <w:tab/>
        <w:t xml:space="preserve">Det europeiska forumet för turism och det informella ministermötet (Kraków den 5–7 oktober 2011) </w:t>
      </w:r>
    </w:p>
    <w:p w:rsidR="00DD7D02" w:rsidRPr="00080183" w:rsidRDefault="00DD7D02" w:rsidP="00DD7D02">
      <w:pPr>
        <w:spacing w:before="120" w:line="240" w:lineRule="auto"/>
        <w:ind w:firstLine="567"/>
        <w:rPr>
          <w:i/>
        </w:rPr>
      </w:pPr>
      <w:r w:rsidRPr="00080183">
        <w:rPr>
          <w:i/>
        </w:rPr>
        <w:t>–</w:t>
      </w:r>
      <w:r w:rsidRPr="00080183">
        <w:rPr>
          <w:i/>
        </w:rPr>
        <w:tab/>
        <w:t>Information från ordförandeskapet</w:t>
      </w:r>
    </w:p>
    <w:p w:rsidR="002C6E2E" w:rsidRPr="00080183" w:rsidRDefault="002C6E2E" w:rsidP="00DD7D02">
      <w:pPr>
        <w:spacing w:before="120" w:line="240" w:lineRule="auto"/>
        <w:ind w:firstLine="567"/>
        <w:rPr>
          <w:i/>
        </w:rPr>
      </w:pPr>
    </w:p>
    <w:p w:rsidR="002C6E2E" w:rsidRPr="00080183" w:rsidRDefault="002C6E2E" w:rsidP="002C6E2E">
      <w:pPr>
        <w:pStyle w:val="RKnormal"/>
      </w:pPr>
      <w:r w:rsidRPr="00080183">
        <w:t xml:space="preserve">Ordförandeskapet förväntas presentera innehåll och upplägg av ETF och det informella turismministermötet. ETF kommer att ha temat ”Öka konkurrenskraften i europeisk turimsindustri”. Detta område  är även ett av de tre prioriterade områdena i Kommissionens Turismmeddelande från 2010 “Europe, the world's No 1 tourist destination – a new political framework for tourism in Europe”, och är en prioriteringsom Sverige stödjer. </w:t>
      </w:r>
    </w:p>
    <w:p w:rsidR="002C6E2E" w:rsidRPr="00080183" w:rsidRDefault="002C6E2E" w:rsidP="002C6E2E">
      <w:pPr>
        <w:pStyle w:val="RKnormal"/>
      </w:pPr>
    </w:p>
    <w:p w:rsidR="002C6E2E" w:rsidRPr="00080183" w:rsidRDefault="002C6E2E" w:rsidP="002C6E2E">
      <w:pPr>
        <w:pStyle w:val="RKnormal"/>
      </w:pPr>
      <w:r w:rsidRPr="00080183">
        <w:t>Under ETF kommer även ett informellt turismminstermöte hållas. Ingen dagordning har ännu presenterats, men mötet ska enligt schemat behandla ”nyckelfrågor i implementeringen av turismmeddelandet”.</w:t>
      </w:r>
    </w:p>
    <w:p w:rsidR="002C6E2E" w:rsidRPr="00080183" w:rsidRDefault="002C6E2E" w:rsidP="002C6E2E">
      <w:pPr>
        <w:pStyle w:val="RKnormal"/>
      </w:pPr>
    </w:p>
    <w:p w:rsidR="002C6E2E" w:rsidRPr="00080183" w:rsidRDefault="002C6E2E" w:rsidP="002C6E2E">
      <w:pPr>
        <w:pStyle w:val="RKnormal"/>
      </w:pPr>
      <w:r w:rsidRPr="00080183">
        <w:rPr>
          <w:u w:val="single"/>
        </w:rPr>
        <w:t>Förslag till svensk ståndpunkt</w:t>
      </w:r>
      <w:r w:rsidRPr="00080183">
        <w:t>: Sverige välkomnar informationen.</w:t>
      </w:r>
    </w:p>
    <w:p w:rsidR="002C6E2E" w:rsidRPr="00080183" w:rsidRDefault="002C6E2E" w:rsidP="00DD7D02">
      <w:pPr>
        <w:spacing w:before="120" w:line="240" w:lineRule="auto"/>
        <w:ind w:firstLine="567"/>
        <w:rPr>
          <w:i/>
        </w:rPr>
      </w:pPr>
    </w:p>
    <w:p w:rsidR="00DD7D02" w:rsidRPr="00080183" w:rsidRDefault="00DD7D02" w:rsidP="00DD7D02">
      <w:pPr>
        <w:spacing w:line="240" w:lineRule="auto"/>
        <w:ind w:left="1080" w:hanging="540"/>
      </w:pPr>
    </w:p>
    <w:p w:rsidR="00DD7D02" w:rsidRPr="00080183" w:rsidRDefault="00DD7D02" w:rsidP="00DD7D02">
      <w:pPr>
        <w:spacing w:line="240" w:lineRule="auto"/>
        <w:ind w:left="1440" w:hanging="840"/>
        <w:rPr>
          <w:b/>
        </w:rPr>
      </w:pPr>
      <w:r w:rsidRPr="00080183">
        <w:rPr>
          <w:b/>
        </w:rPr>
        <w:t>c)</w:t>
      </w:r>
      <w:r w:rsidRPr="00080183">
        <w:rPr>
          <w:b/>
        </w:rPr>
        <w:tab/>
        <w:t>Att stärka konkurrenskraften – investeringar – samt tillväxtinitiativ för Grekland</w:t>
      </w:r>
    </w:p>
    <w:p w:rsidR="00DD7D02" w:rsidRPr="00080183" w:rsidRDefault="00DD7D02" w:rsidP="00DD7D02">
      <w:pPr>
        <w:spacing w:before="120" w:line="240" w:lineRule="auto"/>
        <w:ind w:firstLine="567"/>
        <w:rPr>
          <w:i/>
        </w:rPr>
      </w:pPr>
      <w:r w:rsidRPr="00080183">
        <w:rPr>
          <w:i/>
        </w:rPr>
        <w:t>–</w:t>
      </w:r>
      <w:r w:rsidRPr="00080183">
        <w:rPr>
          <w:i/>
        </w:rPr>
        <w:tab/>
        <w:t>Information från den tyska delegationen</w:t>
      </w:r>
    </w:p>
    <w:p w:rsidR="001C6B9F" w:rsidRPr="00080183" w:rsidRDefault="001C6B9F" w:rsidP="00DD7D02">
      <w:pPr>
        <w:spacing w:before="120" w:line="240" w:lineRule="auto"/>
        <w:ind w:firstLine="567"/>
        <w:rPr>
          <w:i/>
        </w:rPr>
      </w:pPr>
    </w:p>
    <w:p w:rsidR="001C6B9F" w:rsidRPr="00080183" w:rsidRDefault="001C6B9F" w:rsidP="001C6B9F">
      <w:pPr>
        <w:pStyle w:val="RKnormal"/>
        <w:rPr>
          <w:color w:val="000000"/>
          <w:szCs w:val="24"/>
          <w:lang w:eastAsia="sv-SE"/>
        </w:rPr>
      </w:pPr>
      <w:r w:rsidRPr="00080183">
        <w:rPr>
          <w:color w:val="000000"/>
          <w:szCs w:val="24"/>
          <w:lang w:eastAsia="sv-SE"/>
        </w:rPr>
        <w:t xml:space="preserve">Tyskland har aviserat att de, gemensamt med Grekland, kommer att informera om initiativ för investeringar och tillväxt i Grekland. Informationen väntas inkludera åtgärder på nationell- och </w:t>
      </w:r>
      <w:r w:rsidR="0032484A" w:rsidRPr="00080183">
        <w:rPr>
          <w:color w:val="000000"/>
          <w:szCs w:val="24"/>
          <w:lang w:eastAsia="sv-SE"/>
        </w:rPr>
        <w:t>union</w:t>
      </w:r>
      <w:r w:rsidRPr="00080183">
        <w:rPr>
          <w:color w:val="000000"/>
          <w:szCs w:val="24"/>
          <w:lang w:eastAsia="sv-SE"/>
        </w:rPr>
        <w:t xml:space="preserve">snivå som syftar till att bidra till en förbättring av villkoren för investeringar i Grekland. </w:t>
      </w:r>
    </w:p>
    <w:p w:rsidR="001C6B9F" w:rsidRPr="00080183" w:rsidRDefault="001C6B9F" w:rsidP="001C6B9F">
      <w:pPr>
        <w:pStyle w:val="RKnormal"/>
        <w:rPr>
          <w:rFonts w:ascii="Times New Roman" w:hAnsi="Times New Roman"/>
          <w:iCs/>
          <w:color w:val="000000"/>
          <w:szCs w:val="24"/>
          <w:lang w:eastAsia="sv-SE"/>
        </w:rPr>
      </w:pPr>
    </w:p>
    <w:p w:rsidR="001C6B9F" w:rsidRPr="00080183" w:rsidRDefault="001C6B9F" w:rsidP="001C6B9F">
      <w:pPr>
        <w:pStyle w:val="RKnormal"/>
        <w:rPr>
          <w:color w:val="000000"/>
          <w:szCs w:val="24"/>
          <w:lang w:eastAsia="sv-SE"/>
        </w:rPr>
      </w:pPr>
      <w:r w:rsidRPr="00080183">
        <w:rPr>
          <w:u w:val="single"/>
          <w:lang w:eastAsia="sv-SE"/>
        </w:rPr>
        <w:t>Förslag till svensk ståndpunkt:</w:t>
      </w:r>
      <w:r w:rsidRPr="00080183">
        <w:rPr>
          <w:lang w:eastAsia="sv-SE"/>
        </w:rPr>
        <w:t xml:space="preserve"> Sverige har ingen ståndpunkt för närvarande utan kommer ta del av informationen.</w:t>
      </w:r>
    </w:p>
    <w:p w:rsidR="00DD7D02" w:rsidRPr="00080183" w:rsidRDefault="00DD7D02" w:rsidP="00DD7D02">
      <w:pPr>
        <w:spacing w:line="240" w:lineRule="auto"/>
        <w:ind w:left="1701" w:hanging="567"/>
        <w:jc w:val="both"/>
      </w:pPr>
    </w:p>
    <w:p w:rsidR="00DD7D02" w:rsidRPr="00080183" w:rsidRDefault="00DD7D02" w:rsidP="00DD7D02">
      <w:pPr>
        <w:tabs>
          <w:tab w:val="left" w:pos="540"/>
          <w:tab w:val="left" w:pos="1080"/>
        </w:tabs>
        <w:spacing w:line="240" w:lineRule="auto"/>
      </w:pPr>
    </w:p>
    <w:p w:rsidR="00DD7D02" w:rsidRPr="00080183" w:rsidRDefault="00DD7D02" w:rsidP="00DD7D02">
      <w:pPr>
        <w:spacing w:line="240" w:lineRule="auto"/>
        <w:ind w:left="1440" w:hanging="840"/>
        <w:rPr>
          <w:b/>
        </w:rPr>
      </w:pPr>
      <w:r w:rsidRPr="00080183">
        <w:rPr>
          <w:b/>
        </w:rPr>
        <w:t>d)</w:t>
      </w:r>
      <w:r w:rsidRPr="00080183">
        <w:rPr>
          <w:b/>
        </w:rPr>
        <w:tab/>
        <w:t xml:space="preserve">Forum för den inre marknaden (Kraków den 3–4 oktober 2011) </w:t>
      </w:r>
    </w:p>
    <w:p w:rsidR="00DD7D02" w:rsidRPr="00080183" w:rsidRDefault="00DD7D02" w:rsidP="00DD7D02">
      <w:pPr>
        <w:spacing w:before="120" w:line="240" w:lineRule="auto"/>
        <w:ind w:firstLine="567"/>
        <w:rPr>
          <w:i/>
        </w:rPr>
      </w:pPr>
      <w:r w:rsidRPr="00080183">
        <w:rPr>
          <w:i/>
        </w:rPr>
        <w:t>–</w:t>
      </w:r>
      <w:r w:rsidRPr="00080183">
        <w:rPr>
          <w:i/>
        </w:rPr>
        <w:tab/>
        <w:t>Information från ordförandeskapet och kommissionen</w:t>
      </w:r>
    </w:p>
    <w:p w:rsidR="001C6B9F" w:rsidRPr="00080183" w:rsidRDefault="001C6B9F" w:rsidP="00DD7D02">
      <w:pPr>
        <w:spacing w:before="120" w:line="240" w:lineRule="auto"/>
        <w:ind w:firstLine="567"/>
        <w:rPr>
          <w:i/>
        </w:rPr>
      </w:pPr>
    </w:p>
    <w:p w:rsidR="00A51F8C" w:rsidRPr="00080183" w:rsidRDefault="00A51F8C" w:rsidP="00A51F8C">
      <w:pPr>
        <w:spacing w:line="240" w:lineRule="auto"/>
      </w:pPr>
      <w:r w:rsidRPr="00080183">
        <w:t xml:space="preserve">Polska ordförandeskapet organiserar tillsammans med kommissionen och parlamentet </w:t>
      </w:r>
      <w:r w:rsidRPr="00080183">
        <w:rPr>
          <w:i/>
        </w:rPr>
        <w:t xml:space="preserve">Single Market Forum </w:t>
      </w:r>
      <w:r w:rsidRPr="00080183">
        <w:t xml:space="preserve">(SIMFO) den 3-4 oktober i. Syftet är att sammanföra medborgare, företag och myndigheter för att identifiera inre marknadens hinder och utmaningar. Forumet är det första i en planerad serie av liknande forum och kommer att avslutas med att en gemensam deklaration tas fram. </w:t>
      </w:r>
    </w:p>
    <w:p w:rsidR="00A51F8C" w:rsidRPr="00080183" w:rsidRDefault="00A51F8C" w:rsidP="00A51F8C">
      <w:pPr>
        <w:pStyle w:val="RKnormal"/>
      </w:pPr>
    </w:p>
    <w:p w:rsidR="00A51F8C" w:rsidRPr="00080183" w:rsidRDefault="00A51F8C" w:rsidP="00A51F8C">
      <w:pPr>
        <w:pStyle w:val="RKnormal"/>
        <w:rPr>
          <w:u w:val="single"/>
        </w:rPr>
      </w:pPr>
      <w:r w:rsidRPr="00080183">
        <w:rPr>
          <w:u w:val="single"/>
        </w:rPr>
        <w:t>Förslag till svenska ståndpunkt:</w:t>
      </w:r>
    </w:p>
    <w:p w:rsidR="00A51F8C" w:rsidRPr="00080183" w:rsidRDefault="00A51F8C" w:rsidP="00A51F8C">
      <w:pPr>
        <w:pStyle w:val="RKnormal"/>
        <w:rPr>
          <w:u w:val="single"/>
        </w:rPr>
      </w:pPr>
      <w:r w:rsidRPr="00080183">
        <w:t xml:space="preserve">För Sverige är det centralt att åtgärderna i kommissionens meddelande </w:t>
      </w:r>
      <w:r w:rsidRPr="00080183">
        <w:rPr>
          <w:i/>
        </w:rPr>
        <w:t>Inre marknadsakten</w:t>
      </w:r>
      <w:r w:rsidRPr="00080183">
        <w:t xml:space="preserve"> genomförs under 2011. Det är positivt att SIMFO sammanför aktörer och konsumenter på den inre marknaden för att identifiera och initiera åtgärder som alla stor betydelse för att utveckla den inre marknaden och därmed öka tillväxten.</w:t>
      </w:r>
    </w:p>
    <w:p w:rsidR="00A51F8C" w:rsidRPr="00080183" w:rsidRDefault="00A51F8C" w:rsidP="00A51F8C">
      <w:pPr>
        <w:pStyle w:val="RKnormal"/>
      </w:pPr>
    </w:p>
    <w:p w:rsidR="00A51F8C" w:rsidRPr="00080183" w:rsidRDefault="00A51F8C" w:rsidP="00A51F8C">
      <w:pPr>
        <w:pStyle w:val="RKnormal"/>
        <w:rPr>
          <w:i/>
        </w:rPr>
      </w:pPr>
      <w:r w:rsidRPr="00080183">
        <w:rPr>
          <w:i/>
        </w:rPr>
        <w:t>Se vidare rådspromemoria.</w:t>
      </w:r>
    </w:p>
    <w:p w:rsidR="00A51F8C" w:rsidRPr="00080183" w:rsidRDefault="00A51F8C" w:rsidP="00DD7D02">
      <w:pPr>
        <w:spacing w:before="120" w:line="240" w:lineRule="auto"/>
        <w:ind w:firstLine="567"/>
        <w:rPr>
          <w:i/>
        </w:rPr>
      </w:pPr>
    </w:p>
    <w:p w:rsidR="00DD7D02" w:rsidRPr="00080183" w:rsidRDefault="00DD7D02" w:rsidP="00DD7D02">
      <w:pPr>
        <w:tabs>
          <w:tab w:val="left" w:pos="540"/>
          <w:tab w:val="left" w:pos="1080"/>
        </w:tabs>
        <w:spacing w:line="240" w:lineRule="auto"/>
        <w:ind w:left="540"/>
      </w:pPr>
    </w:p>
    <w:p w:rsidR="00DD7D02" w:rsidRPr="00080183" w:rsidRDefault="00DD7D02" w:rsidP="00DD7D02">
      <w:pPr>
        <w:spacing w:line="240" w:lineRule="auto"/>
        <w:ind w:left="1440" w:hanging="840"/>
        <w:rPr>
          <w:b/>
        </w:rPr>
      </w:pPr>
      <w:r w:rsidRPr="00080183">
        <w:rPr>
          <w:b/>
        </w:rPr>
        <w:t>e)</w:t>
      </w:r>
      <w:r w:rsidRPr="00080183">
        <w:rPr>
          <w:b/>
        </w:rPr>
        <w:tab/>
        <w:t>Resultattavla för inre marknaden</w:t>
      </w:r>
    </w:p>
    <w:p w:rsidR="00DD7D02" w:rsidRPr="00080183" w:rsidRDefault="00DD7D02" w:rsidP="00DD7D02">
      <w:pPr>
        <w:spacing w:before="120" w:line="240" w:lineRule="auto"/>
        <w:ind w:firstLine="567"/>
        <w:rPr>
          <w:i/>
        </w:rPr>
      </w:pPr>
      <w:r w:rsidRPr="00080183">
        <w:rPr>
          <w:i/>
        </w:rPr>
        <w:t>–</w:t>
      </w:r>
      <w:r w:rsidRPr="00080183">
        <w:rPr>
          <w:i/>
        </w:rPr>
        <w:tab/>
        <w:t>Föredragning av kommissionen</w:t>
      </w:r>
    </w:p>
    <w:p w:rsidR="00BC375C" w:rsidRPr="00080183" w:rsidRDefault="00BC375C" w:rsidP="00BC375C">
      <w:pPr>
        <w:pStyle w:val="RKnormal"/>
        <w:ind w:left="600"/>
      </w:pPr>
    </w:p>
    <w:p w:rsidR="00BC375C" w:rsidRPr="00080183" w:rsidRDefault="00BC375C" w:rsidP="00BC375C">
      <w:pPr>
        <w:spacing w:line="240" w:lineRule="auto"/>
      </w:pPr>
      <w:r w:rsidRPr="00080183">
        <w:t>Kommissionen publicerar två gånger per år ”Resultattavlan för inre marknaden” med sammanställda resultat över hur medlemsstater sköter genomförande och tillämpning av inre marknadsregler. Resultattavlan kommer att presenteras vid Konkurrenskraftsrådets möte.</w:t>
      </w:r>
    </w:p>
    <w:p w:rsidR="00BC375C" w:rsidRPr="00080183" w:rsidRDefault="00BC375C" w:rsidP="00BC375C">
      <w:pPr>
        <w:pStyle w:val="RKnormal"/>
        <w:ind w:left="600"/>
      </w:pPr>
    </w:p>
    <w:p w:rsidR="00BC375C" w:rsidRPr="00080183" w:rsidRDefault="00BC375C" w:rsidP="00BC375C">
      <w:pPr>
        <w:pStyle w:val="RKnormal"/>
        <w:rPr>
          <w:u w:val="single"/>
        </w:rPr>
      </w:pPr>
      <w:r w:rsidRPr="00080183">
        <w:rPr>
          <w:u w:val="single"/>
        </w:rPr>
        <w:t>Förslag till svensk ståndpunkt:</w:t>
      </w:r>
    </w:p>
    <w:p w:rsidR="00BC375C" w:rsidRPr="00080183" w:rsidRDefault="00BC375C" w:rsidP="00BC375C">
      <w:pPr>
        <w:pStyle w:val="RKnormal"/>
      </w:pPr>
      <w:r w:rsidRPr="00080183">
        <w:rPr>
          <w:bCs/>
        </w:rPr>
        <w:t>R</w:t>
      </w:r>
      <w:r w:rsidRPr="00080183">
        <w:t>esultattavlan är ett betydelsefullt verktyg för överblick över medlemsstaternas arbete med att genomföra och tillämpa unionsrätten. Regeringen kommer att fortsätta att sträva efter en hög genomförandegrad av inremarknadsdirektiven.</w:t>
      </w:r>
    </w:p>
    <w:p w:rsidR="00BC375C" w:rsidRPr="00080183" w:rsidRDefault="00BC375C" w:rsidP="00BC375C">
      <w:pPr>
        <w:pStyle w:val="RKnormal"/>
      </w:pPr>
    </w:p>
    <w:p w:rsidR="00BC375C" w:rsidRPr="00080183" w:rsidRDefault="00BC375C" w:rsidP="00BC375C">
      <w:pPr>
        <w:pStyle w:val="RKnormal"/>
        <w:rPr>
          <w:i/>
        </w:rPr>
      </w:pPr>
      <w:r w:rsidRPr="00080183">
        <w:rPr>
          <w:i/>
        </w:rPr>
        <w:t>Se vidare rådspromemoria.</w:t>
      </w:r>
    </w:p>
    <w:p w:rsidR="00DD7D02" w:rsidRPr="00080183" w:rsidRDefault="00DD7D02" w:rsidP="00DD7D02">
      <w:pPr>
        <w:spacing w:line="240" w:lineRule="auto"/>
        <w:ind w:left="1440" w:hanging="840"/>
        <w:rPr>
          <w:b/>
        </w:rPr>
      </w:pPr>
      <w:r w:rsidRPr="00080183">
        <w:rPr>
          <w:b/>
        </w:rPr>
        <w:t>f)</w:t>
      </w:r>
      <w:r w:rsidRPr="00080183">
        <w:rPr>
          <w:b/>
        </w:rPr>
        <w:tab/>
        <w:t>Lägesrapport om minskningen av de administrativa bördorna</w:t>
      </w:r>
    </w:p>
    <w:p w:rsidR="00DD7D02" w:rsidRPr="00080183" w:rsidRDefault="00DD7D02" w:rsidP="00DD7D02">
      <w:pPr>
        <w:spacing w:before="120" w:line="240" w:lineRule="auto"/>
        <w:ind w:firstLine="567"/>
        <w:rPr>
          <w:i/>
        </w:rPr>
      </w:pPr>
      <w:r w:rsidRPr="00080183">
        <w:rPr>
          <w:i/>
        </w:rPr>
        <w:t>–</w:t>
      </w:r>
      <w:r w:rsidRPr="00080183">
        <w:rPr>
          <w:i/>
        </w:rPr>
        <w:tab/>
        <w:t>Redovisning från ordförandeskapet av rapporten</w:t>
      </w:r>
    </w:p>
    <w:p w:rsidR="008C051E" w:rsidRPr="00080183" w:rsidRDefault="008C051E" w:rsidP="00DD7D02">
      <w:pPr>
        <w:spacing w:before="120" w:line="240" w:lineRule="auto"/>
        <w:ind w:firstLine="567"/>
        <w:rPr>
          <w:i/>
        </w:rPr>
      </w:pPr>
    </w:p>
    <w:p w:rsidR="008C051E" w:rsidRPr="00080183" w:rsidRDefault="008C051E" w:rsidP="008C051E">
      <w:pPr>
        <w:spacing w:line="240" w:lineRule="auto"/>
      </w:pPr>
      <w:r w:rsidRPr="00080183">
        <w:t xml:space="preserve">Ordförandeskapet har tagit fram en rapport i vilken det redogörs för olika framsteg i arbetet med att minska de administrativa bördorna. Av framstegsrapporten framgår att de administrativa bördorna hittills har minskat med ca 21,8 procent brutto efter kommissionens, rådets och Europaparlamentets ansträngningar (jfr. Sveriges motsvarande nationella arbete, där det finns ett nettomål). Kommissionen har lagt fram ytterligare förslag med en ”minskningspotential” om ca 9 procent (ca 11,5 miljarder euro). Ordförandeskapet drar i framstegsrapporten slutsatsen att det ser ut att vara möjligt att nå 25-procentsmålet till utgången av 2012. Ordförandeskapet pekar i framstegsrapporten slutligen på vikten av att beakta andra regelbördor än enbart administrativa sådana, däribland för företagen irriterande regler, och att arbetet bör fortsätta med att minska dessa bördor. </w:t>
      </w:r>
    </w:p>
    <w:p w:rsidR="008C051E" w:rsidRPr="00080183" w:rsidRDefault="008C051E" w:rsidP="008C051E">
      <w:pPr>
        <w:spacing w:line="240" w:lineRule="auto"/>
      </w:pPr>
    </w:p>
    <w:p w:rsidR="008C051E" w:rsidRPr="00080183" w:rsidRDefault="008C051E" w:rsidP="008C051E">
      <w:pPr>
        <w:spacing w:line="240" w:lineRule="auto"/>
      </w:pPr>
      <w:r w:rsidRPr="00080183">
        <w:t xml:space="preserve">Smart lagstiftning är sedan en längre tid pågående process och senast som frågan var på Konkurrenskraftsrådets agenda var den 30 maj 2011. </w:t>
      </w:r>
    </w:p>
    <w:p w:rsidR="008C051E" w:rsidRPr="00080183" w:rsidRDefault="008C051E" w:rsidP="008C051E">
      <w:pPr>
        <w:pStyle w:val="RKnormal"/>
        <w:spacing w:line="240" w:lineRule="auto"/>
      </w:pPr>
    </w:p>
    <w:p w:rsidR="008C051E" w:rsidRPr="00080183" w:rsidRDefault="008C051E" w:rsidP="008C051E">
      <w:pPr>
        <w:pStyle w:val="RKnormal"/>
        <w:spacing w:line="240" w:lineRule="auto"/>
      </w:pPr>
      <w:r w:rsidRPr="00080183">
        <w:rPr>
          <w:u w:val="single"/>
        </w:rPr>
        <w:t>Förslag till svensk ståndpunkt:</w:t>
      </w:r>
      <w:r w:rsidRPr="00080183">
        <w:t xml:space="preserve"> Sverige föreslås välkomna framstegsrapporten om minskning av administrativa bördor.</w:t>
      </w:r>
    </w:p>
    <w:p w:rsidR="008C051E" w:rsidRPr="00080183" w:rsidRDefault="008C051E" w:rsidP="008C051E">
      <w:pPr>
        <w:pStyle w:val="RKnormal"/>
        <w:spacing w:line="240" w:lineRule="auto"/>
      </w:pPr>
    </w:p>
    <w:p w:rsidR="008C051E" w:rsidRPr="00080183" w:rsidRDefault="008C051E" w:rsidP="008C051E">
      <w:pPr>
        <w:pStyle w:val="RKnormal"/>
        <w:rPr>
          <w:i/>
        </w:rPr>
      </w:pPr>
      <w:r w:rsidRPr="00080183">
        <w:rPr>
          <w:i/>
        </w:rPr>
        <w:t>Se vidare rådspromemoria.</w:t>
      </w:r>
    </w:p>
    <w:p w:rsidR="008C051E" w:rsidRPr="00080183" w:rsidRDefault="008C051E" w:rsidP="008C051E">
      <w:pPr>
        <w:pStyle w:val="RKnormal"/>
        <w:spacing w:line="240" w:lineRule="auto"/>
      </w:pPr>
    </w:p>
    <w:p w:rsidR="00DD7D02" w:rsidRPr="00080183" w:rsidRDefault="001C6B9F" w:rsidP="001C6B9F">
      <w:pPr>
        <w:jc w:val="center"/>
        <w:rPr>
          <w:b/>
        </w:rPr>
      </w:pPr>
      <w:r w:rsidRPr="00080183">
        <w:rPr>
          <w:b/>
        </w:rPr>
        <w:t>*****</w:t>
      </w:r>
    </w:p>
    <w:p w:rsidR="00BC375C" w:rsidRPr="00080183" w:rsidRDefault="00BC375C" w:rsidP="00E92894">
      <w:pPr>
        <w:pStyle w:val="RKnormal"/>
        <w:ind w:left="600"/>
        <w:rPr>
          <w:i/>
        </w:rPr>
      </w:pPr>
    </w:p>
    <w:p w:rsidR="00BC375C" w:rsidRPr="00080183" w:rsidRDefault="00BC375C" w:rsidP="00E92894">
      <w:pPr>
        <w:pStyle w:val="RKnormal"/>
        <w:ind w:left="600"/>
      </w:pPr>
    </w:p>
    <w:p w:rsidR="00E92894" w:rsidRPr="00080183" w:rsidRDefault="00E92894" w:rsidP="00E92894">
      <w:pPr>
        <w:pStyle w:val="RKnormal"/>
      </w:pPr>
    </w:p>
    <w:p w:rsidR="00E92894" w:rsidRPr="00080183" w:rsidRDefault="00E92894">
      <w:pPr>
        <w:pStyle w:val="RKnormal"/>
      </w:pPr>
    </w:p>
    <w:p w:rsidR="00E92894" w:rsidRPr="00080183" w:rsidRDefault="00E92894">
      <w:pPr>
        <w:pStyle w:val="RKnormal"/>
        <w:rPr>
          <w:i/>
        </w:rPr>
      </w:pPr>
    </w:p>
    <w:p w:rsidR="00E92894" w:rsidRPr="00080183" w:rsidRDefault="00E92894">
      <w:pPr>
        <w:pStyle w:val="RKnormal"/>
        <w:rPr>
          <w:i/>
        </w:rPr>
      </w:pPr>
    </w:p>
    <w:sectPr w:rsidR="00E92894" w:rsidRPr="00080183" w:rsidSect="00816F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3AD" w:rsidRPr="00080183" w:rsidRDefault="00BE13AD">
      <w:r w:rsidRPr="00080183">
        <w:separator/>
      </w:r>
    </w:p>
  </w:endnote>
  <w:endnote w:type="continuationSeparator" w:id="0">
    <w:p w:rsidR="00BE13AD" w:rsidRPr="00080183" w:rsidRDefault="00BE13AD">
      <w:r w:rsidRPr="00080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3AD" w:rsidRPr="00080183" w:rsidRDefault="00BE13AD">
      <w:r w:rsidRPr="00080183">
        <w:separator/>
      </w:r>
    </w:p>
  </w:footnote>
  <w:footnote w:type="continuationSeparator" w:id="0">
    <w:p w:rsidR="00BE13AD" w:rsidRPr="00080183" w:rsidRDefault="00BE13AD">
      <w:r w:rsidRPr="00080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8D" w:rsidRPr="00080183" w:rsidRDefault="0029208D" w:rsidP="00816F5B">
    <w:pPr>
      <w:pStyle w:val="Sidhuvud"/>
      <w:framePr w:wrap="around" w:vAnchor="text" w:hAnchor="margin" w:xAlign="outside" w:y="1"/>
      <w:rPr>
        <w:rStyle w:val="Sidnummer"/>
      </w:rPr>
    </w:pPr>
    <w:r w:rsidRPr="00080183">
      <w:rPr>
        <w:rStyle w:val="Sidnummer"/>
      </w:rPr>
      <w:fldChar w:fldCharType="begin" w:fldLock="1"/>
    </w:r>
    <w:r w:rsidRPr="00080183">
      <w:rPr>
        <w:rStyle w:val="Sidnummer"/>
      </w:rPr>
      <w:instrText xml:space="preserve">PAGE  </w:instrText>
    </w:r>
    <w:r w:rsidRPr="00080183">
      <w:rPr>
        <w:rStyle w:val="Sidnummer"/>
      </w:rPr>
      <w:fldChar w:fldCharType="separate"/>
    </w:r>
    <w:r w:rsidR="004B5A56" w:rsidRPr="00080183">
      <w:rPr>
        <w:rStyle w:val="Sidnummer"/>
      </w:rPr>
      <w:t>4</w:t>
    </w:r>
    <w:r w:rsidRPr="0008018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9208D" w:rsidRPr="00080183">
      <w:tblPrEx>
        <w:tblCellMar>
          <w:top w:w="0" w:type="dxa"/>
          <w:bottom w:w="0" w:type="dxa"/>
        </w:tblCellMar>
      </w:tblPrEx>
      <w:trPr>
        <w:cantSplit/>
      </w:trPr>
      <w:tc>
        <w:tcPr>
          <w:tcW w:w="3119" w:type="dxa"/>
        </w:tcPr>
        <w:p w:rsidR="0029208D" w:rsidRPr="00080183" w:rsidRDefault="0029208D" w:rsidP="00816F5B">
          <w:pPr>
            <w:pStyle w:val="Sidhuvud"/>
            <w:spacing w:line="200" w:lineRule="atLeast"/>
            <w:ind w:right="360" w:firstLine="360"/>
            <w:rPr>
              <w:rFonts w:ascii="TradeGothic" w:hAnsi="TradeGothic"/>
              <w:b/>
              <w:bCs/>
              <w:sz w:val="16"/>
            </w:rPr>
          </w:pPr>
        </w:p>
      </w:tc>
      <w:tc>
        <w:tcPr>
          <w:tcW w:w="4111" w:type="dxa"/>
          <w:tcMar>
            <w:left w:w="567" w:type="dxa"/>
          </w:tcMar>
        </w:tcPr>
        <w:p w:rsidR="0029208D" w:rsidRPr="00080183" w:rsidRDefault="0029208D">
          <w:pPr>
            <w:pStyle w:val="Sidhuvud"/>
            <w:ind w:right="360"/>
          </w:pPr>
        </w:p>
      </w:tc>
      <w:tc>
        <w:tcPr>
          <w:tcW w:w="1525" w:type="dxa"/>
        </w:tcPr>
        <w:p w:rsidR="0029208D" w:rsidRPr="00080183" w:rsidRDefault="0029208D">
          <w:pPr>
            <w:pStyle w:val="Sidhuvud"/>
            <w:ind w:right="360"/>
          </w:pPr>
        </w:p>
      </w:tc>
    </w:tr>
  </w:tbl>
  <w:p w:rsidR="0029208D" w:rsidRPr="00080183" w:rsidRDefault="0029208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8D" w:rsidRPr="00080183" w:rsidRDefault="0029208D" w:rsidP="00816F5B">
    <w:pPr>
      <w:pStyle w:val="Sidhuvud"/>
      <w:framePr w:wrap="around" w:vAnchor="text" w:hAnchor="margin" w:xAlign="outside" w:y="1"/>
      <w:rPr>
        <w:rStyle w:val="Sidnummer"/>
      </w:rPr>
    </w:pPr>
    <w:r w:rsidRPr="00080183">
      <w:rPr>
        <w:rStyle w:val="Sidnummer"/>
      </w:rPr>
      <w:fldChar w:fldCharType="begin" w:fldLock="1"/>
    </w:r>
    <w:r w:rsidRPr="00080183">
      <w:rPr>
        <w:rStyle w:val="Sidnummer"/>
      </w:rPr>
      <w:instrText xml:space="preserve">PAGE  </w:instrText>
    </w:r>
    <w:r w:rsidRPr="00080183">
      <w:rPr>
        <w:rStyle w:val="Sidnummer"/>
      </w:rPr>
      <w:fldChar w:fldCharType="separate"/>
    </w:r>
    <w:r w:rsidR="004B5A56" w:rsidRPr="00080183">
      <w:rPr>
        <w:rStyle w:val="Sidnummer"/>
      </w:rPr>
      <w:t>5</w:t>
    </w:r>
    <w:r w:rsidRPr="0008018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9208D" w:rsidRPr="00080183">
      <w:tblPrEx>
        <w:tblCellMar>
          <w:top w:w="0" w:type="dxa"/>
          <w:bottom w:w="0" w:type="dxa"/>
        </w:tblCellMar>
      </w:tblPrEx>
      <w:trPr>
        <w:cantSplit/>
      </w:trPr>
      <w:tc>
        <w:tcPr>
          <w:tcW w:w="3119" w:type="dxa"/>
        </w:tcPr>
        <w:p w:rsidR="0029208D" w:rsidRPr="00080183" w:rsidRDefault="0029208D" w:rsidP="00816F5B">
          <w:pPr>
            <w:pStyle w:val="Sidhuvud"/>
            <w:spacing w:line="200" w:lineRule="atLeast"/>
            <w:ind w:right="360" w:firstLine="360"/>
            <w:rPr>
              <w:rFonts w:ascii="TradeGothic" w:hAnsi="TradeGothic"/>
              <w:b/>
              <w:bCs/>
              <w:sz w:val="16"/>
            </w:rPr>
          </w:pPr>
        </w:p>
      </w:tc>
      <w:tc>
        <w:tcPr>
          <w:tcW w:w="4111" w:type="dxa"/>
          <w:tcMar>
            <w:left w:w="567" w:type="dxa"/>
          </w:tcMar>
        </w:tcPr>
        <w:p w:rsidR="0029208D" w:rsidRPr="00080183" w:rsidRDefault="0029208D">
          <w:pPr>
            <w:pStyle w:val="Sidhuvud"/>
            <w:ind w:right="360"/>
          </w:pPr>
        </w:p>
      </w:tc>
      <w:tc>
        <w:tcPr>
          <w:tcW w:w="1525" w:type="dxa"/>
        </w:tcPr>
        <w:p w:rsidR="0029208D" w:rsidRPr="00080183" w:rsidRDefault="0029208D">
          <w:pPr>
            <w:pStyle w:val="Sidhuvud"/>
            <w:ind w:right="360"/>
          </w:pPr>
        </w:p>
      </w:tc>
    </w:tr>
  </w:tbl>
  <w:p w:rsidR="0029208D" w:rsidRPr="00080183" w:rsidRDefault="0029208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08D" w:rsidRPr="00080183" w:rsidRDefault="00080183">
    <w:pPr>
      <w:framePr w:w="2948" w:h="1321" w:hRule="exact" w:wrap="notBeside" w:vAnchor="page" w:hAnchor="page" w:x="1362" w:y="653"/>
    </w:pPr>
    <w:r w:rsidRPr="00080183">
      <w:rPr>
        <w:noProof/>
      </w:rPr>
      <w:drawing>
        <wp:inline distT="0" distB="0" distL="0" distR="0">
          <wp:extent cx="1872615" cy="8166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16610"/>
                  </a:xfrm>
                  <a:prstGeom prst="rect">
                    <a:avLst/>
                  </a:prstGeom>
                  <a:noFill/>
                  <a:ln>
                    <a:noFill/>
                  </a:ln>
                </pic:spPr>
              </pic:pic>
            </a:graphicData>
          </a:graphic>
        </wp:inline>
      </w:drawing>
    </w:r>
  </w:p>
  <w:p w:rsidR="0029208D" w:rsidRPr="00080183" w:rsidRDefault="0029208D">
    <w:pPr>
      <w:pStyle w:val="Sidhuvud"/>
    </w:pPr>
  </w:p>
  <w:p w:rsidR="0029208D" w:rsidRPr="00080183" w:rsidRDefault="0029208D">
    <w:pPr>
      <w:pStyle w:val="RKrubrik"/>
      <w:keepNext w:val="0"/>
      <w:tabs>
        <w:tab w:val="clear" w:pos="1134"/>
        <w:tab w:val="clear" w:pos="2835"/>
      </w:tabs>
      <w:spacing w:before="0" w:after="0" w:line="320" w:lineRule="atLeast"/>
      <w:rPr>
        <w:bCs/>
      </w:rPr>
    </w:pPr>
  </w:p>
  <w:p w:rsidR="0029208D" w:rsidRPr="00080183" w:rsidRDefault="0029208D">
    <w:pPr>
      <w:rPr>
        <w:rFonts w:ascii="TradeGothic" w:hAnsi="TradeGothic"/>
        <w:b/>
        <w:bCs/>
        <w:spacing w:val="12"/>
        <w:sz w:val="22"/>
      </w:rPr>
    </w:pPr>
  </w:p>
  <w:p w:rsidR="0029208D" w:rsidRPr="00080183" w:rsidRDefault="0029208D">
    <w:pPr>
      <w:pStyle w:val="RKrubrik"/>
      <w:keepNext w:val="0"/>
      <w:tabs>
        <w:tab w:val="clear" w:pos="1134"/>
        <w:tab w:val="clear" w:pos="2835"/>
      </w:tabs>
      <w:spacing w:before="0" w:after="0" w:line="320" w:lineRule="atLeast"/>
      <w:rPr>
        <w:bCs/>
      </w:rPr>
    </w:pPr>
  </w:p>
  <w:p w:rsidR="0029208D" w:rsidRPr="00080183" w:rsidRDefault="0029208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50BE4"/>
    <w:multiLevelType w:val="hybridMultilevel"/>
    <w:tmpl w:val="E1F04416"/>
    <w:lvl w:ilvl="0" w:tplc="5290DC60">
      <w:start w:val="2008"/>
      <w:numFmt w:val="bullet"/>
      <w:lvlText w:val="-"/>
      <w:lvlJc w:val="left"/>
      <w:pPr>
        <w:ind w:left="1080" w:hanging="360"/>
      </w:pPr>
      <w:rPr>
        <w:rFonts w:ascii="Calibri" w:eastAsia="Times New Roman" w:hAnsi="Calibri" w:hint="default"/>
      </w:rPr>
    </w:lvl>
    <w:lvl w:ilvl="1" w:tplc="040E0019">
      <w:start w:val="1"/>
      <w:numFmt w:val="bullet"/>
      <w:lvlText w:val="o"/>
      <w:lvlJc w:val="left"/>
      <w:pPr>
        <w:ind w:left="2700" w:hanging="360"/>
      </w:pPr>
      <w:rPr>
        <w:rFonts w:ascii="Courier New" w:hAnsi="Courier New" w:hint="default"/>
      </w:rPr>
    </w:lvl>
    <w:lvl w:ilvl="2" w:tplc="040E001B">
      <w:start w:val="1"/>
      <w:numFmt w:val="bullet"/>
      <w:lvlText w:val=""/>
      <w:lvlJc w:val="left"/>
      <w:pPr>
        <w:ind w:left="3420" w:hanging="360"/>
      </w:pPr>
      <w:rPr>
        <w:rFonts w:ascii="Wingdings" w:hAnsi="Wingdings" w:hint="default"/>
      </w:rPr>
    </w:lvl>
    <w:lvl w:ilvl="3" w:tplc="040E000F" w:tentative="1">
      <w:start w:val="1"/>
      <w:numFmt w:val="bullet"/>
      <w:lvlText w:val=""/>
      <w:lvlJc w:val="left"/>
      <w:pPr>
        <w:ind w:left="4140" w:hanging="360"/>
      </w:pPr>
      <w:rPr>
        <w:rFonts w:ascii="Symbol" w:hAnsi="Symbol" w:hint="default"/>
      </w:rPr>
    </w:lvl>
    <w:lvl w:ilvl="4" w:tplc="040E0019" w:tentative="1">
      <w:start w:val="1"/>
      <w:numFmt w:val="bullet"/>
      <w:lvlText w:val="o"/>
      <w:lvlJc w:val="left"/>
      <w:pPr>
        <w:ind w:left="4860" w:hanging="360"/>
      </w:pPr>
      <w:rPr>
        <w:rFonts w:ascii="Courier New" w:hAnsi="Courier New" w:hint="default"/>
      </w:rPr>
    </w:lvl>
    <w:lvl w:ilvl="5" w:tplc="040E001B" w:tentative="1">
      <w:start w:val="1"/>
      <w:numFmt w:val="bullet"/>
      <w:lvlText w:val=""/>
      <w:lvlJc w:val="left"/>
      <w:pPr>
        <w:ind w:left="5580" w:hanging="360"/>
      </w:pPr>
      <w:rPr>
        <w:rFonts w:ascii="Wingdings" w:hAnsi="Wingdings" w:hint="default"/>
      </w:rPr>
    </w:lvl>
    <w:lvl w:ilvl="6" w:tplc="040E000F" w:tentative="1">
      <w:start w:val="1"/>
      <w:numFmt w:val="bullet"/>
      <w:lvlText w:val=""/>
      <w:lvlJc w:val="left"/>
      <w:pPr>
        <w:ind w:left="6300" w:hanging="360"/>
      </w:pPr>
      <w:rPr>
        <w:rFonts w:ascii="Symbol" w:hAnsi="Symbol" w:hint="default"/>
      </w:rPr>
    </w:lvl>
    <w:lvl w:ilvl="7" w:tplc="040E0019" w:tentative="1">
      <w:start w:val="1"/>
      <w:numFmt w:val="bullet"/>
      <w:lvlText w:val="o"/>
      <w:lvlJc w:val="left"/>
      <w:pPr>
        <w:ind w:left="7020" w:hanging="360"/>
      </w:pPr>
      <w:rPr>
        <w:rFonts w:ascii="Courier New" w:hAnsi="Courier New" w:hint="default"/>
      </w:rPr>
    </w:lvl>
    <w:lvl w:ilvl="8" w:tplc="040E001B" w:tentative="1">
      <w:start w:val="1"/>
      <w:numFmt w:val="bullet"/>
      <w:lvlText w:val=""/>
      <w:lvlJc w:val="left"/>
      <w:pPr>
        <w:ind w:left="7740" w:hanging="360"/>
      </w:pPr>
      <w:rPr>
        <w:rFonts w:ascii="Wingdings" w:hAnsi="Wingdings" w:hint="default"/>
      </w:rPr>
    </w:lvl>
  </w:abstractNum>
  <w:num w:numId="1" w16cid:durableId="134663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816F5B"/>
    <w:rsid w:val="000247EC"/>
    <w:rsid w:val="00080183"/>
    <w:rsid w:val="00150384"/>
    <w:rsid w:val="00153CF4"/>
    <w:rsid w:val="001805B7"/>
    <w:rsid w:val="001C6B9F"/>
    <w:rsid w:val="002269B5"/>
    <w:rsid w:val="0029208D"/>
    <w:rsid w:val="002A5C54"/>
    <w:rsid w:val="002C6E2E"/>
    <w:rsid w:val="0032484A"/>
    <w:rsid w:val="004A328D"/>
    <w:rsid w:val="004B5A56"/>
    <w:rsid w:val="0058762B"/>
    <w:rsid w:val="006B10E6"/>
    <w:rsid w:val="006B1384"/>
    <w:rsid w:val="006C76B8"/>
    <w:rsid w:val="006E4E11"/>
    <w:rsid w:val="00703920"/>
    <w:rsid w:val="00707B64"/>
    <w:rsid w:val="007242A3"/>
    <w:rsid w:val="00740BE1"/>
    <w:rsid w:val="007A6855"/>
    <w:rsid w:val="007E006C"/>
    <w:rsid w:val="00816F5B"/>
    <w:rsid w:val="008C051E"/>
    <w:rsid w:val="00A51F8C"/>
    <w:rsid w:val="00AC7627"/>
    <w:rsid w:val="00B96DA8"/>
    <w:rsid w:val="00BC375C"/>
    <w:rsid w:val="00BC7403"/>
    <w:rsid w:val="00BE13AD"/>
    <w:rsid w:val="00D133D7"/>
    <w:rsid w:val="00D90B82"/>
    <w:rsid w:val="00DD0127"/>
    <w:rsid w:val="00DD7D02"/>
    <w:rsid w:val="00E740F5"/>
    <w:rsid w:val="00E9114C"/>
    <w:rsid w:val="00E92894"/>
    <w:rsid w:val="00EC25F9"/>
    <w:rsid w:val="00ED415A"/>
    <w:rsid w:val="00ED4A1D"/>
    <w:rsid w:val="00ED583F"/>
    <w:rsid w:val="00F20DDF"/>
    <w:rsid w:val="00F67A30"/>
    <w:rsid w:val="00F95E5E"/>
    <w:rsid w:val="00FB5294"/>
    <w:rsid w:val="00FE57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184B76-D423-434D-A66A-FA9BE830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40BE1"/>
    <w:rPr>
      <w:rFonts w:ascii="OrigGarmnd BT" w:hAnsi="OrigGarmnd BT"/>
      <w:sz w:val="24"/>
      <w:lang w:val="sv-SE" w:eastAsia="en-US" w:bidi="ar-SA"/>
    </w:rPr>
  </w:style>
  <w:style w:type="paragraph" w:styleId="Normalwebb">
    <w:name w:val="Normal (Web)"/>
    <w:basedOn w:val="Normal"/>
    <w:rsid w:val="002A5C54"/>
    <w:pPr>
      <w:overflowPunct/>
      <w:autoSpaceDE/>
      <w:autoSpaceDN/>
      <w:adjustRightInd/>
      <w:spacing w:line="240" w:lineRule="auto"/>
      <w:textAlignment w:val="auto"/>
    </w:pPr>
    <w:rPr>
      <w:rFonts w:ascii="Times New Roman" w:hAnsi="Times New Roman"/>
      <w:szCs w:val="24"/>
      <w:lang w:val="hu-HU" w:eastAsia="hu-HU"/>
    </w:rPr>
  </w:style>
  <w:style w:type="character" w:styleId="Stark">
    <w:name w:val="Strong"/>
    <w:basedOn w:val="Standardstycketeckensnitt"/>
    <w:qFormat/>
    <w:rsid w:val="002A5C54"/>
    <w:rPr>
      <w:b/>
      <w:bCs/>
    </w:rPr>
  </w:style>
  <w:style w:type="paragraph" w:customStyle="1" w:styleId="Akapitzlist">
    <w:name w:val="Akapit z listą"/>
    <w:basedOn w:val="Normal"/>
    <w:qFormat/>
    <w:rsid w:val="00DD7D02"/>
    <w:pPr>
      <w:overflowPunct/>
      <w:autoSpaceDE/>
      <w:autoSpaceDN/>
      <w:adjustRightInd/>
      <w:spacing w:after="200" w:line="276" w:lineRule="auto"/>
      <w:ind w:left="720"/>
      <w:contextualSpacing/>
      <w:textAlignment w:val="auto"/>
    </w:pPr>
    <w:rPr>
      <w:rFonts w:ascii="Calibri" w:eastAsia="Calibri" w:hAnsi="Calibri"/>
      <w:sz w:val="22"/>
      <w:szCs w:val="22"/>
      <w:lang w:val="pl-PL"/>
    </w:rPr>
  </w:style>
  <w:style w:type="paragraph" w:styleId="Ballongtext">
    <w:name w:val="Balloon Text"/>
    <w:basedOn w:val="Normal"/>
    <w:semiHidden/>
    <w:rsid w:val="004B5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7892</Characters>
  <Application>Microsoft Office Word</Application>
  <DocSecurity>4</DocSecurity>
  <Lines>225</Lines>
  <Paragraphs>78</Paragraphs>
  <ScaleCrop>false</ScaleCrop>
  <HeadingPairs>
    <vt:vector size="2" baseType="variant">
      <vt:variant>
        <vt:lpstr>Rubrik</vt:lpstr>
      </vt:variant>
      <vt:variant>
        <vt:i4>1</vt:i4>
      </vt:variant>
    </vt:vector>
  </HeadingPairs>
  <TitlesOfParts>
    <vt:vector size="1" baseType="lpstr">
      <vt:lpstr>Konkurrenskraftsrådet den 30 maj - sr Björlings ansvarsområden</vt:lpstr>
    </vt:vector>
  </TitlesOfParts>
  <Company>Regeringskansliet</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Konkurrenskraftsrådet den 30 maj - sr Björlings ansvarsområden</dc:title>
  <dc:subject>Konkurrenskraftsrådet den 30 maj - sr Björlings ansvarsområden</dc:subject>
  <dc:creator>Riksdagen</dc:creator>
  <cp:keywords>Riksdagen</cp:keywords>
  <dc:description/>
  <cp:lastModifiedBy>Lars Brink</cp:lastModifiedBy>
  <cp:revision>2</cp:revision>
  <cp:lastPrinted>2011-09-19T11:26:00Z</cp:lastPrinted>
  <dcterms:created xsi:type="dcterms:W3CDTF">2025-12-17T21:35:00Z</dcterms:created>
  <dcterms:modified xsi:type="dcterms:W3CDTF">2025-12-17T21:35:00Z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