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6E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7B3DC5" w:rsidRPr="006E762E" w:rsidRDefault="007B3DC5">
            <w:pPr>
              <w:pStyle w:val="HuvudRubrik"/>
            </w:pPr>
            <w:r w:rsidRPr="006E762E">
              <w:t>Regeringskansliet</w:t>
            </w:r>
          </w:p>
          <w:p w:rsidR="007B3DC5" w:rsidRPr="006E762E" w:rsidRDefault="007B3DC5">
            <w:pPr>
              <w:pStyle w:val="HuvudRubrik"/>
            </w:pPr>
            <w:r w:rsidRPr="006E762E">
              <w:t>Faktapromemoria 2005/06:FPM58</w:t>
            </w:r>
          </w:p>
        </w:tc>
      </w:tr>
      <w:tr w:rsidR="00000000" w:rsidRPr="006E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7B3DC5" w:rsidRPr="006E762E" w:rsidRDefault="007B3DC5">
            <w:pPr>
              <w:pStyle w:val="HuvudRubrik"/>
              <w:rPr>
                <w:sz w:val="28"/>
              </w:rPr>
            </w:pPr>
            <w:r w:rsidRPr="006E762E">
              <w:t xml:space="preserve">Förordning om samordning av trygghetsförmåner </w:t>
            </w:r>
          </w:p>
        </w:tc>
      </w:tr>
      <w:tr w:rsidR="00F92D8D" w:rsidRPr="006E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F92D8D" w:rsidRPr="006E762E" w:rsidRDefault="00F92D8D">
            <w:pPr>
              <w:pStyle w:val="Departement"/>
              <w:rPr>
                <w:sz w:val="28"/>
              </w:rPr>
            </w:pPr>
            <w:r w:rsidRPr="006E762E">
              <w:t>Socialdepartementet</w:t>
            </w:r>
          </w:p>
        </w:tc>
      </w:tr>
      <w:tr w:rsidR="00F92D8D" w:rsidRPr="006E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F92D8D" w:rsidRPr="006E762E" w:rsidRDefault="00F92D8D">
            <w:pPr>
              <w:pStyle w:val="Dokumentdatum"/>
            </w:pPr>
            <w:r w:rsidRPr="006E762E">
              <w:t>2006-03-06</w:t>
            </w:r>
          </w:p>
        </w:tc>
      </w:tr>
      <w:tr w:rsidR="00F92D8D" w:rsidRPr="006E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F92D8D" w:rsidRPr="006E762E" w:rsidRDefault="00F92D8D">
            <w:pPr>
              <w:pStyle w:val="Dokumentbeteckning"/>
            </w:pPr>
            <w:r w:rsidRPr="006E762E">
              <w:t>Dokumentbeteckning</w:t>
            </w:r>
          </w:p>
        </w:tc>
      </w:tr>
      <w:tr w:rsidR="00F92D8D" w:rsidRPr="006E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F92D8D" w:rsidRPr="006E762E" w:rsidRDefault="00F92D8D" w:rsidP="00F92D8D">
            <w:bookmarkStart w:id="0" w:name="KomNr"/>
            <w:bookmarkEnd w:id="0"/>
            <w:r w:rsidRPr="006E762E">
              <w:t>KOM (2005) 676 final</w:t>
            </w:r>
          </w:p>
        </w:tc>
      </w:tr>
      <w:tr w:rsidR="00F92D8D" w:rsidRPr="006E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F92D8D" w:rsidRPr="006E762E" w:rsidRDefault="00F92D8D" w:rsidP="00F92D8D">
            <w:pPr>
              <w:pStyle w:val="Dokumentbeteckning-titel"/>
            </w:pPr>
            <w:r w:rsidRPr="006E762E">
              <w:t>Proposal for a Regulation of the European Parliament and of the Council amending Council regulation (EEC) No 1408/71 on the application of social security schemes to employed persons, to self employed persons and to members of their families moving within the Community and Council Regulation (EEC) No 574/72 laying down the procedure for implementing Regulation (EEC) No 1408/71</w:t>
            </w:r>
          </w:p>
        </w:tc>
      </w:tr>
    </w:tbl>
    <w:p w:rsidR="00F92D8D" w:rsidRPr="006E762E" w:rsidRDefault="00F92D8D">
      <w:pPr>
        <w:pStyle w:val="Rubrik1"/>
        <w:numPr>
          <w:ilvl w:val="0"/>
          <w:numId w:val="0"/>
        </w:numPr>
      </w:pPr>
      <w:r w:rsidRPr="006E762E">
        <w:t>Sammanfattning</w:t>
      </w:r>
    </w:p>
    <w:p w:rsidR="00F92D8D" w:rsidRPr="006E762E" w:rsidRDefault="00F92D8D">
      <w:pPr>
        <w:pStyle w:val="Rubrik1"/>
        <w:numPr>
          <w:ilvl w:val="0"/>
          <w:numId w:val="0"/>
        </w:numPr>
        <w:rPr>
          <w:sz w:val="19"/>
        </w:rPr>
      </w:pPr>
      <w:r w:rsidRPr="006E762E">
        <w:rPr>
          <w:sz w:val="19"/>
        </w:rPr>
        <w:t>Förslaget innebär en uppdatering av förordning (EEG) nr 1408/71. Mer specifikt innebär förslaget att bilagorna till förordningen anpassas efter ländernas aktuella socialförsäkringslagstiftningar. För Sveriges del innebär förslaget att bilagorna anpassas till det nya svenska allmänna pensions</w:t>
      </w:r>
      <w:r w:rsidRPr="006E762E">
        <w:rPr>
          <w:sz w:val="19"/>
        </w:rPr>
        <w:softHyphen/>
        <w:t xml:space="preserve">systemet m.m. </w:t>
      </w:r>
      <w:r w:rsidRPr="006E762E">
        <w:rPr>
          <w:color w:val="000000"/>
          <w:sz w:val="19"/>
          <w:lang w:eastAsia="en-US"/>
        </w:rPr>
        <w:t>Sverige ställer sig positiv till förslaget som stämmer överens med vad vi begärt att få med i bilageanteckningarna.</w:t>
      </w:r>
    </w:p>
    <w:p w:rsidR="00F92D8D" w:rsidRPr="006E762E" w:rsidRDefault="00F92D8D"/>
    <w:p w:rsidR="00F92D8D" w:rsidRPr="006E762E" w:rsidRDefault="00F92D8D" w:rsidP="00C60EA2"/>
    <w:p w:rsidR="00F92D8D" w:rsidRPr="006E762E" w:rsidRDefault="00F92D8D" w:rsidP="00C60EA2"/>
    <w:p w:rsidR="00F92D8D" w:rsidRPr="006E762E" w:rsidRDefault="00F92D8D">
      <w:pPr>
        <w:pStyle w:val="Rubrik1"/>
      </w:pPr>
      <w:r w:rsidRPr="006E762E">
        <w:t>Förslaget</w:t>
      </w:r>
    </w:p>
    <w:p w:rsidR="00F92D8D" w:rsidRPr="006E762E" w:rsidRDefault="00F92D8D">
      <w:pPr>
        <w:pStyle w:val="Rubrik2"/>
      </w:pPr>
      <w:r w:rsidRPr="006E762E">
        <w:t>Innehåll</w:t>
      </w:r>
    </w:p>
    <w:p w:rsidR="00F92D8D" w:rsidRPr="006E762E" w:rsidRDefault="00F92D8D">
      <w:r w:rsidRPr="006E762E">
        <w:t xml:space="preserve">Förslaget innehåller särskilda anvisningar i bilageanteckningar som avser förordningens tillämpning i förhållande till medlemsstaternas nationella lagstiftningar. Bilageanteckningarna är i allmänhet uppdelade efter olika </w:t>
      </w:r>
      <w:r w:rsidRPr="006E762E">
        <w:lastRenderedPageBreak/>
        <w:t xml:space="preserve">förmånsslag. Eftersom förändringarna i det nya svenska pensionssystemet påverkar flera förmånsslag, ålderspension, efterlevandepension och sjuk- och aktivitetsersättning så måste ändringar göras i flera bilagor. </w:t>
      </w:r>
    </w:p>
    <w:p w:rsidR="00F92D8D" w:rsidRPr="006E762E" w:rsidRDefault="00F92D8D">
      <w:pPr>
        <w:pStyle w:val="Rubrik2"/>
      </w:pPr>
      <w:r w:rsidRPr="006E762E">
        <w:t>Gällande svenska regler och förslagets effekt på dessa</w:t>
      </w:r>
    </w:p>
    <w:p w:rsidR="00F92D8D" w:rsidRPr="006E762E" w:rsidRDefault="00F92D8D">
      <w:r w:rsidRPr="006E762E">
        <w:t>De nationella regelsystemen berörs inte direkt av förordningen. Däremot påverkas rättigheterna för förvärvsverksamma personer och deras familjemedlemmar som flyttar inom EES-länderna. Reglerna om rätt till folkpension och ATP för dem som flyttar inom EES-länderna tillämpades efter särskilda anteckningar i de olika bilagorna. I och med den nya pensionslagstiftningen med följdändringar behövs bilagorna uppdateras. Uppdateringen omfattar såväl nya beräkningssätt som korrekta laghänvisningar.</w:t>
      </w:r>
    </w:p>
    <w:p w:rsidR="00F92D8D" w:rsidRPr="006E762E" w:rsidRDefault="00F92D8D">
      <w:pPr>
        <w:pStyle w:val="Rubrik2"/>
      </w:pPr>
      <w:r w:rsidRPr="006E762E">
        <w:t>Budgetära konsekvenser</w:t>
      </w:r>
    </w:p>
    <w:p w:rsidR="00F92D8D" w:rsidRPr="006E762E" w:rsidRDefault="00F92D8D">
      <w:r w:rsidRPr="006E762E">
        <w:t>Inga kända.</w:t>
      </w:r>
    </w:p>
    <w:p w:rsidR="00F92D8D" w:rsidRPr="006E762E" w:rsidRDefault="00F92D8D">
      <w:pPr>
        <w:pStyle w:val="Rubrik1"/>
      </w:pPr>
      <w:r w:rsidRPr="006E762E">
        <w:t>Ståndpunkter</w:t>
      </w:r>
    </w:p>
    <w:p w:rsidR="00F92D8D" w:rsidRPr="006E762E" w:rsidRDefault="00F92D8D">
      <w:pPr>
        <w:pStyle w:val="Rubrik2"/>
      </w:pPr>
      <w:r w:rsidRPr="006E762E">
        <w:t>Svensk ståndpunkt</w:t>
      </w:r>
    </w:p>
    <w:p w:rsidR="00F92D8D" w:rsidRPr="006E762E" w:rsidRDefault="00F92D8D">
      <w:r w:rsidRPr="006E762E">
        <w:t xml:space="preserve">De bilageanteckningar som rör Sverige är i stort i enlighet med det underlag som Sverige lämnat in till Europeiska kommissionen. Emellertid kan Sverige inte acceptera ett tillägg i bilaga VI, section X. Sweden point 1 (b). Under denna punkt har Europeiska kommissionen lagt till en anteckning som innebär att vid beräkning av rätten till svensk föräldrapenning med sjukpenningbelopp skall inkomst i ett annat medlemsland kunna ligga till grund för denna högre ersättning. </w:t>
      </w:r>
    </w:p>
    <w:p w:rsidR="00F92D8D" w:rsidRPr="006E762E" w:rsidRDefault="00F92D8D">
      <w:pPr>
        <w:pStyle w:val="Rubrik2"/>
      </w:pPr>
      <w:r w:rsidRPr="006E762E">
        <w:t>Medlemsstaternas ståndpunkter</w:t>
      </w:r>
    </w:p>
    <w:p w:rsidR="00F92D8D" w:rsidRPr="006E762E" w:rsidRDefault="00F92D8D">
      <w:r w:rsidRPr="006E762E">
        <w:t>Ännu ej kända.</w:t>
      </w:r>
    </w:p>
    <w:p w:rsidR="00F92D8D" w:rsidRPr="006E762E" w:rsidRDefault="00F92D8D">
      <w:pPr>
        <w:pStyle w:val="Rubrik2"/>
      </w:pPr>
      <w:r w:rsidRPr="006E762E">
        <w:t>Institutionernas ståndpunkter</w:t>
      </w:r>
    </w:p>
    <w:p w:rsidR="00F92D8D" w:rsidRPr="006E762E" w:rsidRDefault="00F92D8D">
      <w:r w:rsidRPr="006E762E">
        <w:t xml:space="preserve">Europeiska kommissionen anser att det svenska kravet på 240-dagars sjukpenningförsäkring innan ett barns födelse skall kunna uppfyllas enbart genom inkomst i ett annat medlemsland. </w:t>
      </w:r>
    </w:p>
    <w:p w:rsidR="00F92D8D" w:rsidRPr="006E762E" w:rsidRDefault="00F92D8D" w:rsidP="00C60EA2">
      <w:r w:rsidRPr="006E762E">
        <w:t>Övriga institutioners synpunkter är ej kända.</w:t>
      </w:r>
    </w:p>
    <w:p w:rsidR="00F92D8D" w:rsidRPr="006E762E" w:rsidRDefault="00F92D8D">
      <w:pPr>
        <w:pStyle w:val="Rubrik2"/>
      </w:pPr>
      <w:r w:rsidRPr="006E762E">
        <w:t>Remissinstansernas ståndpunkter</w:t>
      </w:r>
    </w:p>
    <w:p w:rsidR="00F92D8D" w:rsidRPr="006E762E" w:rsidRDefault="00F92D8D">
      <w:r w:rsidRPr="006E762E">
        <w:t xml:space="preserve">Försäkringskassan anser att Europeiska kommissionens tillägg i bilaga VI, section X. Sweden point I (b) inte är i överensstämmelse med den svenska tolkningen av förordning (EEG) nr 1408/71. Försäkringskassan anser att det krävs en sammanläggning av försäkringsperioder i Sverige och försäkringsperioder i ett annat medlemsland för att villkoret om 240-dagars sjukpenningförsäkring innan ett barns födelse, skall vara uppfyllt. Den föreslagna anteckningen innebär ett avsteg från Försäkringskassans tolkning. I övrigt anser Försäkringskassan att de bilageanteckningar som berör följderna av det nya svenska pensionssystemet är i överensstämmelse med den svenska tolkningen. </w:t>
      </w:r>
    </w:p>
    <w:p w:rsidR="00F92D8D" w:rsidRPr="006E762E" w:rsidRDefault="00F92D8D">
      <w:pPr>
        <w:pStyle w:val="Rubrik1"/>
      </w:pPr>
      <w:r w:rsidRPr="006E762E">
        <w:t>Övrigt</w:t>
      </w:r>
    </w:p>
    <w:p w:rsidR="00F92D8D" w:rsidRPr="006E762E" w:rsidRDefault="00F92D8D">
      <w:pPr>
        <w:pStyle w:val="Rubrik2"/>
      </w:pPr>
      <w:r w:rsidRPr="006E762E">
        <w:t>Fortsatt behandling av ärendet</w:t>
      </w:r>
    </w:p>
    <w:p w:rsidR="00F92D8D" w:rsidRPr="006E762E" w:rsidRDefault="00F92D8D">
      <w:r w:rsidRPr="006E762E">
        <w:t>Förslaget skall behandlas i rådsarbetsgruppen för sociala frågor under våren 2006.</w:t>
      </w:r>
    </w:p>
    <w:p w:rsidR="00F92D8D" w:rsidRPr="006E762E" w:rsidRDefault="00F92D8D">
      <w:pPr>
        <w:pStyle w:val="Rubrik2"/>
      </w:pPr>
      <w:r w:rsidRPr="006E762E">
        <w:t>Rättslig grund och beslutsförfarande</w:t>
      </w:r>
    </w:p>
    <w:p w:rsidR="00F92D8D" w:rsidRPr="006E762E" w:rsidRDefault="00F92D8D">
      <w:r w:rsidRPr="006E762E">
        <w:t>Artikel 18, artikel 42 och 308 i Romfördraget. Beslut fattas med enhällighet och i enlighet med medbeslutandeprocessen i Europaparlamentet.</w:t>
      </w:r>
    </w:p>
    <w:p w:rsidR="00F92D8D" w:rsidRPr="006E762E" w:rsidRDefault="00F92D8D">
      <w:pPr>
        <w:pStyle w:val="Rubrik2"/>
      </w:pPr>
      <w:r w:rsidRPr="006E762E">
        <w:t>Fackuttryck/termer</w:t>
      </w:r>
    </w:p>
    <w:p w:rsidR="00F92D8D" w:rsidRPr="006E762E" w:rsidRDefault="00F92D8D"/>
    <w:sectPr w:rsidR="00F92D8D" w:rsidRPr="006E7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DC5" w:rsidRPr="006E762E" w:rsidRDefault="007B3DC5">
      <w:r w:rsidRPr="006E762E">
        <w:separator/>
      </w:r>
    </w:p>
  </w:endnote>
  <w:endnote w:type="continuationSeparator" w:id="0">
    <w:p w:rsidR="007B3DC5" w:rsidRPr="006E762E" w:rsidRDefault="007B3DC5">
      <w:r w:rsidRPr="006E76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AA" w:rsidRPr="006E762E" w:rsidRDefault="007570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AA" w:rsidRPr="006E762E" w:rsidRDefault="00C60EA2">
    <w:pPr>
      <w:pStyle w:val="SidfotH"/>
      <w:framePr w:wrap="around"/>
    </w:pPr>
    <w:r w:rsidRPr="006E762E">
      <w:t>3</w:t>
    </w:r>
  </w:p>
  <w:p w:rsidR="007570AA" w:rsidRPr="006E762E" w:rsidRDefault="007570A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AA" w:rsidRPr="006E762E" w:rsidRDefault="007B3DC5">
    <w:pPr>
      <w:pStyle w:val="SidfotH"/>
      <w:framePr w:wrap="around"/>
    </w:pPr>
    <w:r w:rsidRPr="006E762E">
      <w:t>1</w:t>
    </w:r>
  </w:p>
  <w:p w:rsidR="007570AA" w:rsidRPr="006E762E" w:rsidRDefault="007570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DC5" w:rsidRPr="006E762E" w:rsidRDefault="007B3DC5">
      <w:r w:rsidRPr="006E762E">
        <w:separator/>
      </w:r>
    </w:p>
  </w:footnote>
  <w:footnote w:type="continuationSeparator" w:id="0">
    <w:p w:rsidR="007B3DC5" w:rsidRPr="006E762E" w:rsidRDefault="007B3DC5">
      <w:r w:rsidRPr="006E76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AA" w:rsidRPr="006E762E" w:rsidRDefault="007570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AA" w:rsidRPr="006E762E" w:rsidRDefault="007570AA">
    <w:pPr>
      <w:pStyle w:val="Kantrubrik"/>
      <w:framePr w:h="1157" w:hRule="exact" w:wrap="around" w:y="738"/>
    </w:pPr>
    <w:r w:rsidRPr="006E762E">
      <w:t>2005/06:FPM58</w:t>
    </w:r>
  </w:p>
  <w:p w:rsidR="007570AA" w:rsidRPr="006E762E" w:rsidRDefault="007570A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AA" w:rsidRPr="006E762E" w:rsidRDefault="006E762E">
    <w:pPr>
      <w:pStyle w:val="Sidhuvud"/>
    </w:pPr>
    <w:r w:rsidRPr="006E762E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64515" cy="981075"/>
              <wp:effectExtent l="0" t="0" r="0" b="0"/>
              <wp:wrapNone/>
              <wp:docPr id="15267882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0AA" w:rsidRDefault="007570AA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color="window">
                                <v:imagedata r:id="rId1" o:title=""/>
                              </v:shape>
                              <o:OLEObject Type="Embed" ProgID="Word.Picture.8" ShapeID="_x0000_i1025" DrawAspect="Content" ObjectID="_1827439026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4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" o:allowincell="f" stroked="f">
              <v:textbox inset="0,0,0,0">
                <w:txbxContent>
                  <w:p w:rsidR="007570AA" w:rsidRDefault="007570AA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color="window">
                          <v:imagedata r:id="rId1" o:title=""/>
                        </v:shape>
                        <o:OLEObject Type="Embed" ProgID="Word.Picture.8" ShapeID="_x0000_i1025" DrawAspect="Content" ObjectID="_1827439026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74465566">
    <w:abstractNumId w:val="4"/>
  </w:num>
  <w:num w:numId="2" w16cid:durableId="1132405029">
    <w:abstractNumId w:val="1"/>
  </w:num>
  <w:num w:numId="3" w16cid:durableId="1205480970">
    <w:abstractNumId w:val="2"/>
  </w:num>
  <w:num w:numId="4" w16cid:durableId="1999070634">
    <w:abstractNumId w:val="3"/>
  </w:num>
  <w:num w:numId="5" w16cid:durableId="2146971362">
    <w:abstractNumId w:val="5"/>
  </w:num>
  <w:num w:numId="6" w16cid:durableId="116820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6-03-06"/>
    <w:docVar w:name="Ar" w:val="2006/07"/>
    <w:docVar w:name="Dep" w:val="Socialdepartementet"/>
    <w:docVar w:name="DepWeb" w:val="Socialdepartementet"/>
    <w:docVar w:name="GDB1" w:val="KOM (2005) 676 final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Proposal for a Regulation of the European Parliament and of the Council amending Council regulation (EEC) No 1408/71 on the application of social security schemes to employed persons, to self employed persons and to members of their families moving within the Community and Council Regulation (EEC) No 574/72 laying down the procedure for implementing Regulation (EEC) No 1408/71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5) 676 final"/>
    <w:docVar w:name="Nr" w:val="58"/>
    <w:docVar w:name="RD_APPVERSION" w:val="3.00"/>
    <w:docVar w:name="Rub" w:val="Förordning om samordning av trygghetsförmåner"/>
    <w:docVar w:name="UppDat" w:val="2006-03-06"/>
    <w:docVar w:name="Utsk" w:val="Socialförsäkringsutskottet"/>
  </w:docVars>
  <w:rsids>
    <w:rsidRoot w:val="006E762E"/>
    <w:rsid w:val="006E762E"/>
    <w:rsid w:val="007570AA"/>
    <w:rsid w:val="007B3DC5"/>
    <w:rsid w:val="00883FAC"/>
    <w:rsid w:val="00B97D20"/>
    <w:rsid w:val="00C60EA2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71CB72-D701-4ABF-B689-3DE5195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pPr>
      <w:tabs>
        <w:tab w:val="left" w:pos="2835"/>
      </w:tabs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503</Words>
  <Characters>3359</Characters>
  <Application>Microsoft Office Word</Application>
  <DocSecurity>4</DocSecurity>
  <Lines>78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FAKTAPM_APP</vt:lpstr>
      <vt:lpstr>FAKTAPM_APP</vt:lpstr>
    </vt:vector>
  </TitlesOfParts>
  <Company>RD-DTSL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FAKTAPM_APP</dc:title>
  <dc:subject>FAKTAPM_APP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2006-03-06T14:28:00Z</cp:lastPrinted>
  <dcterms:created xsi:type="dcterms:W3CDTF">2025-12-16T22:30:00Z</dcterms:created>
  <dcterms:modified xsi:type="dcterms:W3CDTF">2025-12-16T22:30:00Z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58</vt:lpwstr>
  </property>
  <property fmtid="{D5CDD505-2E9C-101B-9397-08002B2CF9AE}" pid="4" name="GDB1">
    <vt:lpwstr>KOM (2005) 676 final</vt:lpwstr>
  </property>
  <property fmtid="{D5CDD505-2E9C-101B-9397-08002B2CF9AE}" pid="5" name="GDT1">
    <vt:lpwstr> </vt:lpwstr>
  </property>
  <property fmtid="{D5CDD505-2E9C-101B-9397-08002B2CF9AE}" pid="6" name="Dep">
    <vt:lpwstr>Socialdepartementet</vt:lpwstr>
  </property>
  <property fmtid="{D5CDD505-2E9C-101B-9397-08002B2CF9AE}" pid="7" name="Rub">
    <vt:lpwstr>Förordning om samordning av trygghetsförmåner</vt:lpwstr>
  </property>
  <property fmtid="{D5CDD505-2E9C-101B-9397-08002B2CF9AE}" pid="8" name="UppDat">
    <vt:lpwstr>2006-03-06</vt:lpwstr>
  </property>
  <property fmtid="{D5CDD505-2E9C-101B-9397-08002B2CF9AE}" pid="9" name="AnkDat">
    <vt:lpwstr>2006-03-06</vt:lpwstr>
  </property>
  <property fmtid="{D5CDD505-2E9C-101B-9397-08002B2CF9AE}" pid="10" name="Utsk">
    <vt:lpwstr>Socialförsäkringsutskottet</vt:lpwstr>
  </property>
  <property fmtid="{D5CDD505-2E9C-101B-9397-08002B2CF9AE}" pid="11" name="Ar">
    <vt:lpwstr>2005/06</vt:lpwstr>
  </property>
  <property fmtid="{D5CDD505-2E9C-101B-9397-08002B2CF9AE}" pid="12" name="Dokumenttyp">
    <vt:lpwstr> FaktaPM</vt:lpwstr>
  </property>
  <property fmtid="{D5CDD505-2E9C-101B-9397-08002B2CF9AE}" pid="13" name="Epostadress">
    <vt:lpwstr>ta0108aa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JA</vt:lpwstr>
  </property>
  <property fmtid="{D5CDD505-2E9C-101B-9397-08002B2CF9AE}" pid="31" name="Finansdepartementet">
    <vt:lpwstr>NEJ</vt:lpwstr>
  </property>
  <property fmtid="{D5CDD505-2E9C-101B-9397-08002B2CF9AE}" pid="32" name="Utbildnings- och kulturdepartementet">
    <vt:lpwstr>NEJ</vt:lpwstr>
  </property>
  <property fmtid="{D5CDD505-2E9C-101B-9397-08002B2CF9AE}" pid="33" name="Jordbruksdepartementet">
    <vt:lpwstr>NEJ</vt:lpwstr>
  </property>
  <property fmtid="{D5CDD505-2E9C-101B-9397-08002B2CF9AE}" pid="34" name="Kulturdepartementet">
    <vt:lpwstr>NEJ</vt:lpwstr>
  </property>
  <property fmtid="{D5CDD505-2E9C-101B-9397-08002B2CF9AE}" pid="35" name="Näringsdepartementet">
    <vt:lpwstr>NEJ</vt:lpwstr>
  </property>
  <property fmtid="{D5CDD505-2E9C-101B-9397-08002B2CF9AE}" pid="36" name="Miljö- och samhällsbyggnadsdepartementet">
    <vt:lpwstr>NEJ</vt:lpwstr>
  </property>
  <property fmtid="{D5CDD505-2E9C-101B-9397-08002B2CF9AE}" pid="37" name="Förvaltningsavdelningen">
    <vt:lpwstr>NEJ</vt:lpwstr>
  </property>
  <property fmtid="{D5CDD505-2E9C-101B-9397-08002B2CF9AE}" pid="38" name="DepID">
    <vt:lpwstr>5;0;0;252</vt:lpwstr>
  </property>
  <property fmtid="{D5CDD505-2E9C-101B-9397-08002B2CF9AE}" pid="39" name="Sprak">
    <vt:lpwstr>Svenska</vt:lpwstr>
  </property>
  <property fmtid="{D5CDD505-2E9C-101B-9397-08002B2CF9AE}" pid="40" name="DokID">
    <vt:i4>80</vt:i4>
  </property>
</Properties>
</file>