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C6E9C" w:rsidRPr="00F26166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0C6E9C" w:rsidRPr="00F26166" w:rsidRDefault="006F718A" w:rsidP="0020634B">
            <w:pPr>
              <w:pStyle w:val="HuvudRubrik"/>
            </w:pPr>
            <w:r w:rsidRPr="00F26166">
              <w:t>Framställning till riksdagen</w:t>
            </w:r>
          </w:p>
          <w:p w:rsidR="000C6E9C" w:rsidRPr="00F26166" w:rsidRDefault="00DB1DEB" w:rsidP="006D0187">
            <w:pPr>
              <w:pStyle w:val="HuvudRubrikRad2"/>
            </w:pPr>
            <w:bookmarkStart w:id="0" w:name="BetänkandeNr"/>
            <w:bookmarkEnd w:id="0"/>
            <w:r w:rsidRPr="00F26166">
              <w:t>2005/06</w:t>
            </w:r>
            <w:r w:rsidR="000C6E9C" w:rsidRPr="00F26166">
              <w:t>:</w:t>
            </w:r>
            <w:r w:rsidRPr="00F26166">
              <w:t>RRS</w:t>
            </w:r>
            <w:r w:rsidR="00DB16FC" w:rsidRPr="00F26166">
              <w:t>28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F26166" w:rsidRDefault="00F26166">
            <w:pPr>
              <w:spacing w:line="230" w:lineRule="auto"/>
              <w:jc w:val="center"/>
            </w:pPr>
            <w:r w:rsidRPr="00F26166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E9C" w:rsidRPr="00F26166" w:rsidRDefault="000C6E9C">
            <w:pPr>
              <w:pStyle w:val="Normaltindrag"/>
              <w:jc w:val="center"/>
            </w:pPr>
          </w:p>
          <w:p w:rsidR="000C6E9C" w:rsidRPr="00F26166" w:rsidRDefault="000C6E9C">
            <w:pPr>
              <w:pStyle w:val="StatusSida1"/>
            </w:pPr>
          </w:p>
          <w:p w:rsidR="000C6E9C" w:rsidRPr="00F26166" w:rsidRDefault="000C6E9C">
            <w:pPr>
              <w:pStyle w:val="UtskriftsdatumSida1"/>
              <w:framePr w:wrap="around"/>
            </w:pPr>
          </w:p>
        </w:tc>
      </w:tr>
      <w:tr w:rsidR="000C6E9C" w:rsidRPr="00F2616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0C6E9C" w:rsidRPr="00F26166" w:rsidRDefault="006F13E1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F26166">
              <w:rPr>
                <w:noProof w:val="0"/>
              </w:rPr>
              <w:t xml:space="preserve">Riksrevisorernas framställning </w:t>
            </w:r>
            <w:r w:rsidR="006F718A" w:rsidRPr="00F26166">
              <w:rPr>
                <w:noProof w:val="0"/>
              </w:rPr>
              <w:t xml:space="preserve">om vissa </w:t>
            </w:r>
            <w:r w:rsidR="00AF39C6" w:rsidRPr="00F26166">
              <w:rPr>
                <w:noProof w:val="0"/>
              </w:rPr>
              <w:t xml:space="preserve">ändringar i </w:t>
            </w:r>
            <w:r w:rsidR="00414D16" w:rsidRPr="00F26166">
              <w:rPr>
                <w:noProof w:val="0"/>
              </w:rPr>
              <w:t xml:space="preserve">bestämmelser </w:t>
            </w:r>
            <w:r w:rsidR="006F718A" w:rsidRPr="00F26166">
              <w:rPr>
                <w:noProof w:val="0"/>
              </w:rPr>
              <w:t>för Riksrevisionen</w:t>
            </w:r>
          </w:p>
        </w:tc>
        <w:tc>
          <w:tcPr>
            <w:tcW w:w="1418" w:type="dxa"/>
            <w:tcBorders>
              <w:bottom w:val="nil"/>
            </w:tcBorders>
          </w:tcPr>
          <w:p w:rsidR="000C6E9C" w:rsidRPr="00F26166" w:rsidRDefault="000C6E9C"/>
        </w:tc>
      </w:tr>
      <w:tr w:rsidR="000C6E9C" w:rsidRPr="00F2616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0C6E9C" w:rsidRPr="00F26166" w:rsidRDefault="000C6E9C"/>
        </w:tc>
        <w:tc>
          <w:tcPr>
            <w:tcW w:w="3012" w:type="dxa"/>
          </w:tcPr>
          <w:p w:rsidR="000C6E9C" w:rsidRPr="00F26166" w:rsidRDefault="000C6E9C"/>
        </w:tc>
        <w:tc>
          <w:tcPr>
            <w:tcW w:w="1418" w:type="dxa"/>
          </w:tcPr>
          <w:p w:rsidR="000C6E9C" w:rsidRPr="00F26166" w:rsidRDefault="000C6E9C"/>
        </w:tc>
      </w:tr>
    </w:tbl>
    <w:p w:rsidR="000C6E9C" w:rsidRPr="00F26166" w:rsidRDefault="000C6E9C"/>
    <w:p w:rsidR="006F718A" w:rsidRPr="00F26166" w:rsidRDefault="006F718A" w:rsidP="006F718A">
      <w:pPr>
        <w:pStyle w:val="Rubrik1"/>
        <w:spacing w:after="180"/>
        <w:rPr>
          <w:noProof w:val="0"/>
        </w:rPr>
      </w:pPr>
      <w:bookmarkStart w:id="2" w:name="_Toc135727061"/>
      <w:r w:rsidRPr="00F26166">
        <w:rPr>
          <w:noProof w:val="0"/>
        </w:rPr>
        <w:t>Sammanfattning</w:t>
      </w:r>
      <w:bookmarkEnd w:id="2"/>
    </w:p>
    <w:p w:rsidR="00414D16" w:rsidRPr="00F26166" w:rsidRDefault="00414D16" w:rsidP="00414D16">
      <w:bookmarkStart w:id="3" w:name="TextStart"/>
      <w:bookmarkEnd w:id="3"/>
      <w:r w:rsidRPr="00F26166">
        <w:t>I denna framställning föreslås vissa ändringar i den lagstiftning som rör Rik</w:t>
      </w:r>
      <w:r w:rsidRPr="00F26166">
        <w:t>s</w:t>
      </w:r>
      <w:r w:rsidRPr="00F26166">
        <w:t>revisionens kompetens och ver</w:t>
      </w:r>
      <w:r w:rsidRPr="00F26166">
        <w:t>k</w:t>
      </w:r>
      <w:r w:rsidRPr="00F26166">
        <w:t>samhetsformer.</w:t>
      </w:r>
    </w:p>
    <w:p w:rsidR="00414D16" w:rsidRPr="00F26166" w:rsidRDefault="00BF407C" w:rsidP="00414D16">
      <w:pPr>
        <w:pStyle w:val="Normaltindrag"/>
      </w:pPr>
      <w:r w:rsidRPr="00F26166">
        <w:t xml:space="preserve">Vi </w:t>
      </w:r>
      <w:r w:rsidR="00414D16" w:rsidRPr="00F26166">
        <w:t>föreslår att 3 § lagen (2002:1022) om revision av statlig verksamhet m.m. ändras så att endast en av a</w:t>
      </w:r>
      <w:r w:rsidR="00414D16" w:rsidRPr="00F26166">
        <w:t>f</w:t>
      </w:r>
      <w:r w:rsidR="00414D16" w:rsidRPr="00F26166">
        <w:t>färsverkens tre delårsrapporter granskas årligen av Riksrevisionen. Dessutom föreslås ett förtydligande i lagru</w:t>
      </w:r>
      <w:r w:rsidR="00414D16" w:rsidRPr="00F26166">
        <w:t>m</w:t>
      </w:r>
      <w:r w:rsidR="00414D16" w:rsidRPr="00F26166">
        <w:t xml:space="preserve">met </w:t>
      </w:r>
      <w:r w:rsidRPr="00F26166">
        <w:t>så</w:t>
      </w:r>
      <w:r w:rsidR="00414D16" w:rsidRPr="00F26166">
        <w:t xml:space="preserve"> att endast de delårsrapporter som </w:t>
      </w:r>
      <w:r w:rsidR="00EA4E8D" w:rsidRPr="00F26166">
        <w:t>ett granskningsobjekt</w:t>
      </w:r>
      <w:r w:rsidR="00414D16" w:rsidRPr="00F26166">
        <w:t xml:space="preserve"> är skyldig</w:t>
      </w:r>
      <w:r w:rsidR="00EA4E8D" w:rsidRPr="00F26166">
        <w:t>t</w:t>
      </w:r>
      <w:r w:rsidR="00414D16" w:rsidRPr="00F26166">
        <w:t xml:space="preserve"> att lämna granskas av Rik</w:t>
      </w:r>
      <w:r w:rsidR="00414D16" w:rsidRPr="00F26166">
        <w:t>s</w:t>
      </w:r>
      <w:r w:rsidR="00414D16" w:rsidRPr="00F26166">
        <w:t>revisionen.</w:t>
      </w:r>
    </w:p>
    <w:p w:rsidR="006C225A" w:rsidRPr="00F26166" w:rsidRDefault="00414D16" w:rsidP="006C225A">
      <w:pPr>
        <w:pStyle w:val="Normaltindrag"/>
      </w:pPr>
      <w:r w:rsidRPr="00F26166">
        <w:t xml:space="preserve">Vidare föreslås ändringar i 4 och 14 §§ lagen (2002:1023) med instruktion för Riksrevisionen samt att en ny </w:t>
      </w:r>
      <w:smartTag w:uri="urn:schemas-microsoft-com:office:smarttags" w:element="metricconverter">
        <w:smartTagPr>
          <w:attr w:name="ProductID" w:val="14 a"/>
        </w:smartTagPr>
        <w:r w:rsidRPr="00F26166">
          <w:t>14 a</w:t>
        </w:r>
      </w:smartTag>
      <w:r w:rsidRPr="00F26166">
        <w:t xml:space="preserve"> § införs. </w:t>
      </w:r>
    </w:p>
    <w:p w:rsidR="00414D16" w:rsidRPr="00F26166" w:rsidRDefault="00414D16" w:rsidP="00414D16">
      <w:pPr>
        <w:pStyle w:val="Normaltindrag"/>
      </w:pPr>
      <w:r w:rsidRPr="00F26166">
        <w:t xml:space="preserve">Syftet med ändringarna i 4 § är </w:t>
      </w:r>
      <w:r w:rsidR="00FC0051" w:rsidRPr="00F26166">
        <w:t xml:space="preserve">att </w:t>
      </w:r>
      <w:r w:rsidR="006C225A" w:rsidRPr="00F26166">
        <w:t>tillförsäkra att Riksrevisionen utvecklas som en sammanhållen myndighet utan att respektive riksrevisors rätt att fatta självständiga beslut inom sina granskningsområden träds för när. Fö</w:t>
      </w:r>
      <w:r w:rsidR="006C225A" w:rsidRPr="00F26166">
        <w:t>r</w:t>
      </w:r>
      <w:r w:rsidR="006C225A" w:rsidRPr="00F26166">
        <w:t xml:space="preserve">slaget innebär </w:t>
      </w:r>
      <w:r w:rsidRPr="00F26166">
        <w:t xml:space="preserve">dels </w:t>
      </w:r>
      <w:r w:rsidR="006C225A" w:rsidRPr="00F26166">
        <w:t xml:space="preserve">ett </w:t>
      </w:r>
      <w:r w:rsidRPr="00F26166">
        <w:t>förtydliga</w:t>
      </w:r>
      <w:r w:rsidR="006C225A" w:rsidRPr="00F26166">
        <w:t>nde</w:t>
      </w:r>
      <w:r w:rsidRPr="00F26166">
        <w:t xml:space="preserve"> </w:t>
      </w:r>
      <w:r w:rsidR="006C225A" w:rsidRPr="00F26166">
        <w:t xml:space="preserve">om </w:t>
      </w:r>
      <w:r w:rsidRPr="00F26166">
        <w:t>vilka beslut i granskningsverksamheten som riksrevisorerna ska fatta gemensamt respektive samråda om</w:t>
      </w:r>
      <w:r w:rsidR="006270CB" w:rsidRPr="00F26166">
        <w:t xml:space="preserve">, </w:t>
      </w:r>
      <w:r w:rsidRPr="00F26166">
        <w:t>dels vilka b</w:t>
      </w:r>
      <w:r w:rsidRPr="00F26166">
        <w:t>e</w:t>
      </w:r>
      <w:r w:rsidRPr="00F26166">
        <w:t>slut som ska redovisas i granskning</w:t>
      </w:r>
      <w:r w:rsidRPr="00F26166">
        <w:t>s</w:t>
      </w:r>
      <w:r w:rsidRPr="00F26166">
        <w:t xml:space="preserve">planen. </w:t>
      </w:r>
    </w:p>
    <w:p w:rsidR="006F718A" w:rsidRPr="00F26166" w:rsidRDefault="00AF39C6" w:rsidP="006F718A">
      <w:pPr>
        <w:pStyle w:val="Normaltindrag"/>
      </w:pPr>
      <w:r w:rsidRPr="00F26166">
        <w:t>Eftersom förtroendet för Riksrevisionens opartiskhet är av största betyde</w:t>
      </w:r>
      <w:r w:rsidRPr="00F26166">
        <w:t>l</w:t>
      </w:r>
      <w:r w:rsidRPr="00F26166">
        <w:t xml:space="preserve">se föreslås ändringar i 14 § samt en ny </w:t>
      </w:r>
      <w:smartTag w:uri="urn:schemas-microsoft-com:office:smarttags" w:element="metricconverter">
        <w:smartTagPr>
          <w:attr w:name="ProductID" w:val="14 a"/>
        </w:smartTagPr>
        <w:r w:rsidRPr="00F26166">
          <w:t>14 a</w:t>
        </w:r>
      </w:smartTag>
      <w:r w:rsidRPr="00F26166">
        <w:t xml:space="preserve"> §. Förslagen innebär att en riksr</w:t>
      </w:r>
      <w:r w:rsidRPr="00F26166">
        <w:t>e</w:t>
      </w:r>
      <w:r w:rsidRPr="00F26166">
        <w:t>visor inte får inneha aktier i ett granskningsobjekt</w:t>
      </w:r>
      <w:r w:rsidR="002B6C99" w:rsidRPr="00F26166">
        <w:t>,</w:t>
      </w:r>
      <w:r w:rsidRPr="00F26166">
        <w:t xml:space="preserve"> </w:t>
      </w:r>
      <w:r w:rsidR="00026D83" w:rsidRPr="00F26166">
        <w:t>att en skyldighet att anm</w:t>
      </w:r>
      <w:r w:rsidR="00026D83" w:rsidRPr="00F26166">
        <w:t>ä</w:t>
      </w:r>
      <w:r w:rsidR="00026D83" w:rsidRPr="00F26166">
        <w:t>la innehav av</w:t>
      </w:r>
      <w:r w:rsidR="0044603F" w:rsidRPr="00F26166">
        <w:t xml:space="preserve"> </w:t>
      </w:r>
      <w:r w:rsidR="00026D83" w:rsidRPr="00F26166">
        <w:t>finansiella instrument införs för riksrevisore</w:t>
      </w:r>
      <w:r w:rsidR="00026D83" w:rsidRPr="00F26166">
        <w:t>r</w:t>
      </w:r>
      <w:r w:rsidR="0044603F" w:rsidRPr="00F26166">
        <w:t>na</w:t>
      </w:r>
      <w:r w:rsidR="00026D83" w:rsidRPr="00F26166">
        <w:t xml:space="preserve"> </w:t>
      </w:r>
      <w:r w:rsidR="002B6C99" w:rsidRPr="00F26166">
        <w:t xml:space="preserve">och att denna skyldighet även införs </w:t>
      </w:r>
      <w:r w:rsidR="00026D83" w:rsidRPr="00F26166">
        <w:t>för vissa anställda</w:t>
      </w:r>
      <w:r w:rsidR="00FC0051" w:rsidRPr="00F26166">
        <w:t>,</w:t>
      </w:r>
      <w:r w:rsidR="00026D83" w:rsidRPr="00F26166">
        <w:t xml:space="preserve"> vilka bedöms ha</w:t>
      </w:r>
      <w:r w:rsidR="002B6C99" w:rsidRPr="00F26166">
        <w:t xml:space="preserve"> en särskild</w:t>
      </w:r>
      <w:r w:rsidR="00026D83" w:rsidRPr="00F26166">
        <w:t xml:space="preserve"> insyn</w:t>
      </w:r>
      <w:r w:rsidR="00026D83" w:rsidRPr="00F26166">
        <w:t>s</w:t>
      </w:r>
      <w:r w:rsidR="00026D83" w:rsidRPr="00F26166">
        <w:t>ställning.</w:t>
      </w:r>
    </w:p>
    <w:p w:rsidR="00414D16" w:rsidRPr="00F26166" w:rsidRDefault="00414D16" w:rsidP="00414D16">
      <w:pPr>
        <w:pStyle w:val="Normaltindrag"/>
        <w:jc w:val="left"/>
        <w:sectPr w:rsidR="00414D16" w:rsidRPr="00F26166" w:rsidSect="00D079C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  <w:r w:rsidRPr="00F26166">
        <w:t>Ändringarna föreslås träda i kraft den 1 januari 2007.</w:t>
      </w:r>
    </w:p>
    <w:p w:rsidR="006F718A" w:rsidRPr="00F26166" w:rsidRDefault="006F718A" w:rsidP="006F718A">
      <w:pPr>
        <w:pStyle w:val="Rubrik1"/>
        <w:rPr>
          <w:noProof w:val="0"/>
        </w:rPr>
      </w:pPr>
      <w:bookmarkStart w:id="4" w:name="_Toc135727062"/>
      <w:r w:rsidRPr="00F26166">
        <w:rPr>
          <w:noProof w:val="0"/>
        </w:rPr>
        <w:lastRenderedPageBreak/>
        <w:t>Innehållsförteckning</w:t>
      </w:r>
      <w:bookmarkEnd w:id="4"/>
    </w:p>
    <w:p w:rsidR="00811409" w:rsidRPr="00F26166" w:rsidRDefault="00811409">
      <w:pPr>
        <w:pStyle w:val="Innehll1"/>
        <w:rPr>
          <w:sz w:val="24"/>
          <w:szCs w:val="24"/>
        </w:rPr>
      </w:pPr>
      <w:r w:rsidRPr="00F26166">
        <w:t>Sammanfattning</w:t>
      </w:r>
      <w:r w:rsidRPr="00F26166">
        <w:tab/>
      </w:r>
      <w:r w:rsidR="008C05ED" w:rsidRPr="00F26166">
        <w:t>1</w:t>
      </w:r>
    </w:p>
    <w:p w:rsidR="00811409" w:rsidRPr="00F26166" w:rsidRDefault="00811409">
      <w:pPr>
        <w:pStyle w:val="Innehll1"/>
        <w:rPr>
          <w:sz w:val="24"/>
          <w:szCs w:val="24"/>
        </w:rPr>
      </w:pPr>
      <w:r w:rsidRPr="00F26166">
        <w:t>Innehållsförteckning</w:t>
      </w:r>
      <w:r w:rsidRPr="00F26166">
        <w:tab/>
      </w:r>
      <w:r w:rsidR="008C05ED" w:rsidRPr="00F26166">
        <w:t>2</w:t>
      </w:r>
    </w:p>
    <w:p w:rsidR="00811409" w:rsidRPr="00F26166" w:rsidRDefault="00811409">
      <w:pPr>
        <w:pStyle w:val="Innehll1"/>
        <w:rPr>
          <w:sz w:val="24"/>
          <w:szCs w:val="24"/>
        </w:rPr>
      </w:pPr>
      <w:r w:rsidRPr="00F26166">
        <w:t>Förslag till riksdagsbeslut</w:t>
      </w:r>
      <w:r w:rsidRPr="00F26166">
        <w:tab/>
      </w:r>
      <w:r w:rsidR="008C05ED" w:rsidRPr="00F26166">
        <w:t>3</w:t>
      </w:r>
    </w:p>
    <w:p w:rsidR="00811409" w:rsidRPr="00F26166" w:rsidRDefault="00811409">
      <w:pPr>
        <w:pStyle w:val="Innehll1"/>
        <w:rPr>
          <w:sz w:val="24"/>
          <w:szCs w:val="24"/>
        </w:rPr>
      </w:pPr>
      <w:r w:rsidRPr="00F26166">
        <w:t>Redogörelse för ärendet</w:t>
      </w:r>
      <w:r w:rsidRPr="00F26166">
        <w:tab/>
      </w:r>
      <w:r w:rsidR="008C05ED" w:rsidRPr="00F26166">
        <w:t>4</w:t>
      </w:r>
    </w:p>
    <w:p w:rsidR="00811409" w:rsidRPr="00F26166" w:rsidRDefault="00811409">
      <w:pPr>
        <w:pStyle w:val="Innehll1"/>
        <w:rPr>
          <w:sz w:val="24"/>
          <w:szCs w:val="24"/>
        </w:rPr>
      </w:pPr>
      <w:r w:rsidRPr="00F26166">
        <w:t>Överväganden</w:t>
      </w:r>
      <w:r w:rsidRPr="00F26166">
        <w:tab/>
      </w:r>
      <w:r w:rsidR="008C05ED" w:rsidRPr="00F26166">
        <w:t>5</w:t>
      </w:r>
    </w:p>
    <w:p w:rsidR="00811409" w:rsidRPr="00F26166" w:rsidRDefault="00811409">
      <w:pPr>
        <w:pStyle w:val="Innehll2"/>
        <w:rPr>
          <w:sz w:val="24"/>
          <w:szCs w:val="24"/>
        </w:rPr>
      </w:pPr>
      <w:r w:rsidRPr="00F26166">
        <w:t>Ändringar i lagen (2002:1022) om revision av statlig verksamhet m.m.</w:t>
      </w:r>
      <w:r w:rsidRPr="00F26166">
        <w:tab/>
      </w:r>
      <w:r w:rsidR="008C05ED" w:rsidRPr="00F26166">
        <w:t>5</w:t>
      </w:r>
    </w:p>
    <w:p w:rsidR="00811409" w:rsidRPr="00F26166" w:rsidRDefault="00811409">
      <w:pPr>
        <w:pStyle w:val="Innehll3"/>
        <w:rPr>
          <w:sz w:val="24"/>
          <w:szCs w:val="24"/>
        </w:rPr>
      </w:pPr>
      <w:r w:rsidRPr="00F26166">
        <w:t>Affärsverkens delårsrapporter</w:t>
      </w:r>
      <w:r w:rsidRPr="00F26166">
        <w:tab/>
      </w:r>
      <w:r w:rsidR="008C05ED" w:rsidRPr="00F26166">
        <w:t>5</w:t>
      </w:r>
    </w:p>
    <w:p w:rsidR="00811409" w:rsidRPr="00F26166" w:rsidRDefault="00811409">
      <w:pPr>
        <w:pStyle w:val="Innehll2"/>
        <w:rPr>
          <w:sz w:val="24"/>
          <w:szCs w:val="24"/>
        </w:rPr>
      </w:pPr>
      <w:r w:rsidRPr="00F26166">
        <w:t>Ändringar i lagen (2002:1023) med instruktion för Riksrevisionen</w:t>
      </w:r>
      <w:r w:rsidRPr="00F26166">
        <w:tab/>
      </w:r>
      <w:r w:rsidR="008C05ED" w:rsidRPr="00F26166">
        <w:t>6</w:t>
      </w:r>
    </w:p>
    <w:p w:rsidR="00811409" w:rsidRPr="00F26166" w:rsidRDefault="00811409">
      <w:pPr>
        <w:pStyle w:val="Innehll3"/>
        <w:rPr>
          <w:sz w:val="24"/>
          <w:szCs w:val="24"/>
        </w:rPr>
      </w:pPr>
      <w:r w:rsidRPr="00F26166">
        <w:t>Riksrevisorernas arbetsfördelning i granskningsverksamheten</w:t>
      </w:r>
      <w:r w:rsidRPr="00F26166">
        <w:tab/>
      </w:r>
      <w:r w:rsidR="008C05ED" w:rsidRPr="00F26166">
        <w:t>6</w:t>
      </w:r>
    </w:p>
    <w:p w:rsidR="00811409" w:rsidRPr="00F26166" w:rsidRDefault="00811409">
      <w:pPr>
        <w:pStyle w:val="Innehll3"/>
        <w:rPr>
          <w:sz w:val="24"/>
          <w:szCs w:val="24"/>
        </w:rPr>
      </w:pPr>
      <w:r w:rsidRPr="00F26166">
        <w:t>Riksrevisionens opartiskhet och självständighet</w:t>
      </w:r>
      <w:r w:rsidRPr="00F26166">
        <w:tab/>
      </w:r>
      <w:r w:rsidR="008C05ED" w:rsidRPr="00F26166">
        <w:t>8</w:t>
      </w:r>
    </w:p>
    <w:p w:rsidR="008C05ED" w:rsidRPr="00F26166" w:rsidRDefault="008C05ED">
      <w:pPr>
        <w:pStyle w:val="Innehll1"/>
        <w:rPr>
          <w:i/>
        </w:rPr>
      </w:pPr>
      <w:r w:rsidRPr="00F26166">
        <w:rPr>
          <w:i/>
        </w:rPr>
        <w:t>Bilaga</w:t>
      </w:r>
    </w:p>
    <w:p w:rsidR="00811409" w:rsidRPr="00F26166" w:rsidRDefault="00811409">
      <w:pPr>
        <w:pStyle w:val="Innehll1"/>
        <w:rPr>
          <w:sz w:val="24"/>
          <w:szCs w:val="24"/>
        </w:rPr>
      </w:pPr>
      <w:r w:rsidRPr="00F26166">
        <w:t>Lagtext</w:t>
      </w:r>
      <w:r w:rsidRPr="00F26166">
        <w:tab/>
      </w:r>
      <w:r w:rsidR="008C05ED" w:rsidRPr="00F26166">
        <w:t>11</w:t>
      </w:r>
    </w:p>
    <w:p w:rsidR="00811409" w:rsidRPr="00F26166" w:rsidRDefault="00811409">
      <w:pPr>
        <w:pStyle w:val="Innehll2"/>
        <w:rPr>
          <w:sz w:val="24"/>
          <w:szCs w:val="24"/>
        </w:rPr>
      </w:pPr>
      <w:r w:rsidRPr="00F26166">
        <w:t>1.1 Förslag till lag om ändring i lagen (2002:1022) om revision av statlig verksamhet m.m.</w:t>
      </w:r>
      <w:r w:rsidRPr="00F26166">
        <w:tab/>
      </w:r>
      <w:r w:rsidR="008C05ED" w:rsidRPr="00F26166">
        <w:t>11</w:t>
      </w:r>
    </w:p>
    <w:p w:rsidR="00811409" w:rsidRPr="00F26166" w:rsidRDefault="00811409">
      <w:pPr>
        <w:pStyle w:val="Innehll2"/>
        <w:rPr>
          <w:sz w:val="24"/>
          <w:szCs w:val="24"/>
        </w:rPr>
      </w:pPr>
      <w:r w:rsidRPr="00F26166">
        <w:t>1.2 Förslag till lag om ändring i lagen (2002:1023) med instruktion för Riksrevisionen</w:t>
      </w:r>
      <w:r w:rsidRPr="00F26166">
        <w:tab/>
      </w:r>
      <w:r w:rsidR="008C05ED" w:rsidRPr="00F26166">
        <w:t>12</w:t>
      </w:r>
    </w:p>
    <w:p w:rsidR="006F718A" w:rsidRPr="00F26166" w:rsidRDefault="006F718A" w:rsidP="006F718A"/>
    <w:p w:rsidR="006F718A" w:rsidRPr="00F26166" w:rsidRDefault="006F718A" w:rsidP="006F718A">
      <w:pPr>
        <w:pStyle w:val="Normaltindrag"/>
        <w:sectPr w:rsidR="006F718A" w:rsidRPr="00F26166" w:rsidSect="00925DE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F718A" w:rsidRPr="00F26166" w:rsidRDefault="006F13E1" w:rsidP="006F718A">
      <w:pPr>
        <w:pStyle w:val="Rubrik1"/>
        <w:rPr>
          <w:noProof w:val="0"/>
        </w:rPr>
      </w:pPr>
      <w:bookmarkStart w:id="5" w:name="_Toc135727063"/>
      <w:r w:rsidRPr="00F26166">
        <w:rPr>
          <w:noProof w:val="0"/>
        </w:rPr>
        <w:t>F</w:t>
      </w:r>
      <w:r w:rsidR="006F718A" w:rsidRPr="00F26166">
        <w:rPr>
          <w:noProof w:val="0"/>
        </w:rPr>
        <w:t>örslag</w:t>
      </w:r>
      <w:r w:rsidRPr="00F26166">
        <w:rPr>
          <w:noProof w:val="0"/>
        </w:rPr>
        <w:t xml:space="preserve"> till riksdagsbeslut</w:t>
      </w:r>
      <w:bookmarkEnd w:id="5"/>
    </w:p>
    <w:p w:rsidR="006F718A" w:rsidRPr="00F26166" w:rsidRDefault="006F13E1" w:rsidP="006F718A">
      <w:r w:rsidRPr="00F26166">
        <w:t>Med hänvisning till de motiveringar som framförs under avsnittet Öve</w:t>
      </w:r>
      <w:r w:rsidRPr="00F26166">
        <w:t>r</w:t>
      </w:r>
      <w:r w:rsidRPr="00F26166">
        <w:t>väganden föreslår riksrevisorerna följa</w:t>
      </w:r>
      <w:r w:rsidRPr="00F26166">
        <w:t>n</w:t>
      </w:r>
      <w:r w:rsidRPr="00F26166">
        <w:t xml:space="preserve">de: </w:t>
      </w:r>
    </w:p>
    <w:p w:rsidR="006F13E1" w:rsidRPr="00F26166" w:rsidRDefault="006F13E1" w:rsidP="006F13E1">
      <w:pPr>
        <w:pStyle w:val="Frslagspunkt"/>
        <w:rPr>
          <w:noProof w:val="0"/>
        </w:rPr>
      </w:pPr>
      <w:r w:rsidRPr="00F26166">
        <w:rPr>
          <w:noProof w:val="0"/>
        </w:rPr>
        <w:t>1.</w:t>
      </w:r>
      <w:r w:rsidRPr="00F26166">
        <w:rPr>
          <w:noProof w:val="0"/>
        </w:rPr>
        <w:tab/>
        <w:t>Lagen (2002:1022) om revision av statlig verksamhet</w:t>
      </w:r>
      <w:r w:rsidR="001B6319" w:rsidRPr="00F26166">
        <w:rPr>
          <w:noProof w:val="0"/>
        </w:rPr>
        <w:t xml:space="preserve"> m.m.</w:t>
      </w:r>
    </w:p>
    <w:p w:rsidR="006F13E1" w:rsidRPr="00F26166" w:rsidRDefault="006F13E1" w:rsidP="006F13E1">
      <w:pPr>
        <w:pStyle w:val="Frslagstext"/>
      </w:pPr>
      <w:r w:rsidRPr="00F26166">
        <w:t>Riksdagen antar riksrevisorernas förslag till ändring i lagen (2002:1022) om statlig revision</w:t>
      </w:r>
      <w:r w:rsidR="006E79B7" w:rsidRPr="00F26166">
        <w:t xml:space="preserve"> m.m</w:t>
      </w:r>
      <w:r w:rsidRPr="00F26166">
        <w:t xml:space="preserve">.       </w:t>
      </w:r>
      <w:bookmarkStart w:id="6" w:name="RESPARTI001"/>
      <w:bookmarkEnd w:id="6"/>
    </w:p>
    <w:p w:rsidR="00EC3CDE" w:rsidRPr="00F26166" w:rsidRDefault="00EC3CDE" w:rsidP="00EC3CDE">
      <w:pPr>
        <w:pStyle w:val="Frslagspunkt"/>
        <w:rPr>
          <w:noProof w:val="0"/>
        </w:rPr>
      </w:pPr>
      <w:r w:rsidRPr="00F26166">
        <w:rPr>
          <w:noProof w:val="0"/>
        </w:rPr>
        <w:t>2.</w:t>
      </w:r>
      <w:r w:rsidRPr="00F26166">
        <w:rPr>
          <w:noProof w:val="0"/>
        </w:rPr>
        <w:tab/>
        <w:t>Lagen (2002:1023) med instruktion för Riksrevisionen</w:t>
      </w:r>
    </w:p>
    <w:p w:rsidR="00EC3CDE" w:rsidRPr="00F26166" w:rsidRDefault="00EC3CDE" w:rsidP="00EC3CDE">
      <w:pPr>
        <w:pStyle w:val="Frslagstext"/>
      </w:pPr>
      <w:r w:rsidRPr="00F26166">
        <w:t>Riksdagen antar riksrevisorernas förslag till ändring i lagen (2002:1023) med instruktion för Riksrev</w:t>
      </w:r>
      <w:r w:rsidRPr="00F26166">
        <w:t>i</w:t>
      </w:r>
      <w:r w:rsidRPr="00F26166">
        <w:t xml:space="preserve">sionen.       </w:t>
      </w:r>
      <w:bookmarkStart w:id="7" w:name="RESPARTI002"/>
      <w:bookmarkEnd w:id="7"/>
    </w:p>
    <w:p w:rsidR="00414D16" w:rsidRPr="00F26166" w:rsidRDefault="00414D16" w:rsidP="00414D16">
      <w:pPr>
        <w:pStyle w:val="Frslagstext"/>
      </w:pPr>
      <w:bookmarkStart w:id="8" w:name="Nästa_Hpunkt"/>
      <w:bookmarkEnd w:id="8"/>
    </w:p>
    <w:p w:rsidR="006F718A" w:rsidRPr="00F26166" w:rsidRDefault="00EC3CDE" w:rsidP="006F718A">
      <w:pPr>
        <w:pStyle w:val="Utskriftsdatum"/>
      </w:pPr>
      <w:r w:rsidRPr="00F26166">
        <w:t>Stockholm den</w:t>
      </w:r>
      <w:r w:rsidR="004B5BD1" w:rsidRPr="00F26166">
        <w:t xml:space="preserve"> 16 </w:t>
      </w:r>
      <w:r w:rsidR="00DB363F" w:rsidRPr="00F26166">
        <w:t>maj</w:t>
      </w:r>
      <w:r w:rsidRPr="00F26166">
        <w:t xml:space="preserve"> 2006</w:t>
      </w:r>
    </w:p>
    <w:p w:rsidR="006F718A" w:rsidRPr="00F26166" w:rsidRDefault="00EC3CDE" w:rsidP="00BF35EA">
      <w:pPr>
        <w:pStyle w:val="Ordfranden"/>
        <w:rPr>
          <w:noProof w:val="0"/>
        </w:rPr>
      </w:pPr>
      <w:r w:rsidRPr="00F26166">
        <w:rPr>
          <w:noProof w:val="0"/>
        </w:rPr>
        <w:t>Lennart Grufberg           Eva Lindström</w:t>
      </w:r>
      <w:r w:rsidRPr="00F26166">
        <w:rPr>
          <w:noProof w:val="0"/>
        </w:rPr>
        <w:tab/>
        <w:t>Kjell Larsson</w:t>
      </w:r>
    </w:p>
    <w:p w:rsidR="00D32566" w:rsidRPr="00F26166" w:rsidRDefault="00D32566" w:rsidP="006F718A">
      <w:pPr>
        <w:pStyle w:val="Normaltindrag"/>
      </w:pPr>
      <w:bookmarkStart w:id="9" w:name="Ordförande"/>
      <w:bookmarkStart w:id="10" w:name="Deltagare"/>
      <w:bookmarkEnd w:id="9"/>
      <w:bookmarkEnd w:id="10"/>
    </w:p>
    <w:p w:rsidR="006F718A" w:rsidRPr="00F26166" w:rsidRDefault="006F718A" w:rsidP="006F718A">
      <w:pPr>
        <w:pStyle w:val="Normaltindrag"/>
      </w:pPr>
    </w:p>
    <w:p w:rsidR="006F718A" w:rsidRPr="00F26166" w:rsidRDefault="006F718A" w:rsidP="006F718A">
      <w:pPr>
        <w:pStyle w:val="Normaltindrag"/>
        <w:sectPr w:rsidR="006F718A" w:rsidRPr="00F26166" w:rsidSect="00925DE8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F6064" w:rsidRPr="00F26166" w:rsidRDefault="000F6064" w:rsidP="006F718A">
      <w:pPr>
        <w:pStyle w:val="Rubrik1"/>
        <w:rPr>
          <w:noProof w:val="0"/>
        </w:rPr>
      </w:pPr>
      <w:bookmarkStart w:id="11" w:name="_Toc135727064"/>
      <w:r w:rsidRPr="00F26166">
        <w:rPr>
          <w:noProof w:val="0"/>
        </w:rPr>
        <w:t>Redogörelse för ärendet</w:t>
      </w:r>
      <w:bookmarkEnd w:id="11"/>
    </w:p>
    <w:p w:rsidR="00414D16" w:rsidRPr="00F26166" w:rsidRDefault="00414D16" w:rsidP="00414D16">
      <w:r w:rsidRPr="00F26166">
        <w:t>Riksrevisorerna får enligt 3 kap. 8 § första stycket riksdagsordningen göra framställningar hos riksdagen i frågor som rör Riksrevisionens kompetens, organisation, personal eller verksamhetsformer. I denna framställ</w:t>
      </w:r>
      <w:r w:rsidR="00270736" w:rsidRPr="00F26166">
        <w:t>ning</w:t>
      </w:r>
      <w:r w:rsidRPr="00F26166">
        <w:t xml:space="preserve"> för</w:t>
      </w:r>
      <w:r w:rsidRPr="00F26166">
        <w:t>e</w:t>
      </w:r>
      <w:r w:rsidRPr="00F26166">
        <w:t xml:space="preserve">slår </w:t>
      </w:r>
      <w:r w:rsidR="00270736" w:rsidRPr="00F26166">
        <w:t xml:space="preserve">vi </w:t>
      </w:r>
      <w:r w:rsidRPr="00F26166">
        <w:t>vissa ändringar i  lagen (2002:1022) om revision av statlig verksa</w:t>
      </w:r>
      <w:r w:rsidRPr="00F26166">
        <w:t>m</w:t>
      </w:r>
      <w:r w:rsidRPr="00F26166">
        <w:t xml:space="preserve">het m.m. </w:t>
      </w:r>
      <w:r w:rsidR="0054354F" w:rsidRPr="00F26166">
        <w:t xml:space="preserve">(revisionslagen) </w:t>
      </w:r>
      <w:r w:rsidRPr="00F26166">
        <w:t>och lagen (2002:1023) med instruktion för Riksrevisi</w:t>
      </w:r>
      <w:r w:rsidRPr="00F26166">
        <w:t>o</w:t>
      </w:r>
      <w:r w:rsidRPr="00F26166">
        <w:t>nen</w:t>
      </w:r>
      <w:r w:rsidR="0054354F" w:rsidRPr="00F26166">
        <w:t xml:space="preserve"> (i</w:t>
      </w:r>
      <w:r w:rsidR="0054354F" w:rsidRPr="00F26166">
        <w:t>n</w:t>
      </w:r>
      <w:r w:rsidR="0054354F" w:rsidRPr="00F26166">
        <w:t>struktionen)</w:t>
      </w:r>
      <w:r w:rsidR="00C75EAC" w:rsidRPr="00F26166">
        <w:t>.</w:t>
      </w:r>
      <w:r w:rsidRPr="00F26166">
        <w:t xml:space="preserve"> </w:t>
      </w:r>
    </w:p>
    <w:p w:rsidR="00414D16" w:rsidRPr="00F26166" w:rsidRDefault="00414D16" w:rsidP="003D5F5F">
      <w:pPr>
        <w:pStyle w:val="Normaltindrag"/>
      </w:pPr>
      <w:r w:rsidRPr="00F26166">
        <w:t xml:space="preserve">Ärendet har beretts inom Riksrevisionen. </w:t>
      </w:r>
      <w:r w:rsidR="00270736" w:rsidRPr="00F26166">
        <w:t>När det gäller fö</w:t>
      </w:r>
      <w:r w:rsidRPr="00F26166">
        <w:t>rslaget till än</w:t>
      </w:r>
      <w:r w:rsidRPr="00F26166">
        <w:t>d</w:t>
      </w:r>
      <w:r w:rsidRPr="00F26166">
        <w:t xml:space="preserve">ring i </w:t>
      </w:r>
      <w:r w:rsidR="0054354F" w:rsidRPr="00F26166">
        <w:t>revisionslagen</w:t>
      </w:r>
      <w:r w:rsidR="003D5F5F" w:rsidRPr="00F26166">
        <w:t xml:space="preserve"> har </w:t>
      </w:r>
      <w:r w:rsidR="00270736" w:rsidRPr="00F26166">
        <w:t>R</w:t>
      </w:r>
      <w:r w:rsidR="001E5B43" w:rsidRPr="00F26166">
        <w:t>egeringskansliet</w:t>
      </w:r>
      <w:r w:rsidR="004A7A7C" w:rsidRPr="00F26166">
        <w:t xml:space="preserve"> beretts tillfälle att </w:t>
      </w:r>
      <w:r w:rsidR="006E7D8B" w:rsidRPr="00F26166">
        <w:t>yttra sig.</w:t>
      </w:r>
    </w:p>
    <w:p w:rsidR="00C33023" w:rsidRPr="00F26166" w:rsidRDefault="00C33023" w:rsidP="00BF35EA"/>
    <w:p w:rsidR="00BF35EA" w:rsidRPr="00F26166" w:rsidRDefault="00BF35EA" w:rsidP="00BF35EA"/>
    <w:p w:rsidR="00BF35EA" w:rsidRPr="00F26166" w:rsidRDefault="00BF35EA" w:rsidP="00BF35EA">
      <w:pPr>
        <w:sectPr w:rsidR="00BF35EA" w:rsidRPr="00F26166" w:rsidSect="00925DE8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F718A" w:rsidRPr="00F26166" w:rsidRDefault="006E3D76" w:rsidP="003D5F5F">
      <w:pPr>
        <w:pStyle w:val="Rubrik1"/>
        <w:rPr>
          <w:noProof w:val="0"/>
        </w:rPr>
      </w:pPr>
      <w:bookmarkStart w:id="12" w:name="_Toc135727065"/>
      <w:r w:rsidRPr="00F26166">
        <w:rPr>
          <w:noProof w:val="0"/>
        </w:rPr>
        <w:t>Överväganden</w:t>
      </w:r>
      <w:bookmarkEnd w:id="12"/>
    </w:p>
    <w:p w:rsidR="00414D16" w:rsidRPr="00F26166" w:rsidRDefault="00414D16" w:rsidP="00414D16">
      <w:r w:rsidRPr="00F26166">
        <w:t>Riksrevisionen inrättades den 1 juli 2003 som en myndighet under riksd</w:t>
      </w:r>
      <w:r w:rsidRPr="00F26166">
        <w:t>a</w:t>
      </w:r>
      <w:r w:rsidRPr="00F26166">
        <w:t>gen. Riksrevisionen ska granska hela den statliga verksamheten och därmed bidra till god resursanvändning och en effektiv förvaltning. Myndi</w:t>
      </w:r>
      <w:r w:rsidRPr="00F26166">
        <w:t>g</w:t>
      </w:r>
      <w:r w:rsidRPr="00F26166">
        <w:t>heten är en del av riksdagens kontrollmakt och har på så sätt en viktig roll i det d</w:t>
      </w:r>
      <w:r w:rsidRPr="00F26166">
        <w:t>e</w:t>
      </w:r>
      <w:r w:rsidRPr="00F26166">
        <w:t xml:space="preserve">mokratiska systemet. </w:t>
      </w:r>
    </w:p>
    <w:p w:rsidR="00414D16" w:rsidRPr="00F26166" w:rsidRDefault="00414D16" w:rsidP="003D5F5F">
      <w:pPr>
        <w:pStyle w:val="Normaltindrag"/>
      </w:pPr>
      <w:r w:rsidRPr="00F26166">
        <w:t xml:space="preserve">Bakgrunden till </w:t>
      </w:r>
      <w:r w:rsidR="00C57476" w:rsidRPr="00F26166">
        <w:t>våra</w:t>
      </w:r>
      <w:r w:rsidR="00C75EAC" w:rsidRPr="00F26166">
        <w:t xml:space="preserve"> </w:t>
      </w:r>
      <w:r w:rsidRPr="00F26166">
        <w:t xml:space="preserve">förslag är att </w:t>
      </w:r>
      <w:r w:rsidR="00C57476" w:rsidRPr="00F26166">
        <w:t xml:space="preserve">det föreligger </w:t>
      </w:r>
      <w:r w:rsidR="003D5F5F" w:rsidRPr="00F26166">
        <w:t>behov av ett antal förty</w:t>
      </w:r>
      <w:r w:rsidR="003D5F5F" w:rsidRPr="00F26166">
        <w:t>d</w:t>
      </w:r>
      <w:r w:rsidR="003D5F5F" w:rsidRPr="00F26166">
        <w:t>liganden och rättelser</w:t>
      </w:r>
      <w:r w:rsidRPr="00F26166">
        <w:t xml:space="preserve"> i de lagar som styr Riksrevisionens ver</w:t>
      </w:r>
      <w:r w:rsidRPr="00F26166">
        <w:t>k</w:t>
      </w:r>
      <w:r w:rsidRPr="00F26166">
        <w:t>samhet</w:t>
      </w:r>
      <w:r w:rsidR="003D5F5F" w:rsidRPr="00F26166">
        <w:t>.</w:t>
      </w:r>
    </w:p>
    <w:p w:rsidR="001B0126" w:rsidRPr="00F26166" w:rsidRDefault="000F6064" w:rsidP="001B0126">
      <w:pPr>
        <w:pStyle w:val="Rubrik2"/>
      </w:pPr>
      <w:bookmarkStart w:id="13" w:name="_Toc135727066"/>
      <w:r w:rsidRPr="00F26166">
        <w:t>Ändringar i lagen (2002:1022) om revision av statlig verksamhet m.m</w:t>
      </w:r>
      <w:r w:rsidR="001B0126" w:rsidRPr="00F26166">
        <w:t>.</w:t>
      </w:r>
      <w:bookmarkEnd w:id="13"/>
      <w:r w:rsidR="001B0126" w:rsidRPr="00F26166">
        <w:t xml:space="preserve"> </w:t>
      </w:r>
    </w:p>
    <w:p w:rsidR="00414D16" w:rsidRPr="00F26166" w:rsidRDefault="001B0126" w:rsidP="00D9757D">
      <w:pPr>
        <w:pStyle w:val="Rubrik3"/>
        <w:spacing w:before="235"/>
        <w:rPr>
          <w:noProof w:val="0"/>
        </w:rPr>
      </w:pPr>
      <w:bookmarkStart w:id="14" w:name="_Toc135727067"/>
      <w:r w:rsidRPr="00F26166">
        <w:rPr>
          <w:noProof w:val="0"/>
        </w:rPr>
        <w:t>A</w:t>
      </w:r>
      <w:r w:rsidR="00414D16" w:rsidRPr="00F26166">
        <w:rPr>
          <w:noProof w:val="0"/>
        </w:rPr>
        <w:t>ffärsverkens delårsrapporter</w:t>
      </w:r>
      <w:bookmarkEnd w:id="14"/>
    </w:p>
    <w:p w:rsidR="00897F4F" w:rsidRPr="00F26166" w:rsidRDefault="00897F4F" w:rsidP="00D9757D">
      <w:pPr>
        <w:pStyle w:val="Utskottsfrslagikorthet-Rubrik"/>
        <w:rPr>
          <w:noProof w:val="0"/>
        </w:rPr>
      </w:pPr>
      <w:r w:rsidRPr="00F26166">
        <w:rPr>
          <w:noProof w:val="0"/>
        </w:rPr>
        <w:t>Vårt förslag i korthet</w:t>
      </w:r>
    </w:p>
    <w:p w:rsidR="00897F4F" w:rsidRPr="00F26166" w:rsidRDefault="00897F4F" w:rsidP="00D9757D">
      <w:pPr>
        <w:pStyle w:val="Utskottsfrslagikorthet-Text"/>
      </w:pPr>
      <w:r w:rsidRPr="00F26166">
        <w:t>Vi föreslår att endast en av affärsverkens tre delårsrapporter ska granskas årligen av Riksrevisionen. Dessutom ska endast de delår</w:t>
      </w:r>
      <w:r w:rsidRPr="00F26166">
        <w:t>s</w:t>
      </w:r>
      <w:r w:rsidRPr="00F26166">
        <w:t xml:space="preserve">rapporter som </w:t>
      </w:r>
      <w:r w:rsidR="0058211B" w:rsidRPr="00F26166">
        <w:t>ett granskningsobjekt</w:t>
      </w:r>
      <w:r w:rsidRPr="00F26166">
        <w:t xml:space="preserve"> är skyldig</w:t>
      </w:r>
      <w:r w:rsidR="0058211B" w:rsidRPr="00F26166">
        <w:t>t</w:t>
      </w:r>
      <w:r w:rsidRPr="00F26166">
        <w:t xml:space="preserve"> att lämna granskas av Rik</w:t>
      </w:r>
      <w:r w:rsidRPr="00F26166">
        <w:t>s</w:t>
      </w:r>
      <w:r w:rsidRPr="00F26166">
        <w:t>revisionen</w:t>
      </w:r>
    </w:p>
    <w:p w:rsidR="008F4152" w:rsidRPr="00F26166" w:rsidRDefault="001B0126" w:rsidP="00BF35EA">
      <w:r w:rsidRPr="00F26166">
        <w:t>Som skäl</w:t>
      </w:r>
      <w:r w:rsidR="00414D16" w:rsidRPr="00F26166">
        <w:t xml:space="preserve"> för förslaget</w:t>
      </w:r>
      <w:r w:rsidRPr="00F26166">
        <w:t xml:space="preserve"> vill vi anföra följande.</w:t>
      </w:r>
      <w:r w:rsidR="00414D16" w:rsidRPr="00F26166">
        <w:t xml:space="preserve"> Affärsverken är förvaltning</w:t>
      </w:r>
      <w:r w:rsidR="00414D16" w:rsidRPr="00F26166">
        <w:t>s</w:t>
      </w:r>
      <w:r w:rsidR="00414D16" w:rsidRPr="00F26166">
        <w:t xml:space="preserve">myndigheter under regeringen. Riksrevisionen </w:t>
      </w:r>
      <w:r w:rsidR="008D3610" w:rsidRPr="00F26166">
        <w:t>ska</w:t>
      </w:r>
      <w:r w:rsidR="00414D16" w:rsidRPr="00F26166">
        <w:t xml:space="preserve"> följaktligen granska a</w:t>
      </w:r>
      <w:r w:rsidR="00414D16" w:rsidRPr="00F26166">
        <w:t>f</w:t>
      </w:r>
      <w:r w:rsidR="00414D16" w:rsidRPr="00F26166">
        <w:t xml:space="preserve">färsverkens delårsrapporter. </w:t>
      </w:r>
      <w:r w:rsidR="00405450" w:rsidRPr="00F26166">
        <w:t>Enligt 10 kap. 2 § första stycket förordning (200</w:t>
      </w:r>
      <w:r w:rsidR="000B4BF7" w:rsidRPr="00F26166">
        <w:t>0</w:t>
      </w:r>
      <w:r w:rsidR="00405450" w:rsidRPr="00F26166">
        <w:t>:605) om årsredovisning och budgetunderlag (förordningen) lämnar e</w:t>
      </w:r>
      <w:r w:rsidR="00414D16" w:rsidRPr="00F26166">
        <w:t xml:space="preserve">tt affärsverk </w:t>
      </w:r>
      <w:r w:rsidR="00690C54" w:rsidRPr="00F26166">
        <w:t>varje år</w:t>
      </w:r>
      <w:r w:rsidR="00414D16" w:rsidRPr="00F26166">
        <w:t>, förutom årsredovisning, även tre delårsrapporter till rege</w:t>
      </w:r>
      <w:r w:rsidR="00414D16" w:rsidRPr="00F26166">
        <w:t>r</w:t>
      </w:r>
      <w:r w:rsidR="00414D16" w:rsidRPr="00F26166">
        <w:t>ingen</w:t>
      </w:r>
      <w:r w:rsidR="00405450" w:rsidRPr="00F26166">
        <w:t>.</w:t>
      </w:r>
      <w:r w:rsidR="00414D16" w:rsidRPr="00F26166">
        <w:t xml:space="preserve"> Riksrevisi</w:t>
      </w:r>
      <w:r w:rsidR="00414D16" w:rsidRPr="00F26166">
        <w:t>o</w:t>
      </w:r>
      <w:r w:rsidR="00414D16" w:rsidRPr="00F26166">
        <w:t>nen är enligt 3 § andra stycket revisionslagen</w:t>
      </w:r>
      <w:r w:rsidR="00690C54" w:rsidRPr="00F26166">
        <w:t xml:space="preserve"> </w:t>
      </w:r>
      <w:r w:rsidR="00414D16" w:rsidRPr="00F26166">
        <w:t>skyldig att granska alla delårsrapporter som lämnas till regeringen</w:t>
      </w:r>
      <w:r w:rsidR="00F85E9A" w:rsidRPr="00F26166">
        <w:t>,</w:t>
      </w:r>
      <w:r w:rsidR="00414D16" w:rsidRPr="00F26166">
        <w:t xml:space="preserve"> vilket i affärsve</w:t>
      </w:r>
      <w:r w:rsidR="00414D16" w:rsidRPr="00F26166">
        <w:t>r</w:t>
      </w:r>
      <w:r w:rsidR="00414D16" w:rsidRPr="00F26166">
        <w:t>kens fall innebär att alla tre delår</w:t>
      </w:r>
      <w:r w:rsidR="0053503D" w:rsidRPr="00F26166">
        <w:t>srapporter</w:t>
      </w:r>
      <w:r w:rsidR="00A932AC" w:rsidRPr="00F26166">
        <w:t>na</w:t>
      </w:r>
      <w:r w:rsidR="0053503D" w:rsidRPr="00F26166">
        <w:t xml:space="preserve"> </w:t>
      </w:r>
      <w:r w:rsidR="008D3610" w:rsidRPr="00F26166">
        <w:t>ska</w:t>
      </w:r>
      <w:r w:rsidR="0053503D" w:rsidRPr="00F26166">
        <w:t xml:space="preserve"> granskas. Vi </w:t>
      </w:r>
      <w:r w:rsidR="00414D16" w:rsidRPr="00F26166">
        <w:t>anser dock att det inte är motiverat ur ett revisionellt perspektiv att granska alla delårsra</w:t>
      </w:r>
      <w:r w:rsidR="00414D16" w:rsidRPr="00F26166">
        <w:t>p</w:t>
      </w:r>
      <w:r w:rsidR="00414D16" w:rsidRPr="00F26166">
        <w:t xml:space="preserve">porter som affärsverken lämnar. </w:t>
      </w:r>
      <w:r w:rsidR="00371267" w:rsidRPr="00F26166">
        <w:t>Som jämförelse kan nämnas att  9 kap. 3 § aktieb</w:t>
      </w:r>
      <w:r w:rsidR="00371267" w:rsidRPr="00F26166">
        <w:t>o</w:t>
      </w:r>
      <w:r w:rsidR="00371267" w:rsidRPr="00F26166">
        <w:t>lagslagen (2005:551) endast uppställer krav att revisorn ska granska bol</w:t>
      </w:r>
      <w:r w:rsidR="00371267" w:rsidRPr="00F26166">
        <w:t>a</w:t>
      </w:r>
      <w:r w:rsidR="00371267" w:rsidRPr="00F26166">
        <w:t>gets årsredovisning samt styrelsens och den verkställande direktörens förval</w:t>
      </w:r>
      <w:r w:rsidR="00371267" w:rsidRPr="00F26166">
        <w:t>t</w:t>
      </w:r>
      <w:r w:rsidR="00371267" w:rsidRPr="00F26166">
        <w:t>ning. Denna i lag regler</w:t>
      </w:r>
      <w:r w:rsidR="00371267" w:rsidRPr="00F26166">
        <w:t>a</w:t>
      </w:r>
      <w:r w:rsidR="00371267" w:rsidRPr="00F26166">
        <w:t>de skyldighet har sedermera kompletterats med Svensk kod för bolagsstyrning som säger att bolagets halvårs- eller niomånadersra</w:t>
      </w:r>
      <w:r w:rsidR="00371267" w:rsidRPr="00F26166">
        <w:t>p</w:t>
      </w:r>
      <w:r w:rsidR="00371267" w:rsidRPr="00F26166">
        <w:t>port översiktligt ska granskas av bolagets rev</w:t>
      </w:r>
      <w:r w:rsidR="00371267" w:rsidRPr="00F26166">
        <w:t>i</w:t>
      </w:r>
      <w:r w:rsidR="00371267" w:rsidRPr="00F26166">
        <w:t xml:space="preserve">sor (3.6.3). Regeringen har uttalat att Svensk kod för bolagsstyrning </w:t>
      </w:r>
      <w:r w:rsidR="004F4248" w:rsidRPr="00F26166">
        <w:t>ska vara en del av regeringens ra</w:t>
      </w:r>
      <w:r w:rsidR="004F4248" w:rsidRPr="00F26166">
        <w:t>m</w:t>
      </w:r>
      <w:r w:rsidR="004F4248" w:rsidRPr="00F26166">
        <w:t>verk för ägarförvaltningen av statliga aktiebolag.</w:t>
      </w:r>
      <w:r w:rsidR="00945A34" w:rsidRPr="00F26166">
        <w:t xml:space="preserve"> </w:t>
      </w:r>
      <w:r w:rsidR="00371267" w:rsidRPr="00F26166">
        <w:t xml:space="preserve"> Av</w:t>
      </w:r>
      <w:r w:rsidR="00414D16" w:rsidRPr="00F26166">
        <w:t xml:space="preserve"> 10 kap. 2 § tredje styc</w:t>
      </w:r>
      <w:r w:rsidR="00414D16" w:rsidRPr="00F26166">
        <w:t>k</w:t>
      </w:r>
      <w:r w:rsidR="00414D16" w:rsidRPr="00F26166">
        <w:t xml:space="preserve">et förordningen </w:t>
      </w:r>
      <w:r w:rsidR="00371267" w:rsidRPr="00F26166">
        <w:t>framgår a</w:t>
      </w:r>
      <w:r w:rsidR="00414D16" w:rsidRPr="00F26166">
        <w:t xml:space="preserve">tt endast den delårsrapport som lämnas den 31 </w:t>
      </w:r>
      <w:r w:rsidR="00A932AC" w:rsidRPr="00F26166">
        <w:t xml:space="preserve"> </w:t>
      </w:r>
      <w:r w:rsidR="00414D16" w:rsidRPr="00F26166">
        <w:t xml:space="preserve">augusti </w:t>
      </w:r>
      <w:r w:rsidR="008D3610" w:rsidRPr="00F26166">
        <w:t>ska</w:t>
      </w:r>
      <w:r w:rsidR="00414D16" w:rsidRPr="00F26166">
        <w:t xml:space="preserve"> granskas av Rik</w:t>
      </w:r>
      <w:r w:rsidR="00414D16" w:rsidRPr="00F26166">
        <w:t>s</w:t>
      </w:r>
      <w:r w:rsidR="00414D16" w:rsidRPr="00F26166">
        <w:t>revisionen</w:t>
      </w:r>
      <w:r w:rsidR="008F4152" w:rsidRPr="00F26166">
        <w:t>.</w:t>
      </w:r>
    </w:p>
    <w:p w:rsidR="00414D16" w:rsidRPr="00F26166" w:rsidRDefault="00414D16" w:rsidP="0053503D">
      <w:pPr>
        <w:pStyle w:val="Normaltindrag"/>
      </w:pPr>
      <w:r w:rsidRPr="00F26166">
        <w:t>Eftersom lag gäller före förordning vid en eventuell konflikt och 1 kap. 2 § förordningen dessutom stipulerar att föror</w:t>
      </w:r>
      <w:r w:rsidRPr="00F26166">
        <w:t>d</w:t>
      </w:r>
      <w:r w:rsidRPr="00F26166">
        <w:t xml:space="preserve">ningen inte </w:t>
      </w:r>
      <w:r w:rsidR="008D3610" w:rsidRPr="00F26166">
        <w:t>ska</w:t>
      </w:r>
      <w:r w:rsidRPr="00F26166">
        <w:t xml:space="preserve"> tillämpas om</w:t>
      </w:r>
      <w:r w:rsidR="0053503D" w:rsidRPr="00F26166">
        <w:t xml:space="preserve"> något annat följer av lag bör</w:t>
      </w:r>
      <w:r w:rsidRPr="00F26166">
        <w:t xml:space="preserve"> revisionslagen tydliggöras på denna punkt. Huvudr</w:t>
      </w:r>
      <w:r w:rsidRPr="00F26166">
        <w:t>e</w:t>
      </w:r>
      <w:r w:rsidRPr="00F26166">
        <w:t>geln</w:t>
      </w:r>
      <w:r w:rsidR="005E7A47" w:rsidRPr="00F26166">
        <w:t xml:space="preserve"> är </w:t>
      </w:r>
      <w:r w:rsidRPr="00F26166">
        <w:t xml:space="preserve">att alla delårsrapporter </w:t>
      </w:r>
      <w:r w:rsidR="00897F4F" w:rsidRPr="00F26166">
        <w:t xml:space="preserve">som </w:t>
      </w:r>
      <w:r w:rsidR="005E7A47" w:rsidRPr="00F26166">
        <w:t>lämnas</w:t>
      </w:r>
      <w:r w:rsidR="00747FF5" w:rsidRPr="00F26166">
        <w:t xml:space="preserve"> ska</w:t>
      </w:r>
      <w:r w:rsidRPr="00F26166">
        <w:t xml:space="preserve"> granskas av Riksrevisionen</w:t>
      </w:r>
      <w:r w:rsidR="005E7A47" w:rsidRPr="00F26166">
        <w:t>.</w:t>
      </w:r>
      <w:r w:rsidR="0053503D" w:rsidRPr="00F26166">
        <w:t xml:space="preserve"> Undantaget från huvudregeln – </w:t>
      </w:r>
      <w:r w:rsidRPr="00F26166">
        <w:t>att bara en av tre av affärsverkens avlämn</w:t>
      </w:r>
      <w:r w:rsidRPr="00F26166">
        <w:t>a</w:t>
      </w:r>
      <w:r w:rsidRPr="00F26166">
        <w:t>de delårsrapporter ska granskas av Riksrevi</w:t>
      </w:r>
      <w:r w:rsidR="0053503D" w:rsidRPr="00F26166">
        <w:t>sionen</w:t>
      </w:r>
      <w:r w:rsidRPr="00F26166">
        <w:t xml:space="preserve"> </w:t>
      </w:r>
      <w:r w:rsidR="0053503D" w:rsidRPr="00F26166">
        <w:t xml:space="preserve">– </w:t>
      </w:r>
      <w:r w:rsidRPr="00F26166">
        <w:t>anges i en ny andra m</w:t>
      </w:r>
      <w:r w:rsidRPr="00F26166">
        <w:t>e</w:t>
      </w:r>
      <w:r w:rsidRPr="00F26166">
        <w:t xml:space="preserve">ning. </w:t>
      </w:r>
    </w:p>
    <w:p w:rsidR="000B1586" w:rsidRPr="00F26166" w:rsidRDefault="00414D16" w:rsidP="0053503D">
      <w:pPr>
        <w:pStyle w:val="Normaltindrag"/>
      </w:pPr>
      <w:r w:rsidRPr="00F26166">
        <w:t>Fråga</w:t>
      </w:r>
      <w:r w:rsidR="002120EA" w:rsidRPr="00F26166">
        <w:t>n</w:t>
      </w:r>
      <w:r w:rsidRPr="00F26166">
        <w:t xml:space="preserve"> är dock vilken av de tre lämnade delårsrapporterna som Riksrev</w:t>
      </w:r>
      <w:r w:rsidRPr="00F26166">
        <w:t>i</w:t>
      </w:r>
      <w:r w:rsidRPr="00F26166">
        <w:t>sionen bör</w:t>
      </w:r>
      <w:r w:rsidR="0053503D" w:rsidRPr="00F26166">
        <w:t xml:space="preserve"> granska. Enligt vår</w:t>
      </w:r>
      <w:r w:rsidRPr="00F26166">
        <w:t xml:space="preserve"> mening talar goda skäl för att den konsolider</w:t>
      </w:r>
      <w:r w:rsidRPr="00F26166">
        <w:t>a</w:t>
      </w:r>
      <w:r w:rsidRPr="00F26166">
        <w:t>de delårsrapport som lämnas senast den 30 november bör granskas i stä</w:t>
      </w:r>
      <w:r w:rsidRPr="00F26166">
        <w:t>l</w:t>
      </w:r>
      <w:r w:rsidRPr="00F26166">
        <w:t>let för halvårsrapporten. En granskning av affärsverkens tredje kvartalsra</w:t>
      </w:r>
      <w:r w:rsidRPr="00F26166">
        <w:t>p</w:t>
      </w:r>
      <w:r w:rsidRPr="00F26166">
        <w:t>port ger en kvalitetshöjande effekt på affärsverkens årsredovisning i så måtto att v</w:t>
      </w:r>
      <w:r w:rsidRPr="00F26166">
        <w:t>ä</w:t>
      </w:r>
      <w:r w:rsidRPr="00F26166">
        <w:t>sentl</w:t>
      </w:r>
      <w:r w:rsidRPr="00F26166">
        <w:t>i</w:t>
      </w:r>
      <w:r w:rsidRPr="00F26166">
        <w:t>ga fel i verksamheten upptäcks under löpande år och hinner åtgärdas av affärsve</w:t>
      </w:r>
      <w:r w:rsidRPr="00F26166">
        <w:t>r</w:t>
      </w:r>
      <w:r w:rsidRPr="00F26166">
        <w:t xml:space="preserve">ken innan bokslut sker. </w:t>
      </w:r>
    </w:p>
    <w:p w:rsidR="00414D16" w:rsidRPr="00F26166" w:rsidRDefault="00414D16" w:rsidP="0053503D">
      <w:pPr>
        <w:pStyle w:val="Normaltindrag"/>
      </w:pPr>
      <w:r w:rsidRPr="00F26166">
        <w:t xml:space="preserve">Det inträffar ibland att </w:t>
      </w:r>
      <w:r w:rsidR="005E7C05" w:rsidRPr="00F26166">
        <w:t>granskningsobjekt</w:t>
      </w:r>
      <w:r w:rsidRPr="00F26166">
        <w:t xml:space="preserve"> lämnar delårsrapport</w:t>
      </w:r>
      <w:r w:rsidR="006730BE" w:rsidRPr="00F26166">
        <w:t>er</w:t>
      </w:r>
      <w:r w:rsidRPr="00F26166">
        <w:t xml:space="preserve"> till Rik</w:t>
      </w:r>
      <w:r w:rsidRPr="00F26166">
        <w:t>s</w:t>
      </w:r>
      <w:r w:rsidRPr="00F26166">
        <w:t xml:space="preserve">revisionen </w:t>
      </w:r>
      <w:r w:rsidR="00897F4F" w:rsidRPr="00F26166">
        <w:t xml:space="preserve">trots att </w:t>
      </w:r>
      <w:r w:rsidR="005E7C05" w:rsidRPr="00F26166">
        <w:t>de</w:t>
      </w:r>
      <w:r w:rsidR="00897F4F" w:rsidRPr="00F26166">
        <w:t xml:space="preserve"> </w:t>
      </w:r>
      <w:r w:rsidR="00497957" w:rsidRPr="00F26166">
        <w:t>i</w:t>
      </w:r>
      <w:r w:rsidR="00897F4F" w:rsidRPr="00F26166">
        <w:t>nte är skyldig</w:t>
      </w:r>
      <w:r w:rsidR="005E7C05" w:rsidRPr="00F26166">
        <w:t>a</w:t>
      </w:r>
      <w:r w:rsidR="00897F4F" w:rsidRPr="00F26166">
        <w:t xml:space="preserve"> att göra dett</w:t>
      </w:r>
      <w:r w:rsidR="00497957" w:rsidRPr="00F26166">
        <w:t>a</w:t>
      </w:r>
      <w:r w:rsidR="00897F4F" w:rsidRPr="00F26166">
        <w:t>.</w:t>
      </w:r>
      <w:r w:rsidR="00497957" w:rsidRPr="00F26166">
        <w:t xml:space="preserve"> </w:t>
      </w:r>
      <w:r w:rsidR="0053503D" w:rsidRPr="00F26166">
        <w:t>Vi</w:t>
      </w:r>
      <w:r w:rsidRPr="00F26166">
        <w:t xml:space="preserve"> utgår från att endast de delårsrapporter som </w:t>
      </w:r>
      <w:r w:rsidR="005E7C05" w:rsidRPr="00F26166">
        <w:t>ett granskningsobjekt</w:t>
      </w:r>
      <w:r w:rsidR="00F95E86" w:rsidRPr="00F26166">
        <w:t xml:space="preserve"> är skyldig</w:t>
      </w:r>
      <w:r w:rsidR="006730BE" w:rsidRPr="00F26166">
        <w:t>t</w:t>
      </w:r>
      <w:r w:rsidR="00F95E86" w:rsidRPr="00F26166">
        <w:t xml:space="preserve"> att lämna</w:t>
      </w:r>
      <w:r w:rsidRPr="00F26166">
        <w:t xml:space="preserve"> </w:t>
      </w:r>
      <w:r w:rsidR="008D3610" w:rsidRPr="00F26166">
        <w:t>ska</w:t>
      </w:r>
      <w:r w:rsidRPr="00F26166">
        <w:t xml:space="preserve"> gran</w:t>
      </w:r>
      <w:r w:rsidRPr="00F26166">
        <w:t>s</w:t>
      </w:r>
      <w:r w:rsidRPr="00F26166">
        <w:t>kas av Riksrevisio</w:t>
      </w:r>
      <w:r w:rsidR="0053503D" w:rsidRPr="00F26166">
        <w:t>nen. Vi</w:t>
      </w:r>
      <w:r w:rsidRPr="00F26166">
        <w:t xml:space="preserve"> föreslår därför att  3 § andra stycket revision</w:t>
      </w:r>
      <w:r w:rsidRPr="00F26166">
        <w:t>s</w:t>
      </w:r>
      <w:r w:rsidRPr="00F26166">
        <w:t xml:space="preserve">lagen förtydligas genom att orden </w:t>
      </w:r>
      <w:r w:rsidR="00910994" w:rsidRPr="00F26166">
        <w:t>”Föreligger en skyldighet att lämna delårsra</w:t>
      </w:r>
      <w:r w:rsidR="00910994" w:rsidRPr="00F26166">
        <w:t>p</w:t>
      </w:r>
      <w:r w:rsidR="00910994" w:rsidRPr="00F26166">
        <w:t>port</w:t>
      </w:r>
      <w:r w:rsidRPr="00F26166">
        <w:t xml:space="preserve">” </w:t>
      </w:r>
      <w:r w:rsidR="00910994" w:rsidRPr="00F26166">
        <w:t>ersätter</w:t>
      </w:r>
      <w:r w:rsidRPr="00F26166">
        <w:t xml:space="preserve"> de inledande orden ”Om de</w:t>
      </w:r>
      <w:r w:rsidRPr="00F26166">
        <w:t>l</w:t>
      </w:r>
      <w:r w:rsidRPr="00F26166">
        <w:t>årsrapport</w:t>
      </w:r>
      <w:r w:rsidR="00910994" w:rsidRPr="00F26166">
        <w:t xml:space="preserve"> lämnas</w:t>
      </w:r>
      <w:r w:rsidRPr="00F26166">
        <w:t>”.</w:t>
      </w:r>
    </w:p>
    <w:p w:rsidR="000F6064" w:rsidRPr="00F26166" w:rsidRDefault="000F6064" w:rsidP="000F6064">
      <w:pPr>
        <w:pStyle w:val="Rubrik2"/>
      </w:pPr>
      <w:bookmarkStart w:id="15" w:name="_Toc135727068"/>
      <w:r w:rsidRPr="00F26166">
        <w:t>Ändringar i lagen (2002:1023) med instruktion för Riksrevisionen</w:t>
      </w:r>
      <w:bookmarkEnd w:id="15"/>
    </w:p>
    <w:p w:rsidR="00110870" w:rsidRPr="00F26166" w:rsidRDefault="000C6459" w:rsidP="003932D2">
      <w:pPr>
        <w:pStyle w:val="Rubrik3"/>
        <w:spacing w:before="235"/>
        <w:rPr>
          <w:noProof w:val="0"/>
        </w:rPr>
      </w:pPr>
      <w:bookmarkStart w:id="16" w:name="_Toc135727069"/>
      <w:r w:rsidRPr="00F26166">
        <w:rPr>
          <w:noProof w:val="0"/>
        </w:rPr>
        <w:t>Riksrevisorernas arbetsfördelning i granskningsverksamheten</w:t>
      </w:r>
      <w:bookmarkEnd w:id="16"/>
    </w:p>
    <w:p w:rsidR="00110870" w:rsidRPr="00F26166" w:rsidRDefault="00110870" w:rsidP="00D9757D">
      <w:pPr>
        <w:pStyle w:val="Utskottsfrslagikorthet-Rubrik"/>
        <w:rPr>
          <w:noProof w:val="0"/>
        </w:rPr>
      </w:pPr>
      <w:r w:rsidRPr="00F26166">
        <w:rPr>
          <w:noProof w:val="0"/>
        </w:rPr>
        <w:t xml:space="preserve">Vårt förslag i korthet </w:t>
      </w:r>
    </w:p>
    <w:p w:rsidR="00110870" w:rsidRPr="00F26166" w:rsidRDefault="00110870" w:rsidP="00D9757D">
      <w:pPr>
        <w:pStyle w:val="Utskottsfrslagikorthet-Text"/>
      </w:pPr>
      <w:r w:rsidRPr="00F26166">
        <w:t xml:space="preserve">Vi föreslår ett antal förtydliganden i 4 § instruktionen för att </w:t>
      </w:r>
      <w:r w:rsidR="00E571EC" w:rsidRPr="00F26166">
        <w:t>klarg</w:t>
      </w:r>
      <w:r w:rsidR="00E571EC" w:rsidRPr="00F26166">
        <w:t>ö</w:t>
      </w:r>
      <w:r w:rsidR="00E571EC" w:rsidRPr="00F26166">
        <w:t xml:space="preserve">ra vilka beslut som </w:t>
      </w:r>
      <w:r w:rsidR="00B327FE" w:rsidRPr="00F26166">
        <w:t>riksrevisorerna</w:t>
      </w:r>
      <w:r w:rsidR="00E571EC" w:rsidRPr="00F26166">
        <w:t xml:space="preserve"> ska fatta gemensamt i grans</w:t>
      </w:r>
      <w:r w:rsidR="00E571EC" w:rsidRPr="00F26166">
        <w:t>k</w:t>
      </w:r>
      <w:r w:rsidR="00E571EC" w:rsidRPr="00F26166">
        <w:t>nings</w:t>
      </w:r>
      <w:r w:rsidR="00E571EC" w:rsidRPr="00F26166">
        <w:softHyphen/>
        <w:t>verk</w:t>
      </w:r>
      <w:r w:rsidR="00E571EC" w:rsidRPr="00F26166">
        <w:softHyphen/>
        <w:t>samheten</w:t>
      </w:r>
      <w:r w:rsidR="00863B8B" w:rsidRPr="00F26166">
        <w:t xml:space="preserve"> och </w:t>
      </w:r>
      <w:r w:rsidR="00E571EC" w:rsidRPr="00F26166">
        <w:t>vilk</w:t>
      </w:r>
      <w:r w:rsidR="00C00750" w:rsidRPr="00F26166">
        <w:t>a</w:t>
      </w:r>
      <w:r w:rsidR="00E571EC" w:rsidRPr="00F26166">
        <w:t xml:space="preserve"> beslut </w:t>
      </w:r>
      <w:r w:rsidR="00B327FE" w:rsidRPr="00F26166">
        <w:t>som ska</w:t>
      </w:r>
      <w:r w:rsidR="00E571EC" w:rsidRPr="00F26166">
        <w:t xml:space="preserve"> fatta</w:t>
      </w:r>
      <w:r w:rsidR="00B327FE" w:rsidRPr="00F26166">
        <w:t>s</w:t>
      </w:r>
      <w:r w:rsidR="00E571EC" w:rsidRPr="00F26166">
        <w:t xml:space="preserve"> självständigt men där det för</w:t>
      </w:r>
      <w:r w:rsidR="00E571EC" w:rsidRPr="00F26166">
        <w:t>e</w:t>
      </w:r>
      <w:r w:rsidR="00E571EC" w:rsidRPr="00F26166">
        <w:t xml:space="preserve">ligger en samrådsskyldighet. Vi föreslår dessutom att </w:t>
      </w:r>
      <w:r w:rsidR="000F04B1" w:rsidRPr="00F26166">
        <w:t xml:space="preserve">endast de beslut </w:t>
      </w:r>
      <w:r w:rsidR="00B327FE" w:rsidRPr="00F26166">
        <w:t>som</w:t>
      </w:r>
      <w:r w:rsidR="000F04B1" w:rsidRPr="00F26166">
        <w:t xml:space="preserve"> fatta</w:t>
      </w:r>
      <w:r w:rsidR="00B327FE" w:rsidRPr="00F26166">
        <w:t>s</w:t>
      </w:r>
      <w:r w:rsidR="000F04B1" w:rsidRPr="00F26166">
        <w:t xml:space="preserve"> gemensamt </w:t>
      </w:r>
      <w:r w:rsidRPr="00F26166">
        <w:t>ska redovisas i grans</w:t>
      </w:r>
      <w:r w:rsidRPr="00F26166">
        <w:t>k</w:t>
      </w:r>
      <w:r w:rsidRPr="00F26166">
        <w:t>ningsplanen</w:t>
      </w:r>
      <w:r w:rsidR="001A2727" w:rsidRPr="00F26166">
        <w:t xml:space="preserve">. </w:t>
      </w:r>
    </w:p>
    <w:p w:rsidR="006A590A" w:rsidRPr="00F26166" w:rsidRDefault="0004190D" w:rsidP="00BF35EA">
      <w:r w:rsidRPr="00F26166">
        <w:t>Som skäl för förslaget vill vi anföra följande</w:t>
      </w:r>
      <w:r w:rsidR="00FF0F91" w:rsidRPr="00F26166">
        <w:t>.</w:t>
      </w:r>
      <w:r w:rsidRPr="00F26166" w:rsidDel="00110870">
        <w:t xml:space="preserve"> </w:t>
      </w:r>
    </w:p>
    <w:p w:rsidR="008D3A0E" w:rsidRPr="00F26166" w:rsidRDefault="008D3A0E" w:rsidP="00A64FA0">
      <w:pPr>
        <w:pStyle w:val="Normaltindrag"/>
      </w:pPr>
      <w:r w:rsidRPr="00F26166">
        <w:t xml:space="preserve">4 § instruktionen ändrades genom </w:t>
      </w:r>
      <w:r w:rsidR="005608FA" w:rsidRPr="00F26166">
        <w:t>SFS (2003:359)</w:t>
      </w:r>
      <w:r w:rsidR="00FF0F91" w:rsidRPr="00F26166">
        <w:t>,</w:t>
      </w:r>
      <w:r w:rsidR="005608FA" w:rsidRPr="00F26166">
        <w:t xml:space="preserve"> vilket bl.a. innebar att  </w:t>
      </w:r>
      <w:r w:rsidRPr="00F26166">
        <w:t>5 § i</w:t>
      </w:r>
      <w:r w:rsidRPr="00F26166">
        <w:t>n</w:t>
      </w:r>
      <w:r w:rsidRPr="00F26166">
        <w:t>struktionen, som bestod av två stycken, införlivades i lagrummet som stycke tre och fem</w:t>
      </w:r>
      <w:r w:rsidRPr="00F26166">
        <w:rPr>
          <w:rStyle w:val="Fotnotsreferens"/>
        </w:rPr>
        <w:footnoteReference w:id="1"/>
      </w:r>
      <w:r w:rsidR="00885CA7" w:rsidRPr="00F26166">
        <w:t>.</w:t>
      </w:r>
    </w:p>
    <w:p w:rsidR="0056026C" w:rsidRPr="00F26166" w:rsidRDefault="00F572DE" w:rsidP="00A64FA0">
      <w:pPr>
        <w:pStyle w:val="Normaltindrag"/>
      </w:pPr>
      <w:r w:rsidRPr="00F26166">
        <w:t xml:space="preserve">Formuleringarna i </w:t>
      </w:r>
      <w:r w:rsidR="00D17E2C" w:rsidRPr="00F26166">
        <w:t xml:space="preserve">4 § </w:t>
      </w:r>
      <w:r w:rsidRPr="00F26166">
        <w:t xml:space="preserve">första och andra stycket </w:t>
      </w:r>
      <w:r w:rsidR="00D17E2C" w:rsidRPr="00F26166">
        <w:t xml:space="preserve">instruktionen </w:t>
      </w:r>
      <w:r w:rsidRPr="00F26166">
        <w:t>skapar os</w:t>
      </w:r>
      <w:r w:rsidRPr="00F26166">
        <w:t>ä</w:t>
      </w:r>
      <w:r w:rsidRPr="00F26166">
        <w:t>kerhet om var gränsen går mellan beslut i granskningsverksamheten som ska fattas av riksrevisorerna gemensamt och beslut i granskningsverksa</w:t>
      </w:r>
      <w:r w:rsidRPr="00F26166">
        <w:t>m</w:t>
      </w:r>
      <w:r w:rsidRPr="00F26166">
        <w:t>heten som fattas av respe</w:t>
      </w:r>
      <w:r w:rsidRPr="00F26166">
        <w:t>k</w:t>
      </w:r>
      <w:r w:rsidRPr="00F26166">
        <w:t>tive riksrevisor men som de först måste samråda om. Det är enligt vår mening viktigt att denna gräns förtydligas mot bakgrund av riksrevisorernas grundlagsreglerade rätt att självständigt</w:t>
      </w:r>
      <w:r w:rsidR="00CF0AFF" w:rsidRPr="00F26166">
        <w:t>, med b</w:t>
      </w:r>
      <w:r w:rsidR="00CF0AFF" w:rsidRPr="00F26166">
        <w:t>e</w:t>
      </w:r>
      <w:r w:rsidR="00CF0AFF" w:rsidRPr="00F26166">
        <w:t>aktande av de bestämmelser som finns i lag,</w:t>
      </w:r>
      <w:r w:rsidRPr="00F26166">
        <w:t xml:space="preserve"> fatta b</w:t>
      </w:r>
      <w:r w:rsidRPr="00F26166">
        <w:t>e</w:t>
      </w:r>
      <w:r w:rsidRPr="00F26166">
        <w:t>slut om vad som ska granskas.</w:t>
      </w:r>
    </w:p>
    <w:p w:rsidR="00414D16" w:rsidRPr="00F26166" w:rsidRDefault="00414D16" w:rsidP="00213BB8">
      <w:pPr>
        <w:pStyle w:val="Normaltindrag"/>
      </w:pPr>
      <w:r w:rsidRPr="00F26166">
        <w:t>Enligt 4 § fjärde stycket instruktionen ska riksrevisorernas beslut redov</w:t>
      </w:r>
      <w:r w:rsidRPr="00F26166">
        <w:t>i</w:t>
      </w:r>
      <w:r w:rsidRPr="00F26166">
        <w:t>sas i en gransknings</w:t>
      </w:r>
      <w:r w:rsidRPr="00F26166">
        <w:softHyphen/>
        <w:t>plan. Nämnda styckes placering inom paragrafen kan tolkas som att riksrevisorernas beslut i sina respekt</w:t>
      </w:r>
      <w:r w:rsidRPr="00F26166">
        <w:t>i</w:t>
      </w:r>
      <w:r w:rsidRPr="00F26166">
        <w:t>ve granskningsärenden (stycke tre i samma lagrum) ska redovisas i grans</w:t>
      </w:r>
      <w:r w:rsidRPr="00F26166">
        <w:t>k</w:t>
      </w:r>
      <w:r w:rsidRPr="00F26166">
        <w:t>nings</w:t>
      </w:r>
      <w:r w:rsidRPr="00F26166">
        <w:softHyphen/>
        <w:t>planen</w:t>
      </w:r>
      <w:r w:rsidR="007C15A7" w:rsidRPr="00F26166">
        <w:t xml:space="preserve">. Enligt vår bedömning  var detta inte avsikten med bestämmelsen och avspeglar </w:t>
      </w:r>
      <w:r w:rsidRPr="00F26166">
        <w:t>des</w:t>
      </w:r>
      <w:r w:rsidR="000C6459" w:rsidRPr="00F26166">
        <w:t>s</w:t>
      </w:r>
      <w:r w:rsidR="000C6459" w:rsidRPr="00F26166">
        <w:t>utom inte den praxis som utvecklats</w:t>
      </w:r>
      <w:r w:rsidR="000D65F4" w:rsidRPr="00F26166">
        <w:t xml:space="preserve"> inom </w:t>
      </w:r>
      <w:r w:rsidR="00134839" w:rsidRPr="00F26166">
        <w:t>Riksrevisi</w:t>
      </w:r>
      <w:r w:rsidR="00134839" w:rsidRPr="00F26166">
        <w:t>o</w:t>
      </w:r>
      <w:r w:rsidR="00134839" w:rsidRPr="00F26166">
        <w:t>nen</w:t>
      </w:r>
      <w:r w:rsidRPr="00F26166">
        <w:t xml:space="preserve">. </w:t>
      </w:r>
    </w:p>
    <w:p w:rsidR="00F86299" w:rsidRPr="00F26166" w:rsidRDefault="00F86299" w:rsidP="00F86299">
      <w:r w:rsidRPr="00F26166">
        <w:t>Vi har tolkat och tillämpat 4 § instruktionen på följande sätt:</w:t>
      </w:r>
    </w:p>
    <w:p w:rsidR="00F86299" w:rsidRPr="00F26166" w:rsidRDefault="00F86299" w:rsidP="00213BB8">
      <w:pPr>
        <w:numPr>
          <w:ilvl w:val="0"/>
          <w:numId w:val="5"/>
        </w:numPr>
        <w:spacing w:before="0" w:line="240" w:lineRule="auto"/>
        <w:ind w:left="714" w:hanging="357"/>
        <w:jc w:val="left"/>
      </w:pPr>
      <w:r w:rsidRPr="00F26166">
        <w:t>Riksrevisorernas gemensamma beslut om fördelningen av grans</w:t>
      </w:r>
      <w:r w:rsidRPr="00F26166">
        <w:t>k</w:t>
      </w:r>
      <w:r w:rsidRPr="00F26166">
        <w:t>ningsområden mellan sig samt granskningens huvudsakliga inrik</w:t>
      </w:r>
      <w:r w:rsidRPr="00F26166">
        <w:t>t</w:t>
      </w:r>
      <w:r w:rsidRPr="00F26166">
        <w:t xml:space="preserve">ning ska redovisas i granskningsplanen. </w:t>
      </w:r>
    </w:p>
    <w:p w:rsidR="00F86299" w:rsidRPr="00F26166" w:rsidRDefault="00F86299" w:rsidP="00F86299">
      <w:pPr>
        <w:numPr>
          <w:ilvl w:val="0"/>
          <w:numId w:val="5"/>
        </w:numPr>
        <w:spacing w:before="0" w:line="240" w:lineRule="auto"/>
        <w:jc w:val="left"/>
      </w:pPr>
      <w:r w:rsidRPr="00F26166">
        <w:t>Respektive riksrevisors beslut, efter samråd med varandra, om nä</w:t>
      </w:r>
      <w:r w:rsidRPr="00F26166">
        <w:t>r</w:t>
      </w:r>
      <w:r w:rsidRPr="00F26166">
        <w:t>mare inriktning inom respektive granskningsområde ska inte ingå i granskningspl</w:t>
      </w:r>
      <w:r w:rsidRPr="00F26166">
        <w:t>a</w:t>
      </w:r>
      <w:r w:rsidRPr="00F26166">
        <w:t>nen.</w:t>
      </w:r>
    </w:p>
    <w:p w:rsidR="00F86299" w:rsidRPr="00F26166" w:rsidRDefault="00F86299" w:rsidP="00F86299">
      <w:pPr>
        <w:numPr>
          <w:ilvl w:val="0"/>
          <w:numId w:val="5"/>
        </w:numPr>
        <w:spacing w:before="0" w:line="240" w:lineRule="auto"/>
        <w:jc w:val="left"/>
      </w:pPr>
      <w:r w:rsidRPr="00F26166">
        <w:t>Respektive riksrevisors beslut inom sina granskningsområden avs</w:t>
      </w:r>
      <w:r w:rsidRPr="00F26166">
        <w:t>e</w:t>
      </w:r>
      <w:r w:rsidRPr="00F26166">
        <w:t>ende val av granskningsobjekt, metod och slutsatser fattas självstä</w:t>
      </w:r>
      <w:r w:rsidRPr="00F26166">
        <w:t>n</w:t>
      </w:r>
      <w:r w:rsidRPr="00F26166">
        <w:t>digt och redovisas inte i granskningspl</w:t>
      </w:r>
      <w:r w:rsidRPr="00F26166">
        <w:t>a</w:t>
      </w:r>
      <w:r w:rsidRPr="00F26166">
        <w:t>nen.</w:t>
      </w:r>
    </w:p>
    <w:p w:rsidR="00414D16" w:rsidRPr="00F26166" w:rsidRDefault="002E71FE" w:rsidP="00BF35EA">
      <w:pPr>
        <w:rPr>
          <w:i/>
        </w:rPr>
      </w:pPr>
      <w:r w:rsidRPr="00F26166">
        <w:t>När först</w:t>
      </w:r>
      <w:r w:rsidR="00A64FA0" w:rsidRPr="00F26166">
        <w:t xml:space="preserve"> gäller </w:t>
      </w:r>
      <w:r w:rsidR="00414D16" w:rsidRPr="00F26166">
        <w:rPr>
          <w:i/>
        </w:rPr>
        <w:t>riksrevisorernas gemensamma beslut i granskningsverksa</w:t>
      </w:r>
      <w:r w:rsidR="00414D16" w:rsidRPr="00F26166">
        <w:rPr>
          <w:i/>
        </w:rPr>
        <w:t>m</w:t>
      </w:r>
      <w:r w:rsidR="00414D16" w:rsidRPr="00F26166">
        <w:rPr>
          <w:i/>
        </w:rPr>
        <w:t>heten</w:t>
      </w:r>
      <w:r w:rsidRPr="00F26166">
        <w:rPr>
          <w:i/>
        </w:rPr>
        <w:t xml:space="preserve"> </w:t>
      </w:r>
      <w:r w:rsidR="00FE1E0E" w:rsidRPr="00F26166">
        <w:t>för</w:t>
      </w:r>
      <w:r w:rsidR="004C33E6" w:rsidRPr="00F26166">
        <w:t>e</w:t>
      </w:r>
      <w:r w:rsidR="00FE1E0E" w:rsidRPr="00F26166">
        <w:t>slår vi att 4 § första stycket fö</w:t>
      </w:r>
      <w:r w:rsidR="00FE1E0E" w:rsidRPr="00F26166">
        <w:t>r</w:t>
      </w:r>
      <w:r w:rsidR="00FE1E0E" w:rsidRPr="00F26166">
        <w:t>tydligas så att det framgår vilka beslut i granskningsverksamheten som ska fattas av riksrevisorerna geme</w:t>
      </w:r>
      <w:r w:rsidR="00FE1E0E" w:rsidRPr="00F26166">
        <w:t>n</w:t>
      </w:r>
      <w:r w:rsidR="00FE1E0E" w:rsidRPr="00F26166">
        <w:t xml:space="preserve">samt. </w:t>
      </w:r>
      <w:r w:rsidR="0059601D" w:rsidRPr="00F26166">
        <w:t xml:space="preserve">För närvarande </w:t>
      </w:r>
      <w:r w:rsidR="00F45A03" w:rsidRPr="00F26166">
        <w:t xml:space="preserve">innebär bestämmelsen att </w:t>
      </w:r>
      <w:r w:rsidR="0059601D" w:rsidRPr="00F26166">
        <w:t xml:space="preserve">riksrevisorerna endast </w:t>
      </w:r>
      <w:r w:rsidR="00F45A03" w:rsidRPr="00F26166">
        <w:t xml:space="preserve">ska fatta </w:t>
      </w:r>
      <w:r w:rsidR="0059601D" w:rsidRPr="00F26166">
        <w:t>geme</w:t>
      </w:r>
      <w:r w:rsidR="0059601D" w:rsidRPr="00F26166">
        <w:t>n</w:t>
      </w:r>
      <w:r w:rsidR="0059601D" w:rsidRPr="00F26166">
        <w:t>samma beslut om fördelningen av granskningsområden.</w:t>
      </w:r>
      <w:r w:rsidR="0059601D" w:rsidRPr="00F26166" w:rsidDel="0059601D">
        <w:t xml:space="preserve"> </w:t>
      </w:r>
    </w:p>
    <w:p w:rsidR="00414D16" w:rsidRPr="00F26166" w:rsidRDefault="00FE1E0E" w:rsidP="005C20BA">
      <w:pPr>
        <w:pStyle w:val="Normaltindrag"/>
      </w:pPr>
      <w:r w:rsidRPr="00F26166">
        <w:t>Konstitutionsutskottet har i sitt betänkande</w:t>
      </w:r>
      <w:r w:rsidRPr="00F26166">
        <w:rPr>
          <w:rStyle w:val="Fotnotsreferens"/>
        </w:rPr>
        <w:footnoteReference w:id="2"/>
      </w:r>
      <w:r w:rsidRPr="00F26166">
        <w:t xml:space="preserve"> anfört att det enligt utskottets mening är angeläget att den enskilde riksrevisorns självständighet r</w:t>
      </w:r>
      <w:r w:rsidRPr="00F26166">
        <w:t>e</w:t>
      </w:r>
      <w:r w:rsidRPr="00F26166">
        <w:t>spekteras</w:t>
      </w:r>
      <w:r w:rsidR="004C33E6" w:rsidRPr="00F26166">
        <w:t>,</w:t>
      </w:r>
      <w:r w:rsidRPr="00F26166">
        <w:t xml:space="preserve"> samtidigt som det är viktigt att Riksrevisionen är en sammanhå</w:t>
      </w:r>
      <w:r w:rsidRPr="00F26166">
        <w:t>l</w:t>
      </w:r>
      <w:r w:rsidRPr="00F26166">
        <w:t xml:space="preserve">len myndighet som inte riskerar att utvecklas i riktning mot tre separata delar. </w:t>
      </w:r>
      <w:r w:rsidR="007D3497" w:rsidRPr="00F26166">
        <w:t xml:space="preserve">Vi har tolkat </w:t>
      </w:r>
      <w:r w:rsidR="00D86103" w:rsidRPr="00F26166">
        <w:t>uttalandet</w:t>
      </w:r>
      <w:r w:rsidR="007D3497" w:rsidRPr="00F26166">
        <w:t xml:space="preserve"> som att </w:t>
      </w:r>
      <w:r w:rsidR="00D86103" w:rsidRPr="00F26166">
        <w:t>riksrevisorerna</w:t>
      </w:r>
      <w:r w:rsidR="007D3497" w:rsidRPr="00F26166">
        <w:t>, förutom att gemensamt besluta om förde</w:t>
      </w:r>
      <w:r w:rsidR="007D3497" w:rsidRPr="00F26166">
        <w:t>l</w:t>
      </w:r>
      <w:r w:rsidR="007D3497" w:rsidRPr="00F26166">
        <w:t xml:space="preserve">ningen </w:t>
      </w:r>
      <w:r w:rsidR="00D86103" w:rsidRPr="00F26166">
        <w:t xml:space="preserve">av granskningsområden mellan </w:t>
      </w:r>
      <w:r w:rsidR="00886DA1" w:rsidRPr="00F26166">
        <w:t xml:space="preserve">sig, även </w:t>
      </w:r>
      <w:r w:rsidR="0059601D" w:rsidRPr="00F26166">
        <w:t>bör</w:t>
      </w:r>
      <w:r w:rsidR="00886DA1" w:rsidRPr="00F26166">
        <w:t xml:space="preserve"> besluta gemensamt om granskningsverksamhetens </w:t>
      </w:r>
      <w:r w:rsidR="00886DA1" w:rsidRPr="00F26166">
        <w:rPr>
          <w:i/>
        </w:rPr>
        <w:t>huvudsakliga inriktning</w:t>
      </w:r>
      <w:r w:rsidR="00886DA1" w:rsidRPr="00F26166">
        <w:t>.</w:t>
      </w:r>
      <w:r w:rsidR="008B46EC" w:rsidRPr="00F26166">
        <w:t xml:space="preserve"> Med en sådan ordning tillförsäkras att Riksrevisionen är en sammanhållen myndighet utan att r</w:t>
      </w:r>
      <w:r w:rsidR="008B46EC" w:rsidRPr="00F26166">
        <w:t>e</w:t>
      </w:r>
      <w:r w:rsidR="008B46EC" w:rsidRPr="00F26166">
        <w:t xml:space="preserve">spektive riksrevisors </w:t>
      </w:r>
      <w:r w:rsidR="003833B5" w:rsidRPr="00F26166">
        <w:t xml:space="preserve">rätt att fatta självständiga </w:t>
      </w:r>
      <w:r w:rsidR="008B46EC" w:rsidRPr="00F26166">
        <w:t>beslut</w:t>
      </w:r>
      <w:r w:rsidR="003833B5" w:rsidRPr="00F26166">
        <w:t xml:space="preserve"> inom sina granskning</w:t>
      </w:r>
      <w:r w:rsidR="003833B5" w:rsidRPr="00F26166">
        <w:t>s</w:t>
      </w:r>
      <w:r w:rsidR="003833B5" w:rsidRPr="00F26166">
        <w:t>omr</w:t>
      </w:r>
      <w:r w:rsidR="003833B5" w:rsidRPr="00F26166">
        <w:t>å</w:t>
      </w:r>
      <w:r w:rsidR="003833B5" w:rsidRPr="00F26166">
        <w:t>den träds för när.</w:t>
      </w:r>
      <w:r w:rsidR="0059601D" w:rsidRPr="00F26166" w:rsidDel="0059601D">
        <w:t xml:space="preserve"> </w:t>
      </w:r>
      <w:r w:rsidR="00414D16" w:rsidRPr="00F26166">
        <w:t xml:space="preserve"> </w:t>
      </w:r>
    </w:p>
    <w:p w:rsidR="00414D16" w:rsidRPr="00F26166" w:rsidRDefault="002E71FE" w:rsidP="002E71FE">
      <w:pPr>
        <w:pStyle w:val="Normaltindrag"/>
      </w:pPr>
      <w:r w:rsidRPr="00F26166">
        <w:t xml:space="preserve">I frågan om </w:t>
      </w:r>
      <w:r w:rsidRPr="00F26166">
        <w:rPr>
          <w:i/>
        </w:rPr>
        <w:t>r</w:t>
      </w:r>
      <w:r w:rsidR="00414D16" w:rsidRPr="00F26166">
        <w:rPr>
          <w:i/>
        </w:rPr>
        <w:t>espektive riksrevisors beslut i granskningsverksamheten</w:t>
      </w:r>
      <w:r w:rsidRPr="00F26166">
        <w:rPr>
          <w:i/>
        </w:rPr>
        <w:t xml:space="preserve"> </w:t>
      </w:r>
      <w:r w:rsidR="00414D16" w:rsidRPr="00F26166">
        <w:t>för</w:t>
      </w:r>
      <w:r w:rsidR="00414D16" w:rsidRPr="00F26166">
        <w:t>e</w:t>
      </w:r>
      <w:r w:rsidR="00414D16" w:rsidRPr="00F26166">
        <w:t xml:space="preserve">slår </w:t>
      </w:r>
      <w:r w:rsidRPr="00F26166">
        <w:t xml:space="preserve">vi </w:t>
      </w:r>
      <w:r w:rsidR="00414D16" w:rsidRPr="00F26166">
        <w:t>att skrivningen i 4 § andra stycket instruktionen, som reglerar respekt</w:t>
      </w:r>
      <w:r w:rsidR="00414D16" w:rsidRPr="00F26166">
        <w:t>i</w:t>
      </w:r>
      <w:r w:rsidR="00414D16" w:rsidRPr="00F26166">
        <w:t>ve riksrevisors beslut inom sitt granskningsområde</w:t>
      </w:r>
      <w:r w:rsidR="00D020F3" w:rsidRPr="00F26166">
        <w:t xml:space="preserve"> som riksrevisorerna först må</w:t>
      </w:r>
      <w:r w:rsidR="00D020F3" w:rsidRPr="00F26166">
        <w:t>s</w:t>
      </w:r>
      <w:r w:rsidR="00D020F3" w:rsidRPr="00F26166">
        <w:t>te samråda om</w:t>
      </w:r>
      <w:r w:rsidR="00414D16" w:rsidRPr="00F26166">
        <w:t xml:space="preserve">, förtydligas så att det framgår vilka beslut som </w:t>
      </w:r>
      <w:r w:rsidR="00D020F3" w:rsidRPr="00F26166">
        <w:t>avses.</w:t>
      </w:r>
      <w:r w:rsidR="005E451C" w:rsidRPr="00F26166">
        <w:t xml:space="preserve"> Syftet med förslaget är att skilja ut dessa beslut </w:t>
      </w:r>
      <w:r w:rsidR="00A149F7" w:rsidRPr="00F26166">
        <w:t xml:space="preserve">i förhållande till </w:t>
      </w:r>
      <w:r w:rsidR="005E451C" w:rsidRPr="00F26166">
        <w:t>riksrevis</w:t>
      </w:r>
      <w:r w:rsidR="005E451C" w:rsidRPr="00F26166">
        <w:t>o</w:t>
      </w:r>
      <w:r w:rsidR="005E451C" w:rsidRPr="00F26166">
        <w:t xml:space="preserve">rernas gemensamma beslut i första stycket </w:t>
      </w:r>
      <w:r w:rsidR="00F82954" w:rsidRPr="00F26166">
        <w:t xml:space="preserve">respektive </w:t>
      </w:r>
      <w:r w:rsidR="005E451C" w:rsidRPr="00F26166">
        <w:t xml:space="preserve">riksrevisorernas </w:t>
      </w:r>
      <w:r w:rsidR="00F82954" w:rsidRPr="00F26166">
        <w:t>själ</w:t>
      </w:r>
      <w:r w:rsidR="00F82954" w:rsidRPr="00F26166">
        <w:t>v</w:t>
      </w:r>
      <w:r w:rsidR="00F82954" w:rsidRPr="00F26166">
        <w:t>ständiga beslut utan samråd</w:t>
      </w:r>
      <w:r w:rsidR="00F82954" w:rsidRPr="00F26166">
        <w:t>s</w:t>
      </w:r>
      <w:r w:rsidR="00F82954" w:rsidRPr="00F26166">
        <w:t>skyldighet i tredje stycket.</w:t>
      </w:r>
    </w:p>
    <w:p w:rsidR="00414D16" w:rsidRPr="00F26166" w:rsidRDefault="00F45A03" w:rsidP="005C20BA">
      <w:pPr>
        <w:pStyle w:val="Normaltindrag"/>
      </w:pPr>
      <w:r w:rsidRPr="00F26166">
        <w:t>Eftersom f</w:t>
      </w:r>
      <w:r w:rsidR="00414D16" w:rsidRPr="00F26166">
        <w:t xml:space="preserve">ormuleringen i andra stycket är otydlig skapar </w:t>
      </w:r>
      <w:r w:rsidRPr="00F26166">
        <w:t xml:space="preserve">den </w:t>
      </w:r>
      <w:r w:rsidR="00414D16" w:rsidRPr="00F26166">
        <w:t>osäkerhet om skrivninge</w:t>
      </w:r>
      <w:r w:rsidR="005C20BA" w:rsidRPr="00F26166">
        <w:t>n åsyftar vilka objekt som ska</w:t>
      </w:r>
      <w:r w:rsidR="00414D16" w:rsidRPr="00F26166">
        <w:t xml:space="preserve"> granskas eller vilken inriktning inom respektive gran</w:t>
      </w:r>
      <w:r w:rsidR="005C20BA" w:rsidRPr="00F26166">
        <w:t>skningsområde granskningen ska ha.</w:t>
      </w:r>
      <w:r w:rsidR="00414D16" w:rsidRPr="00F26166">
        <w:t xml:space="preserve"> Förarbeten</w:t>
      </w:r>
      <w:r w:rsidR="005C20BA" w:rsidRPr="00F26166">
        <w:t>a</w:t>
      </w:r>
      <w:r w:rsidR="00414D16" w:rsidRPr="00F26166">
        <w:t xml:space="preserve"> är inte </w:t>
      </w:r>
      <w:r w:rsidR="005C20BA" w:rsidRPr="00F26166">
        <w:t>ent</w:t>
      </w:r>
      <w:r w:rsidR="005C20BA" w:rsidRPr="00F26166">
        <w:t>y</w:t>
      </w:r>
      <w:r w:rsidR="005C20BA" w:rsidRPr="00F26166">
        <w:t>dig</w:t>
      </w:r>
      <w:r w:rsidR="00414D16" w:rsidRPr="00F26166">
        <w:t>a på denna punkt</w:t>
      </w:r>
      <w:r w:rsidR="00D020F3" w:rsidRPr="00F26166">
        <w:rPr>
          <w:rStyle w:val="Fotnotsreferens"/>
        </w:rPr>
        <w:footnoteReference w:id="3"/>
      </w:r>
      <w:r w:rsidR="00D020F3" w:rsidRPr="00F26166">
        <w:t>.</w:t>
      </w:r>
      <w:r w:rsidRPr="00F26166">
        <w:t xml:space="preserve"> </w:t>
      </w:r>
      <w:r w:rsidR="00414D16" w:rsidRPr="00F26166">
        <w:t>Riksrevisionen har i sin uttolkning av 4 § instru</w:t>
      </w:r>
      <w:r w:rsidR="00414D16" w:rsidRPr="00F26166">
        <w:t>k</w:t>
      </w:r>
      <w:r w:rsidR="00414D16" w:rsidRPr="00F26166">
        <w:t>tionen</w:t>
      </w:r>
      <w:r w:rsidRPr="00F26166">
        <w:t xml:space="preserve">, </w:t>
      </w:r>
      <w:r w:rsidR="00F86299" w:rsidRPr="00F26166">
        <w:t>ovan</w:t>
      </w:r>
      <w:r w:rsidR="00414D16" w:rsidRPr="00F26166">
        <w:t xml:space="preserve"> bedömt att det endast är den </w:t>
      </w:r>
      <w:r w:rsidR="00414D16" w:rsidRPr="00F26166">
        <w:rPr>
          <w:i/>
        </w:rPr>
        <w:t>närmare inriktningen</w:t>
      </w:r>
      <w:r w:rsidR="00414D16" w:rsidRPr="00F26166">
        <w:t xml:space="preserve"> av granskningar inom r</w:t>
      </w:r>
      <w:r w:rsidR="00414D16" w:rsidRPr="00F26166">
        <w:t>e</w:t>
      </w:r>
      <w:r w:rsidR="00414D16" w:rsidRPr="00F26166">
        <w:t>spektive granskningsområde som riksrevisorerna ska samråda om. Denna tolkning vinner stöd i att val av gransknings</w:t>
      </w:r>
      <w:r w:rsidR="00414D16" w:rsidRPr="00F26166">
        <w:softHyphen/>
        <w:t>objekt, granskningsmetod och rev</w:t>
      </w:r>
      <w:r w:rsidR="00414D16" w:rsidRPr="00F26166">
        <w:t>i</w:t>
      </w:r>
      <w:r w:rsidR="00414D16" w:rsidRPr="00F26166">
        <w:t>sionens slutsatser regleras i tredje stycket och att förarbetena på denna punkt är entydig – dessa beslut fattar respektive riksrevisor själ</w:t>
      </w:r>
      <w:r w:rsidR="00414D16" w:rsidRPr="00F26166">
        <w:t>v</w:t>
      </w:r>
      <w:r w:rsidR="00414D16" w:rsidRPr="00F26166">
        <w:t xml:space="preserve">ständigt. Andra stycket </w:t>
      </w:r>
      <w:r w:rsidR="007E12B1" w:rsidRPr="00F26166">
        <w:t xml:space="preserve">bör därför </w:t>
      </w:r>
      <w:r w:rsidR="00414D16" w:rsidRPr="00F26166">
        <w:t>förtydligas i enlighet med den tolkning och tilläm</w:t>
      </w:r>
      <w:r w:rsidR="00414D16" w:rsidRPr="00F26166">
        <w:t>p</w:t>
      </w:r>
      <w:r w:rsidR="00414D16" w:rsidRPr="00F26166">
        <w:t xml:space="preserve">ning av 4 § </w:t>
      </w:r>
      <w:r w:rsidR="005C20BA" w:rsidRPr="00F26166">
        <w:t>instru</w:t>
      </w:r>
      <w:r w:rsidR="005C20BA" w:rsidRPr="00F26166">
        <w:t>k</w:t>
      </w:r>
      <w:r w:rsidR="005C20BA" w:rsidRPr="00F26166">
        <w:t xml:space="preserve">tionen som vi </w:t>
      </w:r>
      <w:r w:rsidR="002E71FE" w:rsidRPr="00F26166">
        <w:t xml:space="preserve">redogjort för ovan. </w:t>
      </w:r>
    </w:p>
    <w:p w:rsidR="0059601D" w:rsidRPr="00F26166" w:rsidRDefault="0059601D" w:rsidP="0059601D">
      <w:pPr>
        <w:pStyle w:val="Normaltindrag"/>
      </w:pPr>
      <w:r w:rsidRPr="00F26166">
        <w:t xml:space="preserve">När </w:t>
      </w:r>
      <w:r w:rsidR="00EC2D1E" w:rsidRPr="00F26166">
        <w:t xml:space="preserve">det </w:t>
      </w:r>
      <w:r w:rsidRPr="00F26166">
        <w:t xml:space="preserve">gäller </w:t>
      </w:r>
      <w:r w:rsidRPr="00F26166">
        <w:rPr>
          <w:i/>
        </w:rPr>
        <w:t xml:space="preserve">granskningsplanen </w:t>
      </w:r>
      <w:r w:rsidRPr="00F26166">
        <w:t>föreslår vi att skrivningen i 4 § fjärde stycket instruktionen, som reglerar vilka beslut som ska  redovisas i grans</w:t>
      </w:r>
      <w:r w:rsidRPr="00F26166">
        <w:t>k</w:t>
      </w:r>
      <w:r w:rsidRPr="00F26166">
        <w:t>ningspl</w:t>
      </w:r>
      <w:r w:rsidRPr="00F26166">
        <w:t>a</w:t>
      </w:r>
      <w:r w:rsidRPr="00F26166">
        <w:t xml:space="preserve">nen, flyttas upp till första stycket som en andra mening. </w:t>
      </w:r>
    </w:p>
    <w:p w:rsidR="0059601D" w:rsidRPr="00F26166" w:rsidRDefault="0059601D" w:rsidP="0059601D">
      <w:pPr>
        <w:pStyle w:val="Normaltindrag"/>
      </w:pPr>
      <w:r w:rsidRPr="00F26166">
        <w:t>Granskningsplanen är ett av de viktigare styrdokumenten för Riksrevisi</w:t>
      </w:r>
      <w:r w:rsidRPr="00F26166">
        <w:t>o</w:t>
      </w:r>
      <w:r w:rsidRPr="00F26166">
        <w:t>nens granskningsver</w:t>
      </w:r>
      <w:r w:rsidRPr="00F26166">
        <w:t>k</w:t>
      </w:r>
      <w:r w:rsidRPr="00F26166">
        <w:t>samhet. Riksrevisionens granskningsplan ligger till grund för den närmare planeringen av verksa</w:t>
      </w:r>
      <w:r w:rsidRPr="00F26166">
        <w:t>m</w:t>
      </w:r>
      <w:r w:rsidRPr="00F26166">
        <w:t>heten inklusive valet av vilka objekt som ska granskas och inriktning av granskningarna. Styre</w:t>
      </w:r>
      <w:r w:rsidRPr="00F26166">
        <w:t>l</w:t>
      </w:r>
      <w:r w:rsidRPr="00F26166">
        <w:t>sen yttrar sig över förslaget till granskningsplan och Riksrevisionen ska för styrelsen bl.a. redovisa hur grans</w:t>
      </w:r>
      <w:r w:rsidRPr="00F26166">
        <w:t>k</w:t>
      </w:r>
      <w:r w:rsidRPr="00F26166">
        <w:t xml:space="preserve">ningsplanen följs. </w:t>
      </w:r>
    </w:p>
    <w:p w:rsidR="0059601D" w:rsidRPr="00F26166" w:rsidRDefault="0059601D" w:rsidP="0059601D">
      <w:pPr>
        <w:pStyle w:val="Normaltindrag"/>
      </w:pPr>
      <w:r w:rsidRPr="00F26166">
        <w:t>I den ursprungliga författningskommentaren till 4 § instruktionen</w:t>
      </w:r>
      <w:r w:rsidRPr="00F26166">
        <w:rPr>
          <w:rStyle w:val="Fotnotsreferens"/>
        </w:rPr>
        <w:footnoteReference w:id="4"/>
      </w:r>
      <w:r w:rsidRPr="00F26166">
        <w:t>, dvs. före lagändringen beskriven ovan då den tidigare 5 § instruktionen införliv</w:t>
      </w:r>
      <w:r w:rsidRPr="00F26166">
        <w:t>a</w:t>
      </w:r>
      <w:r w:rsidRPr="00F26166">
        <w:t>des i 4 §, framgår att riksrevisorernas beslut enligt lagrummet ska redovisas i en granskningsplan. Val av granskningsobjekt, val av granskningsmetod och rev</w:t>
      </w:r>
      <w:r w:rsidRPr="00F26166">
        <w:t>i</w:t>
      </w:r>
      <w:r w:rsidRPr="00F26166">
        <w:t>sionens slutsatser omfattades dock ursprungligen inte av 4 § eftersom de</w:t>
      </w:r>
      <w:r w:rsidR="000A73A5" w:rsidRPr="00F26166">
        <w:t>t</w:t>
      </w:r>
      <w:r w:rsidRPr="00F26166">
        <w:t xml:space="preserve"> regl</w:t>
      </w:r>
      <w:r w:rsidRPr="00F26166">
        <w:t>e</w:t>
      </w:r>
      <w:r w:rsidRPr="00F26166">
        <w:t>rades i 5 § (som numera utgör tredje stycket i 4 §) – dessa beslut fattas av respektive riksrevisor. Före lagändringen var det således tydligt att de beslut som respektive riksrevisor självständigt fattar inom sitt granskningso</w:t>
      </w:r>
      <w:r w:rsidRPr="00F26166">
        <w:t>m</w:t>
      </w:r>
      <w:r w:rsidRPr="00F26166">
        <w:t>råde inte skulle ingå i grans</w:t>
      </w:r>
      <w:r w:rsidRPr="00F26166">
        <w:t>k</w:t>
      </w:r>
      <w:r w:rsidRPr="00F26166">
        <w:t>ningsplanen.</w:t>
      </w:r>
    </w:p>
    <w:p w:rsidR="0059601D" w:rsidRPr="00F26166" w:rsidRDefault="0059601D" w:rsidP="0059601D">
      <w:pPr>
        <w:pStyle w:val="Normaltindrag"/>
      </w:pPr>
      <w:r w:rsidRPr="00F26166">
        <w:t>Enligt vår uppfattning ska endast de beslut som fattas gemensamt av rik</w:t>
      </w:r>
      <w:r w:rsidRPr="00F26166">
        <w:t>s</w:t>
      </w:r>
      <w:r w:rsidRPr="00F26166">
        <w:t xml:space="preserve">revisorerna redovisas i granskningsplanen. </w:t>
      </w:r>
      <w:r w:rsidR="00B6455F" w:rsidRPr="00F26166">
        <w:t>Vi har i utformningen av grans</w:t>
      </w:r>
      <w:r w:rsidR="00B6455F" w:rsidRPr="00F26166">
        <w:t>k</w:t>
      </w:r>
      <w:r w:rsidR="0075214F" w:rsidRPr="00F26166">
        <w:t>ningsplanerna för 2004–</w:t>
      </w:r>
      <w:r w:rsidR="00B6455F" w:rsidRPr="00F26166">
        <w:t xml:space="preserve">2006 följt denna tolkning. </w:t>
      </w:r>
      <w:r w:rsidRPr="00F26166">
        <w:t>Med hänsyn till systemat</w:t>
      </w:r>
      <w:r w:rsidRPr="00F26166">
        <w:t>i</w:t>
      </w:r>
      <w:r w:rsidRPr="00F26166">
        <w:t xml:space="preserve">ken i lagrummet kan det </w:t>
      </w:r>
      <w:r w:rsidR="003025FE" w:rsidRPr="00F26166">
        <w:t>för närvarande</w:t>
      </w:r>
      <w:r w:rsidRPr="00F26166">
        <w:t xml:space="preserve"> misstolkas så att b</w:t>
      </w:r>
      <w:r w:rsidRPr="00F26166">
        <w:t>e</w:t>
      </w:r>
      <w:r w:rsidRPr="00F26166">
        <w:t xml:space="preserve">tydligt fler beslut än vad som avsågs ska komma att ingå i granskningsplanen. </w:t>
      </w:r>
    </w:p>
    <w:p w:rsidR="0059601D" w:rsidRPr="00F26166" w:rsidRDefault="0059601D" w:rsidP="0059601D">
      <w:pPr>
        <w:pStyle w:val="Normaltindrag"/>
      </w:pPr>
      <w:r w:rsidRPr="00F26166">
        <w:t>Mot bakgrund av granskningsplanens vikt som styrdokument bör 4 § i</w:t>
      </w:r>
      <w:r w:rsidRPr="00F26166">
        <w:t>n</w:t>
      </w:r>
      <w:r w:rsidRPr="00F26166">
        <w:t>struktionen förtydligas så att den avspeglar såväl avsikten uttalad i förarbet</w:t>
      </w:r>
      <w:r w:rsidRPr="00F26166">
        <w:t>e</w:t>
      </w:r>
      <w:r w:rsidRPr="00F26166">
        <w:t>na som den praxis som utvecklats inom Riksrevisionen</w:t>
      </w:r>
      <w:r w:rsidR="0039387C" w:rsidRPr="00F26166">
        <w:t>.</w:t>
      </w:r>
    </w:p>
    <w:p w:rsidR="00414D16" w:rsidRPr="00F26166" w:rsidRDefault="00414D16" w:rsidP="002E71FE">
      <w:pPr>
        <w:pStyle w:val="Rubrik3"/>
        <w:rPr>
          <w:noProof w:val="0"/>
        </w:rPr>
      </w:pPr>
      <w:bookmarkStart w:id="17" w:name="_Toc135727070"/>
      <w:r w:rsidRPr="00F26166">
        <w:rPr>
          <w:noProof w:val="0"/>
        </w:rPr>
        <w:t xml:space="preserve">Riksrevisionens opartiskhet </w:t>
      </w:r>
      <w:r w:rsidR="007E12B1" w:rsidRPr="00F26166">
        <w:rPr>
          <w:noProof w:val="0"/>
        </w:rPr>
        <w:t>och självständighet</w:t>
      </w:r>
      <w:bookmarkEnd w:id="17"/>
    </w:p>
    <w:p w:rsidR="00102F84" w:rsidRPr="00F26166" w:rsidRDefault="00102F84" w:rsidP="00102F84">
      <w:pPr>
        <w:pStyle w:val="Utskottsfrslagikorthet-Rubrik"/>
        <w:rPr>
          <w:noProof w:val="0"/>
        </w:rPr>
      </w:pPr>
      <w:r w:rsidRPr="00F26166">
        <w:rPr>
          <w:noProof w:val="0"/>
        </w:rPr>
        <w:t>Vårt förslag i korthet</w:t>
      </w:r>
    </w:p>
    <w:p w:rsidR="00102F84" w:rsidRPr="00F26166" w:rsidRDefault="00102F84" w:rsidP="00102F84">
      <w:pPr>
        <w:pStyle w:val="Utskottsfrslagikorthet-Text"/>
      </w:pPr>
      <w:r w:rsidRPr="00F26166">
        <w:t>Vi föreslår dels ett förbud för riksrevisorerna att äga aktier i statliga bolag som utgör granskningsobjekt</w:t>
      </w:r>
      <w:r w:rsidR="00DF29DF" w:rsidRPr="00F26166">
        <w:t xml:space="preserve">, </w:t>
      </w:r>
      <w:r w:rsidRPr="00F26166">
        <w:t>dels en utökad anmälning</w:t>
      </w:r>
      <w:r w:rsidRPr="00F26166">
        <w:t>s</w:t>
      </w:r>
      <w:r w:rsidRPr="00F26166">
        <w:t>skyldighet av finansiella instrument för såväl riksrevisorerna som anställda med sä</w:t>
      </w:r>
      <w:r w:rsidRPr="00F26166">
        <w:t>r</w:t>
      </w:r>
      <w:r w:rsidRPr="00F26166">
        <w:t>skild insynsställning.</w:t>
      </w:r>
    </w:p>
    <w:p w:rsidR="00414D16" w:rsidRPr="00F26166" w:rsidRDefault="00800315" w:rsidP="00BF35EA">
      <w:r w:rsidRPr="00F26166">
        <w:t xml:space="preserve">Som skäl för förslaget vill vi anföra följande. </w:t>
      </w:r>
      <w:r w:rsidR="00414D16" w:rsidRPr="00F26166">
        <w:t>Riksrevisionen granskar den statliga ver</w:t>
      </w:r>
      <w:r w:rsidR="00414D16" w:rsidRPr="00F26166">
        <w:t>k</w:t>
      </w:r>
      <w:r w:rsidR="00414D16" w:rsidRPr="00F26166">
        <w:t>samheten</w:t>
      </w:r>
      <w:r w:rsidR="00E74E52" w:rsidRPr="00F26166">
        <w:t>,</w:t>
      </w:r>
      <w:r w:rsidR="00414D16" w:rsidRPr="00F26166">
        <w:t xml:space="preserve"> vilket bl.a. även innefat</w:t>
      </w:r>
      <w:r w:rsidR="005C20BA" w:rsidRPr="00F26166">
        <w:t>ta</w:t>
      </w:r>
      <w:r w:rsidR="00C578A1" w:rsidRPr="00F26166">
        <w:t>r</w:t>
      </w:r>
      <w:r w:rsidR="005C20BA" w:rsidRPr="00F26166">
        <w:t xml:space="preserve"> statliga bolag. T</w:t>
      </w:r>
      <w:r w:rsidR="00414D16" w:rsidRPr="00F26166">
        <w:t>illtron till såväl riksrev</w:t>
      </w:r>
      <w:r w:rsidR="00414D16" w:rsidRPr="00F26166">
        <w:t>i</w:t>
      </w:r>
      <w:r w:rsidR="00414D16" w:rsidRPr="00F26166">
        <w:t xml:space="preserve">sorers </w:t>
      </w:r>
      <w:r w:rsidR="00BA1568" w:rsidRPr="00F26166">
        <w:t xml:space="preserve">som </w:t>
      </w:r>
      <w:r w:rsidR="00414D16" w:rsidRPr="00F26166">
        <w:t>övriga anställda</w:t>
      </w:r>
      <w:r w:rsidR="005C20BA" w:rsidRPr="00F26166">
        <w:t>s</w:t>
      </w:r>
      <w:r w:rsidR="00414D16" w:rsidRPr="00F26166">
        <w:t xml:space="preserve"> </w:t>
      </w:r>
      <w:r w:rsidR="005C20BA" w:rsidRPr="00F26166">
        <w:t xml:space="preserve">opartiskhet </w:t>
      </w:r>
      <w:r w:rsidR="00414D16" w:rsidRPr="00F26166">
        <w:t xml:space="preserve">och självständighet </w:t>
      </w:r>
      <w:r w:rsidR="005C20BA" w:rsidRPr="00F26166">
        <w:t>är enligt vår m</w:t>
      </w:r>
      <w:r w:rsidR="005C20BA" w:rsidRPr="00F26166">
        <w:t>e</w:t>
      </w:r>
      <w:r w:rsidR="005C20BA" w:rsidRPr="00F26166">
        <w:t xml:space="preserve">ning av stor vikt. </w:t>
      </w:r>
    </w:p>
    <w:p w:rsidR="00414D16" w:rsidRPr="00F26166" w:rsidRDefault="00600F3B" w:rsidP="002E71FE">
      <w:pPr>
        <w:pStyle w:val="Normaltindrag"/>
      </w:pPr>
      <w:r w:rsidRPr="00F26166">
        <w:t>Beträffande</w:t>
      </w:r>
      <w:r w:rsidR="002E71FE" w:rsidRPr="00F26166">
        <w:t xml:space="preserve"> </w:t>
      </w:r>
      <w:r w:rsidR="002E71FE" w:rsidRPr="00F26166">
        <w:rPr>
          <w:i/>
        </w:rPr>
        <w:t xml:space="preserve">riksrevisorerna </w:t>
      </w:r>
      <w:r w:rsidR="002E71FE" w:rsidRPr="00F26166">
        <w:t xml:space="preserve">gäller att en riksrevisor </w:t>
      </w:r>
      <w:r w:rsidR="00414D16" w:rsidRPr="00F26166">
        <w:t xml:space="preserve">enligt 14 § första stycket 1 instruktionen </w:t>
      </w:r>
      <w:r w:rsidRPr="00F26166">
        <w:t xml:space="preserve">är </w:t>
      </w:r>
      <w:r w:rsidR="00414D16" w:rsidRPr="00F26166">
        <w:t>skyldig att anmäla innehav av aktier i ett aktieb</w:t>
      </w:r>
      <w:r w:rsidR="00414D16" w:rsidRPr="00F26166">
        <w:t>o</w:t>
      </w:r>
      <w:r w:rsidR="00414D16" w:rsidRPr="00F26166">
        <w:t xml:space="preserve">lag som avses i 2 § 4 </w:t>
      </w:r>
      <w:r w:rsidR="00BA1568" w:rsidRPr="00F26166">
        <w:t>revisionslagen</w:t>
      </w:r>
      <w:r w:rsidR="00414D16" w:rsidRPr="00F26166">
        <w:t>, dvs. de  aktiebolag som staten har ett b</w:t>
      </w:r>
      <w:r w:rsidR="00414D16" w:rsidRPr="00F26166">
        <w:t>e</w:t>
      </w:r>
      <w:r w:rsidR="00414D16" w:rsidRPr="00F26166">
        <w:t>stämmande inflytande över. Endast de revisorer som Riksrevisionen förordnar att vara revisorer i statliga bolag kan bli underkastade anmälningsskyldighet enligt 3 § 3 och 4 § lagen (2000:1087) om anmälningsskyldighet för vissa innehav av finansiella instrument. Övrig personal, uppdragstagare och fun</w:t>
      </w:r>
      <w:r w:rsidR="00414D16" w:rsidRPr="00F26166">
        <w:t>k</w:t>
      </w:r>
      <w:r w:rsidR="00414D16" w:rsidRPr="00F26166">
        <w:t>tionärer vid Riksrev</w:t>
      </w:r>
      <w:r w:rsidR="00414D16" w:rsidRPr="00F26166">
        <w:t>i</w:t>
      </w:r>
      <w:r w:rsidR="00414D16" w:rsidRPr="00F26166">
        <w:t>sionen omfattas inte av lagarna som nämns ovan. Alla vid Riksrevisionen kan däremot omfattas av bestämmelserna om förbud mot insiderhandel och röja</w:t>
      </w:r>
      <w:r w:rsidR="00414D16" w:rsidRPr="00F26166">
        <w:t>n</w:t>
      </w:r>
      <w:r w:rsidR="00414D16" w:rsidRPr="00F26166">
        <w:t>de av insiderinformation enligt lagen (2005:377) om straff för marknadsmissbruk vid handel med finansiella i</w:t>
      </w:r>
      <w:r w:rsidR="00414D16" w:rsidRPr="00F26166">
        <w:t>n</w:t>
      </w:r>
      <w:r w:rsidR="00414D16" w:rsidRPr="00F26166">
        <w:t>strument.</w:t>
      </w:r>
    </w:p>
    <w:p w:rsidR="00414D16" w:rsidRPr="00F26166" w:rsidRDefault="00414D16" w:rsidP="00C33023">
      <w:pPr>
        <w:pStyle w:val="Normaltindrag"/>
      </w:pPr>
      <w:r w:rsidRPr="00F26166">
        <w:t xml:space="preserve">Reglerna som </w:t>
      </w:r>
      <w:r w:rsidR="008D3610" w:rsidRPr="00F26166">
        <w:t>ska</w:t>
      </w:r>
      <w:r w:rsidRPr="00F26166">
        <w:t xml:space="preserve"> säkerställa en revisors opartiskhet och självständighet inom den privata se</w:t>
      </w:r>
      <w:r w:rsidRPr="00F26166">
        <w:t>k</w:t>
      </w:r>
      <w:r w:rsidRPr="00F26166">
        <w:t>torn slås fast i 20</w:t>
      </w:r>
      <w:r w:rsidR="004C122B" w:rsidRPr="00F26166">
        <w:t>–</w:t>
      </w:r>
      <w:r w:rsidRPr="00F26166">
        <w:t xml:space="preserve">21 §§ revisorslagen (2001:883). Av 21 § första stycket 1a nämnda lag framgår att en revisor </w:t>
      </w:r>
      <w:r w:rsidR="008D3610" w:rsidRPr="00F26166">
        <w:t>ska</w:t>
      </w:r>
      <w:r w:rsidRPr="00F26166">
        <w:t xml:space="preserve"> avböja eller avsäga sig ett uppdrag om han har ett direkt eller indirekt ekonomiskt intresse i up</w:t>
      </w:r>
      <w:r w:rsidRPr="00F26166">
        <w:t>p</w:t>
      </w:r>
      <w:r w:rsidRPr="00F26166">
        <w:t>dragsgivarens verksamhet. I författningskommentaren</w:t>
      </w:r>
      <w:r w:rsidRPr="00F26166">
        <w:rPr>
          <w:rStyle w:val="Fotnotsreferens"/>
        </w:rPr>
        <w:footnoteReference w:id="5"/>
      </w:r>
      <w:r w:rsidRPr="00F26166">
        <w:t xml:space="preserve"> nämns som ett exe</w:t>
      </w:r>
      <w:r w:rsidRPr="00F26166">
        <w:t>m</w:t>
      </w:r>
      <w:r w:rsidRPr="00F26166">
        <w:t>pel på ett egenintresse att revisorn innehar eller handlar med revisionsklie</w:t>
      </w:r>
      <w:r w:rsidRPr="00F26166">
        <w:t>n</w:t>
      </w:r>
      <w:r w:rsidRPr="00F26166">
        <w:t>tens värdepapper. På motsvarande sätt regleras följande i jävsb</w:t>
      </w:r>
      <w:r w:rsidRPr="00F26166">
        <w:t>e</w:t>
      </w:r>
      <w:r w:rsidRPr="00F26166">
        <w:t>stämmelser för revisorer i aktiebolag: Den får inte vara revisor som äger aktier i bolaget eller i annat bolag i samma koncern (9 kap</w:t>
      </w:r>
      <w:r w:rsidR="004C122B" w:rsidRPr="00F26166">
        <w:t>.</w:t>
      </w:r>
      <w:r w:rsidRPr="00F26166">
        <w:t xml:space="preserve"> 17 § 1 aktiebolagsl</w:t>
      </w:r>
      <w:r w:rsidRPr="00F26166">
        <w:t>a</w:t>
      </w:r>
      <w:r w:rsidRPr="00F26166">
        <w:t>gen (2005:551)).</w:t>
      </w:r>
    </w:p>
    <w:p w:rsidR="00414D16" w:rsidRPr="00F26166" w:rsidRDefault="00F346CE" w:rsidP="00C33023">
      <w:pPr>
        <w:pStyle w:val="Normaltindrag"/>
      </w:pPr>
      <w:r w:rsidRPr="00F26166">
        <w:t xml:space="preserve">Vi </w:t>
      </w:r>
      <w:r w:rsidR="00414D16" w:rsidRPr="00F26166">
        <w:t>anser att det är en självklarhet att en motsvarande regel som den ova</w:t>
      </w:r>
      <w:r w:rsidR="00414D16" w:rsidRPr="00F26166">
        <w:t>n</w:t>
      </w:r>
      <w:r w:rsidR="00414D16" w:rsidRPr="00F26166">
        <w:t>nämnda, som gäller för den privata sektorn, även ska gälla för den statliga rev</w:t>
      </w:r>
      <w:r w:rsidR="00414D16" w:rsidRPr="00F26166">
        <w:t>i</w:t>
      </w:r>
      <w:r w:rsidR="00414D16" w:rsidRPr="00F26166">
        <w:t xml:space="preserve">sionen såvitt gäller riksrevisorerna. </w:t>
      </w:r>
      <w:r w:rsidR="00DE3CA0" w:rsidRPr="00F26166">
        <w:t>Eftersom riksrevisorernas ansvar för Riksrevisionens granskningsverksamhet följer av lag och möjli</w:t>
      </w:r>
      <w:r w:rsidR="00DE3CA0" w:rsidRPr="00F26166">
        <w:t>g</w:t>
      </w:r>
      <w:r w:rsidR="00DE3CA0" w:rsidRPr="00F26166">
        <w:t xml:space="preserve">heten att, som i den privata sektorn, ”avböja eller avsäga sig ett uppdrag” inte föreligger  bör det </w:t>
      </w:r>
      <w:r w:rsidR="00197712" w:rsidRPr="00F26166">
        <w:t xml:space="preserve">i instruktionen </w:t>
      </w:r>
      <w:r w:rsidR="00DE3CA0" w:rsidRPr="00F26166">
        <w:t>införas ett uttryckligt förbud för riksr</w:t>
      </w:r>
      <w:r w:rsidR="00DE3CA0" w:rsidRPr="00F26166">
        <w:t>e</w:t>
      </w:r>
      <w:r w:rsidR="00DE3CA0" w:rsidRPr="00F26166">
        <w:t>visorerna att inneha aktier i ett granskningsobjekt</w:t>
      </w:r>
      <w:r w:rsidR="004C122B" w:rsidRPr="00F26166">
        <w:t>.</w:t>
      </w:r>
    </w:p>
    <w:p w:rsidR="00102F84" w:rsidRPr="00F26166" w:rsidRDefault="00414D16" w:rsidP="00C33023">
      <w:pPr>
        <w:pStyle w:val="Normaltindrag"/>
      </w:pPr>
      <w:r w:rsidRPr="00F26166">
        <w:t>I sin granskningsverksamhet kan både riksrevisorer och andra medarb</w:t>
      </w:r>
      <w:r w:rsidRPr="00F26166">
        <w:t>e</w:t>
      </w:r>
      <w:r w:rsidRPr="00F26166">
        <w:t xml:space="preserve">tare vid Riksrevisionen få </w:t>
      </w:r>
      <w:r w:rsidR="004A40DA" w:rsidRPr="00F26166">
        <w:t>information om</w:t>
      </w:r>
      <w:r w:rsidRPr="00F26166">
        <w:t xml:space="preserve"> </w:t>
      </w:r>
      <w:r w:rsidR="004A40DA" w:rsidRPr="00F26166">
        <w:t xml:space="preserve">inte offentliggjorda eller allmänt kända omständigheter </w:t>
      </w:r>
      <w:r w:rsidRPr="00F26166">
        <w:t xml:space="preserve">som skulle kunna </w:t>
      </w:r>
      <w:r w:rsidR="004A40DA" w:rsidRPr="00F26166">
        <w:t>vara ägnad att väsentligt påverka priset på finansiella instrument</w:t>
      </w:r>
      <w:r w:rsidR="00455773" w:rsidRPr="00F26166">
        <w:t xml:space="preserve">, s.k. insiderinformation. Eftersom </w:t>
      </w:r>
      <w:r w:rsidRPr="00F26166">
        <w:t>förtroendet för Rik</w:t>
      </w:r>
      <w:r w:rsidRPr="00F26166">
        <w:t>s</w:t>
      </w:r>
      <w:r w:rsidRPr="00F26166">
        <w:t xml:space="preserve">revisionens oberoende är av så stor vikt föreslår </w:t>
      </w:r>
      <w:r w:rsidR="00455773" w:rsidRPr="00F26166">
        <w:t xml:space="preserve">vi </w:t>
      </w:r>
      <w:r w:rsidRPr="00F26166">
        <w:t>en utökad anmälnings</w:t>
      </w:r>
      <w:r w:rsidRPr="00F26166">
        <w:softHyphen/>
        <w:t>skyldighet för riksrevisorerna</w:t>
      </w:r>
      <w:r w:rsidR="00455773" w:rsidRPr="00F26166">
        <w:t xml:space="preserve"> såvitt gäller deras</w:t>
      </w:r>
      <w:r w:rsidRPr="00F26166">
        <w:t xml:space="preserve"> innehav av finansiella i</w:t>
      </w:r>
      <w:r w:rsidRPr="00F26166">
        <w:t>n</w:t>
      </w:r>
      <w:r w:rsidRPr="00F26166">
        <w:t xml:space="preserve">strument. </w:t>
      </w:r>
    </w:p>
    <w:p w:rsidR="00414D16" w:rsidRPr="00F26166" w:rsidRDefault="00102F84" w:rsidP="00C33023">
      <w:pPr>
        <w:pStyle w:val="Normaltindrag"/>
      </w:pPr>
      <w:r w:rsidRPr="00F26166">
        <w:t>Förslaget till ändring i 14 § instruktionen innebär att 8.12.2 riksdagsor</w:t>
      </w:r>
      <w:r w:rsidRPr="00F26166">
        <w:t>d</w:t>
      </w:r>
      <w:r w:rsidRPr="00F26166">
        <w:t>ningen behöver ändras på motsvarande sätt.</w:t>
      </w:r>
      <w:r w:rsidR="00414D16" w:rsidRPr="00F26166">
        <w:t xml:space="preserve"> </w:t>
      </w:r>
    </w:p>
    <w:p w:rsidR="00414D16" w:rsidRPr="00F26166" w:rsidRDefault="00600F3B" w:rsidP="00600F3B">
      <w:pPr>
        <w:pStyle w:val="Normaltindrag"/>
      </w:pPr>
      <w:r w:rsidRPr="00F26166">
        <w:t xml:space="preserve">När det gäller </w:t>
      </w:r>
      <w:r w:rsidRPr="00F26166">
        <w:rPr>
          <w:i/>
        </w:rPr>
        <w:t>a</w:t>
      </w:r>
      <w:r w:rsidR="00414D16" w:rsidRPr="00F26166">
        <w:rPr>
          <w:i/>
        </w:rPr>
        <w:t>nställda inom Riksrevisionen</w:t>
      </w:r>
      <w:r w:rsidRPr="00F26166">
        <w:rPr>
          <w:i/>
        </w:rPr>
        <w:t xml:space="preserve"> </w:t>
      </w:r>
      <w:r w:rsidR="00414D16" w:rsidRPr="00F26166">
        <w:t xml:space="preserve">föreslår </w:t>
      </w:r>
      <w:r w:rsidRPr="00F26166">
        <w:t xml:space="preserve">vi </w:t>
      </w:r>
      <w:r w:rsidR="00414D16" w:rsidRPr="00F26166">
        <w:t>att en anmälning</w:t>
      </w:r>
      <w:r w:rsidR="00414D16" w:rsidRPr="00F26166">
        <w:t>s</w:t>
      </w:r>
      <w:r w:rsidR="00414D16" w:rsidRPr="00F26166">
        <w:t>skyldighet för arbetstagare, uppdragstagare och andra funktionärer vid Rik</w:t>
      </w:r>
      <w:r w:rsidR="00414D16" w:rsidRPr="00F26166">
        <w:t>s</w:t>
      </w:r>
      <w:r w:rsidR="00414D16" w:rsidRPr="00F26166">
        <w:t>revisionen med särskild insyn</w:t>
      </w:r>
      <w:r w:rsidR="00414D16" w:rsidRPr="00F26166">
        <w:t>s</w:t>
      </w:r>
      <w:r w:rsidR="00414D16" w:rsidRPr="00F26166">
        <w:t xml:space="preserve">ställning införs. </w:t>
      </w:r>
    </w:p>
    <w:p w:rsidR="00414D16" w:rsidRPr="00F26166" w:rsidRDefault="00414D16" w:rsidP="00C33023">
      <w:pPr>
        <w:pStyle w:val="Normaltindrag"/>
      </w:pPr>
      <w:r w:rsidRPr="00F26166">
        <w:t>Med stöd av 11 § lagen (2000:1087) om anmälningsskyldighet för vissa innehav av finansiella instrument har regeringen beslutat att ett 30-tal my</w:t>
      </w:r>
      <w:r w:rsidRPr="00F26166">
        <w:t>n</w:t>
      </w:r>
      <w:r w:rsidRPr="00F26166">
        <w:t xml:space="preserve">digheter under regeringen </w:t>
      </w:r>
      <w:r w:rsidR="008D3610" w:rsidRPr="00F26166">
        <w:t>ska</w:t>
      </w:r>
      <w:r w:rsidRPr="00F26166">
        <w:t xml:space="preserve"> föra förteckning över innehav av finansiella i</w:t>
      </w:r>
      <w:r w:rsidRPr="00F26166">
        <w:t>n</w:t>
      </w:r>
      <w:r w:rsidRPr="00F26166">
        <w:t xml:space="preserve">strument (se regeringens beslut den 26 september 2002 (Fi2002/3407)). Som följd av detta </w:t>
      </w:r>
      <w:r w:rsidR="008D3610" w:rsidRPr="00F26166">
        <w:t>ska</w:t>
      </w:r>
      <w:r w:rsidRPr="00F26166">
        <w:t xml:space="preserve"> de som omfattas av sådan förteckning till myndigheten skriftl</w:t>
      </w:r>
      <w:r w:rsidRPr="00F26166">
        <w:t>i</w:t>
      </w:r>
      <w:r w:rsidRPr="00F26166">
        <w:t>gen anmäla sitt innehav av finansiella instrument (11 § tredje stycket). Som upplysning kan nämnas att dåvarande Riksrevisionsverket, som myndi</w:t>
      </w:r>
      <w:r w:rsidRPr="00F26166">
        <w:t>g</w:t>
      </w:r>
      <w:r w:rsidRPr="00F26166">
        <w:t>het under regeringen, omfattades av regeringens beslut. Någon motsvarande reglering infördes aldrig i samband med bildandet av Riksrevisionen. För</w:t>
      </w:r>
      <w:r w:rsidRPr="00F26166">
        <w:t>e</w:t>
      </w:r>
      <w:r w:rsidRPr="00F26166">
        <w:t>kom</w:t>
      </w:r>
      <w:r w:rsidRPr="00F26166">
        <w:t>s</w:t>
      </w:r>
      <w:r w:rsidRPr="00F26166">
        <w:t>ten av kurspåverkande information i gransknings</w:t>
      </w:r>
      <w:r w:rsidRPr="00F26166">
        <w:softHyphen/>
        <w:t xml:space="preserve">verksamheten har dock inte förändrats. Det är därför </w:t>
      </w:r>
      <w:r w:rsidR="00C33023" w:rsidRPr="00F26166">
        <w:t xml:space="preserve">enligt vår mening </w:t>
      </w:r>
      <w:r w:rsidRPr="00F26166">
        <w:t>angeläget att en bestämmelse motsvarande den för myndigheter under regeringen införs även för Riksrev</w:t>
      </w:r>
      <w:r w:rsidRPr="00F26166">
        <w:t>i</w:t>
      </w:r>
      <w:r w:rsidRPr="00F26166">
        <w:t>sionen.</w:t>
      </w:r>
    </w:p>
    <w:p w:rsidR="00414D16" w:rsidRPr="00F26166" w:rsidRDefault="00414D16" w:rsidP="00C33023">
      <w:pPr>
        <w:pStyle w:val="Normaltindrag"/>
      </w:pPr>
      <w:r w:rsidRPr="00F26166">
        <w:t>Eftersom en anmälningsskyldighet handlar om statstjänstemännens rätt</w:t>
      </w:r>
      <w:r w:rsidRPr="00F26166">
        <w:t>s</w:t>
      </w:r>
      <w:r w:rsidRPr="00F26166">
        <w:t xml:space="preserve">ställning måste den i enlighet med 11 kap. 10 § RF regleras i lag. Frågan om vilka som </w:t>
      </w:r>
      <w:r w:rsidR="008D3610" w:rsidRPr="00F26166">
        <w:t>ska</w:t>
      </w:r>
      <w:r w:rsidRPr="00F26166">
        <w:t xml:space="preserve"> anses omfattas av begreppet ”särskild insynsställning” bör b</w:t>
      </w:r>
      <w:r w:rsidRPr="00F26166">
        <w:t>e</w:t>
      </w:r>
      <w:r w:rsidRPr="00F26166">
        <w:t xml:space="preserve">slutas gemensamt </w:t>
      </w:r>
      <w:r w:rsidR="008C63FA" w:rsidRPr="00F26166">
        <w:t>av de tre riksrevisorerna.</w:t>
      </w:r>
    </w:p>
    <w:p w:rsidR="00BF35EA" w:rsidRPr="00F26166" w:rsidRDefault="00BF35EA" w:rsidP="00BF35EA"/>
    <w:p w:rsidR="00BF35EA" w:rsidRPr="00F26166" w:rsidRDefault="00BF35EA" w:rsidP="00BF35EA">
      <w:pPr>
        <w:sectPr w:rsidR="00BF35EA" w:rsidRPr="00F26166" w:rsidSect="00925DE8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BF35EA" w:rsidRPr="00F26166" w:rsidRDefault="00DB1DEB" w:rsidP="00BF35EA">
      <w:pPr>
        <w:pStyle w:val="Bilaga"/>
      </w:pPr>
      <w:r w:rsidRPr="00F26166">
        <w:t>Bilaga</w:t>
      </w:r>
    </w:p>
    <w:p w:rsidR="006F718A" w:rsidRPr="00F26166" w:rsidRDefault="000F74D3" w:rsidP="006F718A">
      <w:pPr>
        <w:pStyle w:val="Rubrik1"/>
        <w:rPr>
          <w:noProof w:val="0"/>
        </w:rPr>
      </w:pPr>
      <w:bookmarkStart w:id="18" w:name="_Toc135727071"/>
      <w:r w:rsidRPr="00F26166">
        <w:rPr>
          <w:noProof w:val="0"/>
        </w:rPr>
        <w:t>Lagtext</w:t>
      </w:r>
      <w:bookmarkEnd w:id="18"/>
    </w:p>
    <w:p w:rsidR="000F74D3" w:rsidRPr="00F26166" w:rsidRDefault="000F74D3" w:rsidP="000F74D3">
      <w:pPr>
        <w:rPr>
          <w:szCs w:val="19"/>
        </w:rPr>
      </w:pPr>
      <w:r w:rsidRPr="00F26166">
        <w:rPr>
          <w:szCs w:val="19"/>
        </w:rPr>
        <w:t>Riksrevisorerna har följande förslag till lagtext</w:t>
      </w:r>
      <w:r w:rsidR="00AA0CA0" w:rsidRPr="00F26166">
        <w:rPr>
          <w:szCs w:val="19"/>
        </w:rPr>
        <w:t>.</w:t>
      </w:r>
    </w:p>
    <w:p w:rsidR="000F74D3" w:rsidRPr="00F26166" w:rsidRDefault="000F74D3" w:rsidP="000F74D3"/>
    <w:p w:rsidR="00D32566" w:rsidRPr="00F26166" w:rsidRDefault="00D32566" w:rsidP="00BF35EA">
      <w:pPr>
        <w:pStyle w:val="Rubrik2"/>
        <w:spacing w:before="0"/>
      </w:pPr>
      <w:bookmarkStart w:id="19" w:name="_Toc135727072"/>
      <w:r w:rsidRPr="00F26166">
        <w:t xml:space="preserve">1.1 Förslag till </w:t>
      </w:r>
      <w:r w:rsidR="00A03DF8" w:rsidRPr="00F26166">
        <w:t xml:space="preserve">lag om </w:t>
      </w:r>
      <w:r w:rsidRPr="00F26166">
        <w:t>ändring i lagen (2002:1022) om revision av statlig verksamhet m.m.</w:t>
      </w:r>
      <w:bookmarkEnd w:id="19"/>
    </w:p>
    <w:p w:rsidR="00414D16" w:rsidRPr="00F26166" w:rsidRDefault="00414D16" w:rsidP="00414D16">
      <w:pPr>
        <w:rPr>
          <w:szCs w:val="19"/>
        </w:rPr>
      </w:pPr>
      <w:r w:rsidRPr="00F26166">
        <w:rPr>
          <w:szCs w:val="19"/>
        </w:rPr>
        <w:t xml:space="preserve">Härigenom </w:t>
      </w:r>
      <w:r w:rsidR="00692B1F" w:rsidRPr="00F26166">
        <w:rPr>
          <w:szCs w:val="19"/>
        </w:rPr>
        <w:t>föreskrivs</w:t>
      </w:r>
      <w:r w:rsidRPr="00F26166">
        <w:rPr>
          <w:szCs w:val="19"/>
        </w:rPr>
        <w:t xml:space="preserve"> att 3 § </w:t>
      </w:r>
      <w:r w:rsidR="008D3610" w:rsidRPr="00F26166">
        <w:rPr>
          <w:szCs w:val="19"/>
        </w:rPr>
        <w:t>ska</w:t>
      </w:r>
      <w:r w:rsidRPr="00F26166">
        <w:rPr>
          <w:szCs w:val="19"/>
        </w:rPr>
        <w:t xml:space="preserve"> ha följande l</w:t>
      </w:r>
      <w:r w:rsidRPr="00F26166">
        <w:rPr>
          <w:szCs w:val="19"/>
        </w:rPr>
        <w:t>y</w:t>
      </w:r>
      <w:r w:rsidRPr="00F26166">
        <w:rPr>
          <w:szCs w:val="19"/>
        </w:rPr>
        <w:t>delse.</w:t>
      </w:r>
    </w:p>
    <w:tbl>
      <w:tblPr>
        <w:tblW w:w="618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90"/>
        <w:gridCol w:w="3090"/>
      </w:tblGrid>
      <w:tr w:rsidR="00BF35EA" w:rsidRPr="00F2616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90" w:type="dxa"/>
          </w:tcPr>
          <w:p w:rsidR="00BF35EA" w:rsidRPr="00F26166" w:rsidRDefault="00BF35EA" w:rsidP="00D9757D">
            <w:pPr>
              <w:pStyle w:val="LagtextRubrik"/>
              <w:spacing w:before="125"/>
            </w:pPr>
            <w:r w:rsidRPr="00F26166">
              <w:t>Nuvarande lydelse</w:t>
            </w:r>
          </w:p>
        </w:tc>
        <w:tc>
          <w:tcPr>
            <w:tcW w:w="3090" w:type="dxa"/>
          </w:tcPr>
          <w:p w:rsidR="00BF35EA" w:rsidRPr="00F26166" w:rsidRDefault="00BF35EA" w:rsidP="00D9757D">
            <w:pPr>
              <w:pStyle w:val="LagtextRubrik"/>
              <w:spacing w:before="125"/>
            </w:pPr>
            <w:r w:rsidRPr="00F26166">
              <w:t>Föreslagen lydelse</w:t>
            </w:r>
          </w:p>
        </w:tc>
      </w:tr>
      <w:tr w:rsidR="00BF35EA" w:rsidRPr="00F2616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80" w:type="dxa"/>
            <w:gridSpan w:val="2"/>
          </w:tcPr>
          <w:p w:rsidR="00BF35EA" w:rsidRPr="00F26166" w:rsidRDefault="00BF35EA" w:rsidP="00BF35EA">
            <w:pPr>
              <w:pStyle w:val="Lagtext"/>
              <w:jc w:val="center"/>
            </w:pPr>
            <w:r w:rsidRPr="00F26166">
              <w:t>3  §</w:t>
            </w:r>
          </w:p>
        </w:tc>
      </w:tr>
      <w:tr w:rsidR="00BF35EA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BF35EA" w:rsidRPr="00F26166" w:rsidRDefault="00BF35EA" w:rsidP="00BF35EA">
            <w:pPr>
              <w:pStyle w:val="LagtextIndrag"/>
            </w:pPr>
            <w:r w:rsidRPr="00F26166">
              <w:rPr>
                <w:szCs w:val="19"/>
              </w:rPr>
              <w:t>Riksrevisionen skall i enlighet med vad som närmare föreskrivs i 5 § granska årsredovisningen för</w:t>
            </w:r>
          </w:p>
        </w:tc>
        <w:tc>
          <w:tcPr>
            <w:tcW w:w="3090" w:type="dxa"/>
          </w:tcPr>
          <w:p w:rsidR="00BF35EA" w:rsidRPr="00F26166" w:rsidRDefault="00BF35EA" w:rsidP="00BF35EA">
            <w:pPr>
              <w:pStyle w:val="LagtextIndrag"/>
            </w:pPr>
            <w:r w:rsidRPr="00F26166">
              <w:rPr>
                <w:szCs w:val="19"/>
              </w:rPr>
              <w:t>Riksrevisionen skall i enlighet med vad som närmare föreskrivs i 5 § granska årsredovisningen för</w:t>
            </w:r>
          </w:p>
        </w:tc>
      </w:tr>
      <w:tr w:rsidR="00BF35EA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BF35EA" w:rsidRPr="00F26166" w:rsidRDefault="00BF35EA" w:rsidP="00BF35EA">
            <w:pPr>
              <w:pStyle w:val="LagtextIndrag"/>
            </w:pPr>
            <w:r w:rsidRPr="00F26166">
              <w:rPr>
                <w:szCs w:val="19"/>
              </w:rPr>
              <w:t xml:space="preserve">1. staten, </w:t>
            </w:r>
          </w:p>
        </w:tc>
        <w:tc>
          <w:tcPr>
            <w:tcW w:w="3090" w:type="dxa"/>
          </w:tcPr>
          <w:p w:rsidR="00BF35EA" w:rsidRPr="00F26166" w:rsidRDefault="00BF35EA" w:rsidP="00BF35EA">
            <w:pPr>
              <w:pStyle w:val="LagtextIndrag"/>
            </w:pPr>
            <w:r w:rsidRPr="00F26166">
              <w:rPr>
                <w:szCs w:val="19"/>
              </w:rPr>
              <w:t xml:space="preserve">1. staten, </w:t>
            </w:r>
          </w:p>
        </w:tc>
      </w:tr>
      <w:tr w:rsidR="00BF35EA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BF35EA" w:rsidRPr="00F26166" w:rsidRDefault="00BF35EA" w:rsidP="00BF35EA">
            <w:pPr>
              <w:pStyle w:val="LagtextIndrag"/>
            </w:pPr>
            <w:r w:rsidRPr="00F26166">
              <w:rPr>
                <w:szCs w:val="19"/>
              </w:rPr>
              <w:t>2. Regeringskansliet och, med u</w:t>
            </w:r>
            <w:r w:rsidRPr="00F26166">
              <w:rPr>
                <w:szCs w:val="19"/>
              </w:rPr>
              <w:t>n</w:t>
            </w:r>
            <w:r w:rsidRPr="00F26166">
              <w:rPr>
                <w:szCs w:val="19"/>
              </w:rPr>
              <w:t>dantag för AP-fonderna, de förval</w:t>
            </w:r>
            <w:r w:rsidRPr="00F26166">
              <w:rPr>
                <w:szCs w:val="19"/>
              </w:rPr>
              <w:t>t</w:t>
            </w:r>
            <w:r w:rsidRPr="00F26166">
              <w:rPr>
                <w:szCs w:val="19"/>
              </w:rPr>
              <w:t xml:space="preserve">ningsmyndigheter som lyder under regeringen, </w:t>
            </w:r>
          </w:p>
        </w:tc>
        <w:tc>
          <w:tcPr>
            <w:tcW w:w="3090" w:type="dxa"/>
          </w:tcPr>
          <w:p w:rsidR="00BF35EA" w:rsidRPr="00F26166" w:rsidRDefault="00BF35EA" w:rsidP="00BF35EA">
            <w:pPr>
              <w:pStyle w:val="LagtextIndrag"/>
            </w:pPr>
            <w:r w:rsidRPr="00F26166">
              <w:rPr>
                <w:szCs w:val="19"/>
              </w:rPr>
              <w:t>2. Regeringskansliet och, med u</w:t>
            </w:r>
            <w:r w:rsidRPr="00F26166">
              <w:rPr>
                <w:szCs w:val="19"/>
              </w:rPr>
              <w:t>n</w:t>
            </w:r>
            <w:r w:rsidRPr="00F26166">
              <w:rPr>
                <w:szCs w:val="19"/>
              </w:rPr>
              <w:t>dantag för AP-fonderna, de förval</w:t>
            </w:r>
            <w:r w:rsidRPr="00F26166">
              <w:rPr>
                <w:szCs w:val="19"/>
              </w:rPr>
              <w:t>t</w:t>
            </w:r>
            <w:r w:rsidRPr="00F26166">
              <w:rPr>
                <w:szCs w:val="19"/>
              </w:rPr>
              <w:t>ning</w:t>
            </w:r>
            <w:r w:rsidRPr="00F26166">
              <w:rPr>
                <w:szCs w:val="19"/>
              </w:rPr>
              <w:t>s</w:t>
            </w:r>
            <w:r w:rsidRPr="00F26166">
              <w:rPr>
                <w:szCs w:val="19"/>
              </w:rPr>
              <w:t>myndigheter som lyder under rege</w:t>
            </w:r>
            <w:r w:rsidRPr="00F26166">
              <w:rPr>
                <w:szCs w:val="19"/>
              </w:rPr>
              <w:t>r</w:t>
            </w:r>
            <w:r w:rsidRPr="00F26166">
              <w:rPr>
                <w:szCs w:val="19"/>
              </w:rPr>
              <w:t xml:space="preserve">ingen, </w:t>
            </w:r>
          </w:p>
        </w:tc>
      </w:tr>
      <w:tr w:rsidR="00BF35EA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BF35EA" w:rsidRPr="00F26166" w:rsidRDefault="00BF35EA" w:rsidP="00BF35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3. riksdagsförvaltningen, Riksd</w:t>
            </w:r>
            <w:r w:rsidRPr="00F26166">
              <w:rPr>
                <w:szCs w:val="19"/>
              </w:rPr>
              <w:t>a</w:t>
            </w:r>
            <w:r w:rsidRPr="00F26166">
              <w:rPr>
                <w:szCs w:val="19"/>
              </w:rPr>
              <w:t>gens ombudsmän, Riksbanken och Stiftelsen Riksbankens Jubileum</w:t>
            </w:r>
            <w:r w:rsidRPr="00F26166">
              <w:rPr>
                <w:szCs w:val="19"/>
              </w:rPr>
              <w:t>s</w:t>
            </w:r>
            <w:r w:rsidRPr="00F26166">
              <w:rPr>
                <w:szCs w:val="19"/>
              </w:rPr>
              <w:t xml:space="preserve">fond, och </w:t>
            </w:r>
          </w:p>
        </w:tc>
        <w:tc>
          <w:tcPr>
            <w:tcW w:w="3090" w:type="dxa"/>
          </w:tcPr>
          <w:p w:rsidR="00BF35EA" w:rsidRPr="00F26166" w:rsidRDefault="00BF35EA" w:rsidP="00BF35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3. riksdagsförvaltningen, Riksd</w:t>
            </w:r>
            <w:r w:rsidRPr="00F26166">
              <w:rPr>
                <w:szCs w:val="19"/>
              </w:rPr>
              <w:t>a</w:t>
            </w:r>
            <w:r w:rsidRPr="00F26166">
              <w:rPr>
                <w:szCs w:val="19"/>
              </w:rPr>
              <w:t>gens ombudsmän, Riksbanken och Stiftelsen Riksbankens Jubileum</w:t>
            </w:r>
            <w:r w:rsidRPr="00F26166">
              <w:rPr>
                <w:szCs w:val="19"/>
              </w:rPr>
              <w:t>s</w:t>
            </w:r>
            <w:r w:rsidRPr="00F26166">
              <w:rPr>
                <w:szCs w:val="19"/>
              </w:rPr>
              <w:t xml:space="preserve">fond, och </w:t>
            </w:r>
          </w:p>
        </w:tc>
      </w:tr>
      <w:tr w:rsidR="00BF35EA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BF35EA" w:rsidRPr="00F26166" w:rsidRDefault="00BF35EA" w:rsidP="00BF35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4. Kungliga Slottsstaten och Kun</w:t>
            </w:r>
            <w:r w:rsidRPr="00F26166">
              <w:rPr>
                <w:szCs w:val="19"/>
              </w:rPr>
              <w:t>g</w:t>
            </w:r>
            <w:r w:rsidRPr="00F26166">
              <w:rPr>
                <w:szCs w:val="19"/>
              </w:rPr>
              <w:t xml:space="preserve">liga Djurgårdens Förvaltning. </w:t>
            </w:r>
          </w:p>
        </w:tc>
        <w:tc>
          <w:tcPr>
            <w:tcW w:w="3090" w:type="dxa"/>
          </w:tcPr>
          <w:p w:rsidR="00BF35EA" w:rsidRPr="00F26166" w:rsidRDefault="00BF35EA" w:rsidP="00BF35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4. Kungliga Slottsstaten och Kun</w:t>
            </w:r>
            <w:r w:rsidRPr="00F26166">
              <w:rPr>
                <w:szCs w:val="19"/>
              </w:rPr>
              <w:t>g</w:t>
            </w:r>
            <w:r w:rsidRPr="00F26166">
              <w:rPr>
                <w:szCs w:val="19"/>
              </w:rPr>
              <w:t xml:space="preserve">liga Djurgårdens Förvaltning. </w:t>
            </w:r>
          </w:p>
        </w:tc>
      </w:tr>
      <w:tr w:rsidR="00BF35EA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BF35EA" w:rsidRPr="00F26166" w:rsidRDefault="008809AB" w:rsidP="00BF35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Om delårsrapport lämnas skall den granskas med undantag för progn</w:t>
            </w:r>
            <w:r w:rsidRPr="00F26166">
              <w:rPr>
                <w:szCs w:val="19"/>
              </w:rPr>
              <w:t>o</w:t>
            </w:r>
            <w:r w:rsidRPr="00F26166">
              <w:rPr>
                <w:szCs w:val="19"/>
              </w:rPr>
              <w:t xml:space="preserve">ser. </w:t>
            </w:r>
          </w:p>
        </w:tc>
        <w:tc>
          <w:tcPr>
            <w:tcW w:w="3090" w:type="dxa"/>
          </w:tcPr>
          <w:p w:rsidR="00BF35EA" w:rsidRPr="00F26166" w:rsidRDefault="00E73104" w:rsidP="00BF35EA">
            <w:pPr>
              <w:pStyle w:val="LagtextIndrag"/>
              <w:rPr>
                <w:szCs w:val="19"/>
              </w:rPr>
            </w:pPr>
            <w:r w:rsidRPr="00F26166">
              <w:rPr>
                <w:i/>
                <w:szCs w:val="19"/>
              </w:rPr>
              <w:t xml:space="preserve">Föreligger en skyldighet att lämna delårsrapport </w:t>
            </w:r>
            <w:r w:rsidR="008809AB" w:rsidRPr="00F26166">
              <w:rPr>
                <w:szCs w:val="19"/>
              </w:rPr>
              <w:t>skall den granskas med undantag för pr</w:t>
            </w:r>
            <w:r w:rsidR="008809AB" w:rsidRPr="00F26166">
              <w:rPr>
                <w:szCs w:val="19"/>
              </w:rPr>
              <w:t>o</w:t>
            </w:r>
            <w:r w:rsidR="008809AB" w:rsidRPr="00F26166">
              <w:rPr>
                <w:szCs w:val="19"/>
              </w:rPr>
              <w:t xml:space="preserve">gnoser. </w:t>
            </w:r>
            <w:r w:rsidR="008809AB" w:rsidRPr="00F26166">
              <w:rPr>
                <w:i/>
                <w:szCs w:val="19"/>
              </w:rPr>
              <w:t xml:space="preserve">För </w:t>
            </w:r>
            <w:r w:rsidR="00BB6018" w:rsidRPr="00F26166">
              <w:rPr>
                <w:i/>
                <w:szCs w:val="19"/>
              </w:rPr>
              <w:t>a</w:t>
            </w:r>
            <w:r w:rsidR="008809AB" w:rsidRPr="00F26166">
              <w:rPr>
                <w:i/>
                <w:szCs w:val="19"/>
              </w:rPr>
              <w:t>ffärsverk, och i för</w:t>
            </w:r>
            <w:r w:rsidR="008809AB" w:rsidRPr="00F26166">
              <w:rPr>
                <w:i/>
                <w:szCs w:val="19"/>
              </w:rPr>
              <w:t>e</w:t>
            </w:r>
            <w:r w:rsidR="008809AB" w:rsidRPr="00F26166">
              <w:rPr>
                <w:i/>
                <w:szCs w:val="19"/>
              </w:rPr>
              <w:t>kommande fall affärsverksko</w:t>
            </w:r>
            <w:r w:rsidR="008809AB" w:rsidRPr="00F26166">
              <w:rPr>
                <w:i/>
                <w:szCs w:val="19"/>
              </w:rPr>
              <w:t>n</w:t>
            </w:r>
            <w:r w:rsidR="008809AB" w:rsidRPr="00F26166">
              <w:rPr>
                <w:i/>
                <w:szCs w:val="19"/>
              </w:rPr>
              <w:t>cern, skall dock endast delårsrapport som lämnas senast den 30 november gran</w:t>
            </w:r>
            <w:r w:rsidR="008809AB" w:rsidRPr="00F26166">
              <w:rPr>
                <w:i/>
                <w:szCs w:val="19"/>
              </w:rPr>
              <w:t>s</w:t>
            </w:r>
            <w:r w:rsidR="008809AB" w:rsidRPr="00F26166">
              <w:rPr>
                <w:i/>
                <w:szCs w:val="19"/>
              </w:rPr>
              <w:t>kas.</w:t>
            </w:r>
          </w:p>
        </w:tc>
      </w:tr>
    </w:tbl>
    <w:p w:rsidR="008809AB" w:rsidRPr="00F26166" w:rsidRDefault="008809AB" w:rsidP="008809AB">
      <w:r w:rsidRPr="00F26166">
        <w:t>____________</w:t>
      </w:r>
    </w:p>
    <w:p w:rsidR="008809AB" w:rsidRPr="00F26166" w:rsidRDefault="008809AB" w:rsidP="008809AB">
      <w:pPr>
        <w:pStyle w:val="Normaltindrag"/>
      </w:pPr>
      <w:r w:rsidRPr="00F26166">
        <w:t>Denna lag träder i kraft den 1 januari 2007</w:t>
      </w:r>
      <w:r w:rsidR="00BB6018" w:rsidRPr="00F26166">
        <w:t>.</w:t>
      </w:r>
    </w:p>
    <w:p w:rsidR="008809AB" w:rsidRPr="00F26166" w:rsidRDefault="008809AB" w:rsidP="008809AB"/>
    <w:p w:rsidR="008809AB" w:rsidRPr="00F26166" w:rsidRDefault="008809AB" w:rsidP="008809AB"/>
    <w:p w:rsidR="00D32566" w:rsidRPr="00F26166" w:rsidRDefault="00D32566" w:rsidP="00D32566">
      <w:pPr>
        <w:pStyle w:val="Normaltindrag"/>
      </w:pPr>
    </w:p>
    <w:p w:rsidR="00D32566" w:rsidRPr="00F26166" w:rsidRDefault="00D32566" w:rsidP="00D32566">
      <w:pPr>
        <w:pStyle w:val="Normaltindrag"/>
      </w:pPr>
    </w:p>
    <w:p w:rsidR="00D32566" w:rsidRPr="00F26166" w:rsidRDefault="00D32566" w:rsidP="00D32566">
      <w:pPr>
        <w:pStyle w:val="Normaltindrag"/>
      </w:pPr>
    </w:p>
    <w:p w:rsidR="00D32566" w:rsidRPr="00F26166" w:rsidRDefault="008809AB" w:rsidP="00D32566">
      <w:pPr>
        <w:pStyle w:val="Rubrik2"/>
      </w:pPr>
      <w:r w:rsidRPr="00F26166">
        <w:br w:type="page"/>
      </w:r>
      <w:bookmarkStart w:id="20" w:name="_Toc135727073"/>
      <w:r w:rsidR="00D32566" w:rsidRPr="00F26166">
        <w:t xml:space="preserve">1.2 Förslag till </w:t>
      </w:r>
      <w:r w:rsidR="00A03DF8" w:rsidRPr="00F26166">
        <w:t xml:space="preserve">lag om </w:t>
      </w:r>
      <w:r w:rsidR="00D32566" w:rsidRPr="00F26166">
        <w:t>ändring i lagen (2002:1023) med instruktion för Riksrevisionen</w:t>
      </w:r>
      <w:bookmarkEnd w:id="20"/>
    </w:p>
    <w:p w:rsidR="00414D16" w:rsidRPr="00F26166" w:rsidRDefault="00414D16" w:rsidP="00414D16">
      <w:pPr>
        <w:rPr>
          <w:szCs w:val="19"/>
        </w:rPr>
      </w:pPr>
      <w:r w:rsidRPr="00F26166">
        <w:rPr>
          <w:szCs w:val="19"/>
        </w:rPr>
        <w:t xml:space="preserve">Härigenom </w:t>
      </w:r>
      <w:r w:rsidR="00640657" w:rsidRPr="00F26166">
        <w:rPr>
          <w:szCs w:val="19"/>
        </w:rPr>
        <w:t>föreskrivs</w:t>
      </w:r>
      <w:r w:rsidRPr="00F26166">
        <w:rPr>
          <w:szCs w:val="19"/>
        </w:rPr>
        <w:t xml:space="preserve"> </w:t>
      </w:r>
    </w:p>
    <w:p w:rsidR="00414D16" w:rsidRPr="00F26166" w:rsidRDefault="00414D16" w:rsidP="00414D16">
      <w:pPr>
        <w:rPr>
          <w:szCs w:val="19"/>
        </w:rPr>
      </w:pPr>
      <w:r w:rsidRPr="00F26166">
        <w:rPr>
          <w:i/>
          <w:szCs w:val="19"/>
        </w:rPr>
        <w:t xml:space="preserve">dels </w:t>
      </w:r>
      <w:r w:rsidRPr="00F26166">
        <w:rPr>
          <w:szCs w:val="19"/>
        </w:rPr>
        <w:t xml:space="preserve">att 4 § </w:t>
      </w:r>
      <w:r w:rsidR="008D3610" w:rsidRPr="00F26166">
        <w:rPr>
          <w:szCs w:val="19"/>
        </w:rPr>
        <w:t>ska</w:t>
      </w:r>
      <w:r w:rsidRPr="00F26166">
        <w:rPr>
          <w:szCs w:val="19"/>
        </w:rPr>
        <w:t xml:space="preserve"> ha följande l</w:t>
      </w:r>
      <w:r w:rsidRPr="00F26166">
        <w:rPr>
          <w:szCs w:val="19"/>
        </w:rPr>
        <w:t>y</w:t>
      </w:r>
      <w:r w:rsidRPr="00F26166">
        <w:rPr>
          <w:szCs w:val="19"/>
        </w:rPr>
        <w:t>delse,</w:t>
      </w:r>
    </w:p>
    <w:p w:rsidR="00414D16" w:rsidRPr="00F26166" w:rsidRDefault="00414D16" w:rsidP="00414D16">
      <w:pPr>
        <w:rPr>
          <w:szCs w:val="19"/>
        </w:rPr>
      </w:pPr>
      <w:r w:rsidRPr="00F26166">
        <w:rPr>
          <w:i/>
          <w:szCs w:val="19"/>
        </w:rPr>
        <w:t xml:space="preserve">dels </w:t>
      </w:r>
      <w:r w:rsidRPr="00F26166">
        <w:rPr>
          <w:szCs w:val="19"/>
        </w:rPr>
        <w:t>att 14 § får ett nytt första stycke, att nuvarande första stycke placeras som stycke två och nuvarande stycke två pl</w:t>
      </w:r>
      <w:r w:rsidRPr="00F26166">
        <w:rPr>
          <w:szCs w:val="19"/>
        </w:rPr>
        <w:t>a</w:t>
      </w:r>
      <w:r w:rsidRPr="00F26166">
        <w:rPr>
          <w:szCs w:val="19"/>
        </w:rPr>
        <w:t xml:space="preserve">ceras som stycke tre, </w:t>
      </w:r>
    </w:p>
    <w:p w:rsidR="00414D16" w:rsidRPr="00F26166" w:rsidRDefault="00414D16" w:rsidP="00414D16">
      <w:pPr>
        <w:rPr>
          <w:szCs w:val="19"/>
        </w:rPr>
      </w:pPr>
      <w:r w:rsidRPr="00F26166">
        <w:rPr>
          <w:i/>
          <w:szCs w:val="19"/>
        </w:rPr>
        <w:t>dels</w:t>
      </w:r>
      <w:r w:rsidRPr="00F26166">
        <w:rPr>
          <w:szCs w:val="19"/>
        </w:rPr>
        <w:t xml:space="preserve"> att 14 § andra stycket </w:t>
      </w:r>
      <w:r w:rsidR="00D37CED" w:rsidRPr="00F26166">
        <w:rPr>
          <w:szCs w:val="19"/>
        </w:rPr>
        <w:t>1</w:t>
      </w:r>
      <w:r w:rsidRPr="00F26166">
        <w:rPr>
          <w:szCs w:val="19"/>
        </w:rPr>
        <w:t xml:space="preserve"> får fö</w:t>
      </w:r>
      <w:r w:rsidRPr="00F26166">
        <w:rPr>
          <w:szCs w:val="19"/>
        </w:rPr>
        <w:t>l</w:t>
      </w:r>
      <w:r w:rsidRPr="00F26166">
        <w:rPr>
          <w:szCs w:val="19"/>
        </w:rPr>
        <w:t>jande lydelse</w:t>
      </w:r>
      <w:r w:rsidR="00D37CED" w:rsidRPr="00F26166">
        <w:rPr>
          <w:szCs w:val="19"/>
        </w:rPr>
        <w:t>,</w:t>
      </w:r>
    </w:p>
    <w:p w:rsidR="00414D16" w:rsidRPr="00F26166" w:rsidRDefault="00414D16" w:rsidP="00414D16">
      <w:pPr>
        <w:rPr>
          <w:szCs w:val="19"/>
        </w:rPr>
      </w:pPr>
      <w:r w:rsidRPr="00F26166">
        <w:rPr>
          <w:i/>
          <w:szCs w:val="19"/>
        </w:rPr>
        <w:t xml:space="preserve">och dels </w:t>
      </w:r>
      <w:r w:rsidRPr="00F26166">
        <w:rPr>
          <w:szCs w:val="19"/>
        </w:rPr>
        <w:t xml:space="preserve">att det i lagen införs en ny paragraf </w:t>
      </w:r>
      <w:smartTag w:uri="urn:schemas-microsoft-com:office:smarttags" w:element="metricconverter">
        <w:smartTagPr>
          <w:attr w:name="ProductID" w:val="14 a"/>
        </w:smartTagPr>
        <w:r w:rsidRPr="00F26166">
          <w:rPr>
            <w:szCs w:val="19"/>
          </w:rPr>
          <w:t>14 a</w:t>
        </w:r>
      </w:smartTag>
      <w:r w:rsidRPr="00F26166">
        <w:rPr>
          <w:szCs w:val="19"/>
        </w:rPr>
        <w:t xml:space="preserve"> §, av följa</w:t>
      </w:r>
      <w:r w:rsidRPr="00F26166">
        <w:rPr>
          <w:szCs w:val="19"/>
        </w:rPr>
        <w:t>n</w:t>
      </w:r>
      <w:r w:rsidRPr="00F26166">
        <w:rPr>
          <w:szCs w:val="19"/>
        </w:rPr>
        <w:t>de lydelse.</w:t>
      </w:r>
    </w:p>
    <w:tbl>
      <w:tblPr>
        <w:tblW w:w="6180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090"/>
        <w:gridCol w:w="3090"/>
      </w:tblGrid>
      <w:tr w:rsidR="008809AB" w:rsidRPr="00F2616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090" w:type="dxa"/>
          </w:tcPr>
          <w:p w:rsidR="008809AB" w:rsidRPr="00F26166" w:rsidRDefault="008809AB" w:rsidP="00F571EA">
            <w:pPr>
              <w:pStyle w:val="LagtextRubrik"/>
              <w:spacing w:before="125" w:after="120"/>
            </w:pPr>
            <w:r w:rsidRPr="00F26166">
              <w:t>Nuvarande lydelse</w:t>
            </w:r>
          </w:p>
        </w:tc>
        <w:tc>
          <w:tcPr>
            <w:tcW w:w="3090" w:type="dxa"/>
          </w:tcPr>
          <w:p w:rsidR="008809AB" w:rsidRPr="00F26166" w:rsidRDefault="008809AB" w:rsidP="00F571EA">
            <w:pPr>
              <w:pStyle w:val="LagtextRubrik"/>
              <w:spacing w:before="125" w:after="120"/>
            </w:pPr>
            <w:r w:rsidRPr="00F26166">
              <w:t>Föreslagen lydelse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80" w:type="dxa"/>
            <w:gridSpan w:val="2"/>
          </w:tcPr>
          <w:p w:rsidR="008809AB" w:rsidRPr="00F26166" w:rsidRDefault="008809AB" w:rsidP="008809AB">
            <w:pPr>
              <w:pStyle w:val="Lagtext"/>
              <w:jc w:val="center"/>
            </w:pPr>
            <w:r w:rsidRPr="00F26166">
              <w:t>4  §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</w:pPr>
            <w:r w:rsidRPr="00F26166">
              <w:rPr>
                <w:szCs w:val="19"/>
              </w:rPr>
              <w:t>Riksrevisorerna beslutar geme</w:t>
            </w:r>
            <w:r w:rsidRPr="00F26166">
              <w:rPr>
                <w:szCs w:val="19"/>
              </w:rPr>
              <w:t>n</w:t>
            </w:r>
            <w:r w:rsidRPr="00F26166">
              <w:rPr>
                <w:szCs w:val="19"/>
              </w:rPr>
              <w:t>samt om fördelningen av grans</w:t>
            </w:r>
            <w:r w:rsidRPr="00F26166">
              <w:rPr>
                <w:szCs w:val="19"/>
              </w:rPr>
              <w:t>k</w:t>
            </w:r>
            <w:r w:rsidRPr="00F26166">
              <w:rPr>
                <w:szCs w:val="19"/>
              </w:rPr>
              <w:t>nings</w:t>
            </w:r>
            <w:r w:rsidRPr="00F26166">
              <w:rPr>
                <w:szCs w:val="19"/>
              </w:rPr>
              <w:softHyphen/>
              <w:t>områden me</w:t>
            </w:r>
            <w:r w:rsidRPr="00F26166">
              <w:rPr>
                <w:szCs w:val="19"/>
              </w:rPr>
              <w:t>l</w:t>
            </w:r>
            <w:r w:rsidRPr="00F26166">
              <w:rPr>
                <w:szCs w:val="19"/>
              </w:rPr>
              <w:t>lan sig.</w:t>
            </w:r>
            <w:r w:rsidRPr="00F26166">
              <w:t xml:space="preserve"> </w:t>
            </w:r>
          </w:p>
        </w:tc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</w:pPr>
            <w:r w:rsidRPr="00F26166">
              <w:rPr>
                <w:szCs w:val="19"/>
              </w:rPr>
              <w:t>Riksrevisorerna beslutar geme</w:t>
            </w:r>
            <w:r w:rsidRPr="00F26166">
              <w:rPr>
                <w:szCs w:val="19"/>
              </w:rPr>
              <w:t>n</w:t>
            </w:r>
            <w:r w:rsidRPr="00F26166">
              <w:rPr>
                <w:szCs w:val="19"/>
              </w:rPr>
              <w:t>samt om fördelningen av grans</w:t>
            </w:r>
            <w:r w:rsidRPr="00F26166">
              <w:rPr>
                <w:szCs w:val="19"/>
              </w:rPr>
              <w:t>k</w:t>
            </w:r>
            <w:r w:rsidRPr="00F26166">
              <w:rPr>
                <w:szCs w:val="19"/>
              </w:rPr>
              <w:t>nings</w:t>
            </w:r>
            <w:r w:rsidRPr="00F26166">
              <w:rPr>
                <w:szCs w:val="19"/>
              </w:rPr>
              <w:softHyphen/>
              <w:t>områden mellan</w:t>
            </w:r>
            <w:r w:rsidRPr="00F26166">
              <w:rPr>
                <w:i/>
                <w:szCs w:val="19"/>
              </w:rPr>
              <w:t xml:space="preserve"> sig och om granskningsverksamhetens huvu</w:t>
            </w:r>
            <w:r w:rsidRPr="00F26166">
              <w:rPr>
                <w:i/>
                <w:szCs w:val="19"/>
              </w:rPr>
              <w:t>d</w:t>
            </w:r>
            <w:r w:rsidRPr="00F26166">
              <w:rPr>
                <w:i/>
                <w:szCs w:val="19"/>
              </w:rPr>
              <w:t>sakliga inriktning. Riksrevisore</w:t>
            </w:r>
            <w:r w:rsidRPr="00F26166">
              <w:rPr>
                <w:i/>
                <w:szCs w:val="19"/>
              </w:rPr>
              <w:t>r</w:t>
            </w:r>
            <w:r w:rsidRPr="00F26166">
              <w:rPr>
                <w:i/>
                <w:szCs w:val="19"/>
              </w:rPr>
              <w:t>nas beslut skall redovisas i en grans</w:t>
            </w:r>
            <w:r w:rsidRPr="00F26166">
              <w:rPr>
                <w:i/>
                <w:szCs w:val="19"/>
              </w:rPr>
              <w:t>k</w:t>
            </w:r>
            <w:r w:rsidRPr="00F26166">
              <w:rPr>
                <w:i/>
                <w:szCs w:val="19"/>
              </w:rPr>
              <w:t>ning</w:t>
            </w:r>
            <w:r w:rsidRPr="00F26166">
              <w:rPr>
                <w:i/>
                <w:szCs w:val="19"/>
              </w:rPr>
              <w:t>s</w:t>
            </w:r>
            <w:r w:rsidRPr="00F26166">
              <w:rPr>
                <w:i/>
                <w:szCs w:val="19"/>
              </w:rPr>
              <w:t>plan.</w:t>
            </w:r>
            <w:r w:rsidRPr="00F26166">
              <w:t xml:space="preserve"> 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</w:pPr>
            <w:r w:rsidRPr="00F26166">
              <w:rPr>
                <w:szCs w:val="19"/>
              </w:rPr>
              <w:t>Riksrevisorerna beslutar inom sina respektive granskningsomr</w:t>
            </w:r>
            <w:r w:rsidRPr="00F26166">
              <w:rPr>
                <w:szCs w:val="19"/>
              </w:rPr>
              <w:t>å</w:t>
            </w:r>
            <w:r w:rsidRPr="00F26166">
              <w:rPr>
                <w:szCs w:val="19"/>
              </w:rPr>
              <w:t xml:space="preserve">den </w:t>
            </w:r>
            <w:r w:rsidRPr="00F26166">
              <w:rPr>
                <w:i/>
                <w:szCs w:val="19"/>
              </w:rPr>
              <w:t>vad de skall granska</w:t>
            </w:r>
            <w:r w:rsidRPr="00F26166">
              <w:rPr>
                <w:szCs w:val="19"/>
              </w:rPr>
              <w:t>. De skall dessföri</w:t>
            </w:r>
            <w:r w:rsidRPr="00F26166">
              <w:rPr>
                <w:szCs w:val="19"/>
              </w:rPr>
              <w:t>n</w:t>
            </w:r>
            <w:r w:rsidRPr="00F26166">
              <w:rPr>
                <w:szCs w:val="19"/>
              </w:rPr>
              <w:t>nan samråda med va</w:t>
            </w:r>
            <w:r w:rsidRPr="00F26166">
              <w:rPr>
                <w:szCs w:val="19"/>
              </w:rPr>
              <w:t>r</w:t>
            </w:r>
            <w:r w:rsidRPr="00F26166">
              <w:rPr>
                <w:szCs w:val="19"/>
              </w:rPr>
              <w:t>andra.</w:t>
            </w:r>
          </w:p>
        </w:tc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</w:pPr>
            <w:r w:rsidRPr="00F26166">
              <w:rPr>
                <w:szCs w:val="19"/>
              </w:rPr>
              <w:t xml:space="preserve">Riksrevisorerna beslutar inom sina </w:t>
            </w:r>
            <w:r w:rsidRPr="00F26166">
              <w:rPr>
                <w:spacing w:val="-2"/>
                <w:szCs w:val="19"/>
              </w:rPr>
              <w:t>respektive granskningsomr</w:t>
            </w:r>
            <w:r w:rsidRPr="00F26166">
              <w:rPr>
                <w:spacing w:val="-2"/>
                <w:szCs w:val="19"/>
              </w:rPr>
              <w:t>å</w:t>
            </w:r>
            <w:r w:rsidRPr="00F26166">
              <w:rPr>
                <w:spacing w:val="-2"/>
                <w:szCs w:val="19"/>
              </w:rPr>
              <w:t>den</w:t>
            </w:r>
            <w:r w:rsidRPr="00F26166">
              <w:rPr>
                <w:szCs w:val="19"/>
              </w:rPr>
              <w:t xml:space="preserve"> </w:t>
            </w:r>
            <w:r w:rsidRPr="00F26166">
              <w:rPr>
                <w:i/>
                <w:szCs w:val="19"/>
              </w:rPr>
              <w:t>vilken närmare inriktning grans</w:t>
            </w:r>
            <w:r w:rsidRPr="00F26166">
              <w:rPr>
                <w:i/>
                <w:szCs w:val="19"/>
              </w:rPr>
              <w:t>k</w:t>
            </w:r>
            <w:r w:rsidRPr="00F26166">
              <w:rPr>
                <w:i/>
                <w:szCs w:val="19"/>
              </w:rPr>
              <w:t>ningen skall ha</w:t>
            </w:r>
            <w:r w:rsidRPr="00F26166">
              <w:rPr>
                <w:szCs w:val="19"/>
              </w:rPr>
              <w:t>. De skall dessförinnan sa</w:t>
            </w:r>
            <w:r w:rsidRPr="00F26166">
              <w:rPr>
                <w:szCs w:val="19"/>
              </w:rPr>
              <w:t>m</w:t>
            </w:r>
            <w:r w:rsidRPr="00F26166">
              <w:rPr>
                <w:szCs w:val="19"/>
              </w:rPr>
              <w:t>råda med va</w:t>
            </w:r>
            <w:r w:rsidRPr="00F26166">
              <w:rPr>
                <w:szCs w:val="19"/>
              </w:rPr>
              <w:t>r</w:t>
            </w:r>
            <w:r w:rsidRPr="00F26166">
              <w:rPr>
                <w:szCs w:val="19"/>
              </w:rPr>
              <w:t>andra.</w:t>
            </w:r>
            <w:r w:rsidRPr="00F26166">
              <w:t xml:space="preserve"> 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8809AB" w:rsidRPr="00F26166" w:rsidRDefault="00EC3F7D" w:rsidP="008809AB">
            <w:pPr>
              <w:pStyle w:val="LagtextIndrag"/>
            </w:pPr>
            <w:r w:rsidRPr="00F26166">
              <w:rPr>
                <w:szCs w:val="19"/>
              </w:rPr>
              <w:t>Riksrevisorerna</w:t>
            </w:r>
            <w:r w:rsidR="008809AB" w:rsidRPr="00F26166">
              <w:rPr>
                <w:szCs w:val="19"/>
              </w:rPr>
              <w:t xml:space="preserve"> beslutar var för sig i sina granskningsärenden. En riksr</w:t>
            </w:r>
            <w:r w:rsidR="008809AB" w:rsidRPr="00F26166">
              <w:rPr>
                <w:szCs w:val="19"/>
              </w:rPr>
              <w:t>e</w:t>
            </w:r>
            <w:r w:rsidR="008809AB" w:rsidRPr="00F26166">
              <w:rPr>
                <w:szCs w:val="19"/>
              </w:rPr>
              <w:t>visor får uppdra åt en tjän</w:t>
            </w:r>
            <w:r w:rsidR="008809AB" w:rsidRPr="00F26166">
              <w:rPr>
                <w:szCs w:val="19"/>
              </w:rPr>
              <w:t>s</w:t>
            </w:r>
            <w:r w:rsidR="008809AB" w:rsidRPr="00F26166">
              <w:rPr>
                <w:szCs w:val="19"/>
              </w:rPr>
              <w:t>teman vid Riksrevisionen att i riksr</w:t>
            </w:r>
            <w:r w:rsidR="008809AB" w:rsidRPr="00F26166">
              <w:rPr>
                <w:szCs w:val="19"/>
              </w:rPr>
              <w:t>e</w:t>
            </w:r>
            <w:r w:rsidR="008809AB" w:rsidRPr="00F26166">
              <w:rPr>
                <w:szCs w:val="19"/>
              </w:rPr>
              <w:t>visorns ställe avgöra granskningsäre</w:t>
            </w:r>
            <w:r w:rsidR="008809AB" w:rsidRPr="00F26166">
              <w:rPr>
                <w:szCs w:val="19"/>
              </w:rPr>
              <w:t>n</w:t>
            </w:r>
            <w:r w:rsidR="008809AB" w:rsidRPr="00F26166">
              <w:rPr>
                <w:szCs w:val="19"/>
              </w:rPr>
              <w:t>den.</w:t>
            </w:r>
          </w:p>
        </w:tc>
        <w:tc>
          <w:tcPr>
            <w:tcW w:w="3090" w:type="dxa"/>
          </w:tcPr>
          <w:p w:rsidR="008809AB" w:rsidRPr="00F26166" w:rsidRDefault="00EC3F7D" w:rsidP="008809AB">
            <w:pPr>
              <w:pStyle w:val="LagtextIndrag"/>
            </w:pPr>
            <w:r w:rsidRPr="00F26166">
              <w:rPr>
                <w:szCs w:val="19"/>
              </w:rPr>
              <w:t>Riksrevisorerna</w:t>
            </w:r>
            <w:r w:rsidR="008809AB" w:rsidRPr="00F26166">
              <w:rPr>
                <w:szCs w:val="19"/>
              </w:rPr>
              <w:t xml:space="preserve"> beslutar var för sig i sina granskningsärenden. En riksr</w:t>
            </w:r>
            <w:r w:rsidR="008809AB" w:rsidRPr="00F26166">
              <w:rPr>
                <w:szCs w:val="19"/>
              </w:rPr>
              <w:t>e</w:t>
            </w:r>
            <w:r w:rsidR="008809AB" w:rsidRPr="00F26166">
              <w:rPr>
                <w:szCs w:val="19"/>
              </w:rPr>
              <w:t>visor får uppdra åt en tjän</w:t>
            </w:r>
            <w:r w:rsidR="008809AB" w:rsidRPr="00F26166">
              <w:rPr>
                <w:szCs w:val="19"/>
              </w:rPr>
              <w:t>s</w:t>
            </w:r>
            <w:r w:rsidR="008809AB" w:rsidRPr="00F26166">
              <w:rPr>
                <w:szCs w:val="19"/>
              </w:rPr>
              <w:t>teman vid Riksrevisionen att i riksr</w:t>
            </w:r>
            <w:r w:rsidR="008809AB" w:rsidRPr="00F26166">
              <w:rPr>
                <w:szCs w:val="19"/>
              </w:rPr>
              <w:t>e</w:t>
            </w:r>
            <w:r w:rsidR="008809AB" w:rsidRPr="00F26166">
              <w:rPr>
                <w:szCs w:val="19"/>
              </w:rPr>
              <w:t>visorns ställe avgöra granskningsäre</w:t>
            </w:r>
            <w:r w:rsidR="008809AB" w:rsidRPr="00F26166">
              <w:rPr>
                <w:szCs w:val="19"/>
              </w:rPr>
              <w:t>n</w:t>
            </w:r>
            <w:r w:rsidR="008809AB" w:rsidRPr="00F26166">
              <w:rPr>
                <w:szCs w:val="19"/>
              </w:rPr>
              <w:t>den.</w:t>
            </w:r>
            <w:r w:rsidR="008809AB" w:rsidRPr="00F26166">
              <w:t xml:space="preserve"> 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  <w:rPr>
                <w:i/>
                <w:szCs w:val="19"/>
              </w:rPr>
            </w:pPr>
            <w:r w:rsidRPr="00F26166">
              <w:rPr>
                <w:i/>
                <w:szCs w:val="19"/>
              </w:rPr>
              <w:t>Riksrevisorernas beslut skall red</w:t>
            </w:r>
            <w:r w:rsidRPr="00F26166">
              <w:rPr>
                <w:i/>
                <w:szCs w:val="19"/>
              </w:rPr>
              <w:t>o</w:t>
            </w:r>
            <w:r w:rsidRPr="00F26166">
              <w:rPr>
                <w:i/>
                <w:szCs w:val="19"/>
              </w:rPr>
              <w:t>visas i en granskning</w:t>
            </w:r>
            <w:r w:rsidRPr="00F26166">
              <w:rPr>
                <w:i/>
                <w:szCs w:val="19"/>
              </w:rPr>
              <w:t>s</w:t>
            </w:r>
            <w:r w:rsidRPr="00F26166">
              <w:rPr>
                <w:i/>
                <w:szCs w:val="19"/>
              </w:rPr>
              <w:t xml:space="preserve">plan. </w:t>
            </w:r>
          </w:p>
        </w:tc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  <w:rPr>
                <w:szCs w:val="19"/>
              </w:rPr>
            </w:pP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Av 12 § lagen (2002:1022) om r</w:t>
            </w:r>
            <w:r w:rsidRPr="00F26166">
              <w:rPr>
                <w:szCs w:val="19"/>
              </w:rPr>
              <w:t>e</w:t>
            </w:r>
            <w:r w:rsidRPr="00F26166">
              <w:rPr>
                <w:szCs w:val="19"/>
              </w:rPr>
              <w:t>vision av statlig ver</w:t>
            </w:r>
            <w:r w:rsidRPr="00F26166">
              <w:rPr>
                <w:szCs w:val="19"/>
              </w:rPr>
              <w:t>k</w:t>
            </w:r>
            <w:r w:rsidRPr="00F26166">
              <w:rPr>
                <w:szCs w:val="19"/>
              </w:rPr>
              <w:t>samhet m.m. framgår att de viktigaste grans</w:t>
            </w:r>
            <w:r w:rsidRPr="00F26166">
              <w:rPr>
                <w:szCs w:val="19"/>
              </w:rPr>
              <w:t>k</w:t>
            </w:r>
            <w:r w:rsidRPr="00F26166">
              <w:rPr>
                <w:szCs w:val="19"/>
              </w:rPr>
              <w:t>ningsäre</w:t>
            </w:r>
            <w:r w:rsidRPr="00F26166">
              <w:rPr>
                <w:szCs w:val="19"/>
              </w:rPr>
              <w:t>n</w:t>
            </w:r>
            <w:r w:rsidRPr="00F26166">
              <w:rPr>
                <w:szCs w:val="19"/>
              </w:rPr>
              <w:t>dena skall samlas i en årlig rapport. Den rapporten beslutar rik</w:t>
            </w:r>
            <w:r w:rsidRPr="00F26166">
              <w:rPr>
                <w:szCs w:val="19"/>
              </w:rPr>
              <w:t>s</w:t>
            </w:r>
            <w:r w:rsidRPr="00F26166">
              <w:rPr>
                <w:szCs w:val="19"/>
              </w:rPr>
              <w:t>revisorerna geme</w:t>
            </w:r>
            <w:r w:rsidRPr="00F26166">
              <w:rPr>
                <w:szCs w:val="19"/>
              </w:rPr>
              <w:t>n</w:t>
            </w:r>
            <w:r w:rsidRPr="00F26166">
              <w:rPr>
                <w:szCs w:val="19"/>
              </w:rPr>
              <w:t>samt.</w:t>
            </w:r>
            <w:r w:rsidR="00FA4D20" w:rsidRPr="00F26166">
              <w:rPr>
                <w:szCs w:val="19"/>
              </w:rPr>
              <w:t xml:space="preserve"> </w:t>
            </w:r>
          </w:p>
        </w:tc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Av 12 § lagen (2002:1022) om r</w:t>
            </w:r>
            <w:r w:rsidRPr="00F26166">
              <w:rPr>
                <w:szCs w:val="19"/>
              </w:rPr>
              <w:t>e</w:t>
            </w:r>
            <w:r w:rsidRPr="00F26166">
              <w:rPr>
                <w:szCs w:val="19"/>
              </w:rPr>
              <w:t>vision av statlig ver</w:t>
            </w:r>
            <w:r w:rsidRPr="00F26166">
              <w:rPr>
                <w:szCs w:val="19"/>
              </w:rPr>
              <w:t>k</w:t>
            </w:r>
            <w:r w:rsidRPr="00F26166">
              <w:rPr>
                <w:szCs w:val="19"/>
              </w:rPr>
              <w:t>samhet m.m. framgår att de viktigaste grans</w:t>
            </w:r>
            <w:r w:rsidRPr="00F26166">
              <w:rPr>
                <w:szCs w:val="19"/>
              </w:rPr>
              <w:t>k</w:t>
            </w:r>
            <w:r w:rsidRPr="00F26166">
              <w:rPr>
                <w:szCs w:val="19"/>
              </w:rPr>
              <w:t>ningsärendena skall sa</w:t>
            </w:r>
            <w:r w:rsidRPr="00F26166">
              <w:rPr>
                <w:szCs w:val="19"/>
              </w:rPr>
              <w:t>m</w:t>
            </w:r>
            <w:r w:rsidRPr="00F26166">
              <w:rPr>
                <w:szCs w:val="19"/>
              </w:rPr>
              <w:t>las i en årlig rapport. Den rapporten beslutar rik</w:t>
            </w:r>
            <w:r w:rsidRPr="00F26166">
              <w:rPr>
                <w:szCs w:val="19"/>
              </w:rPr>
              <w:t>s</w:t>
            </w:r>
            <w:r w:rsidRPr="00F26166">
              <w:rPr>
                <w:szCs w:val="19"/>
              </w:rPr>
              <w:t>revisorerna geme</w:t>
            </w:r>
            <w:r w:rsidRPr="00F26166">
              <w:rPr>
                <w:szCs w:val="19"/>
              </w:rPr>
              <w:t>n</w:t>
            </w:r>
            <w:r w:rsidRPr="00F26166">
              <w:rPr>
                <w:szCs w:val="19"/>
              </w:rPr>
              <w:t xml:space="preserve">samt. 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6180" w:type="dxa"/>
            <w:gridSpan w:val="2"/>
          </w:tcPr>
          <w:p w:rsidR="008809AB" w:rsidRPr="00F26166" w:rsidRDefault="008809AB" w:rsidP="00B0348F">
            <w:pPr>
              <w:pStyle w:val="Lagtext"/>
              <w:spacing w:before="80"/>
              <w:jc w:val="center"/>
            </w:pPr>
            <w:r w:rsidRPr="00F26166">
              <w:t>14  §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</w:pPr>
          </w:p>
        </w:tc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</w:pPr>
            <w:r w:rsidRPr="00F26166">
              <w:rPr>
                <w:i/>
                <w:szCs w:val="19"/>
              </w:rPr>
              <w:t>En riksrevisor får inte inneha akt</w:t>
            </w:r>
            <w:r w:rsidRPr="00F26166">
              <w:rPr>
                <w:i/>
                <w:szCs w:val="19"/>
              </w:rPr>
              <w:t>i</w:t>
            </w:r>
            <w:r w:rsidRPr="00F26166">
              <w:rPr>
                <w:i/>
                <w:szCs w:val="19"/>
              </w:rPr>
              <w:t>er i ett aktiebolag som avses i 2 § 4 lagen (2002:1022) om revision av statlig ver</w:t>
            </w:r>
            <w:r w:rsidRPr="00F26166">
              <w:rPr>
                <w:i/>
                <w:szCs w:val="19"/>
              </w:rPr>
              <w:t>k</w:t>
            </w:r>
            <w:r w:rsidRPr="00F26166">
              <w:rPr>
                <w:i/>
                <w:szCs w:val="19"/>
              </w:rPr>
              <w:t>samhet m.m.</w:t>
            </w:r>
            <w:r w:rsidRPr="00F26166">
              <w:t xml:space="preserve"> 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  <w:rPr>
                <w:spacing w:val="-2"/>
              </w:rPr>
            </w:pPr>
            <w:r w:rsidRPr="00F26166">
              <w:rPr>
                <w:spacing w:val="-2"/>
                <w:szCs w:val="19"/>
              </w:rPr>
              <w:t>En riksrevisor skall skriftligen a</w:t>
            </w:r>
            <w:r w:rsidRPr="00F26166">
              <w:rPr>
                <w:spacing w:val="-2"/>
                <w:szCs w:val="19"/>
              </w:rPr>
              <w:t>n</w:t>
            </w:r>
            <w:r w:rsidRPr="00F26166">
              <w:rPr>
                <w:spacing w:val="-2"/>
                <w:szCs w:val="19"/>
              </w:rPr>
              <w:t>mäla följande förhållanden till riksd</w:t>
            </w:r>
            <w:r w:rsidRPr="00F26166">
              <w:rPr>
                <w:spacing w:val="-2"/>
                <w:szCs w:val="19"/>
              </w:rPr>
              <w:t>a</w:t>
            </w:r>
            <w:r w:rsidRPr="00F26166">
              <w:rPr>
                <w:spacing w:val="-2"/>
                <w:szCs w:val="19"/>
              </w:rPr>
              <w:t>gen</w:t>
            </w:r>
          </w:p>
        </w:tc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  <w:rPr>
                <w:i/>
                <w:spacing w:val="-2"/>
                <w:szCs w:val="19"/>
              </w:rPr>
            </w:pPr>
            <w:r w:rsidRPr="00F26166">
              <w:rPr>
                <w:spacing w:val="-2"/>
                <w:szCs w:val="19"/>
              </w:rPr>
              <w:t>En riksrevisor skall skriftligen a</w:t>
            </w:r>
            <w:r w:rsidRPr="00F26166">
              <w:rPr>
                <w:spacing w:val="-2"/>
                <w:szCs w:val="19"/>
              </w:rPr>
              <w:t>n</w:t>
            </w:r>
            <w:r w:rsidRPr="00F26166">
              <w:rPr>
                <w:spacing w:val="-2"/>
                <w:szCs w:val="19"/>
              </w:rPr>
              <w:t>mäla följande förhållanden till riksd</w:t>
            </w:r>
            <w:r w:rsidRPr="00F26166">
              <w:rPr>
                <w:spacing w:val="-2"/>
                <w:szCs w:val="19"/>
              </w:rPr>
              <w:t>a</w:t>
            </w:r>
            <w:r w:rsidRPr="00F26166">
              <w:rPr>
                <w:spacing w:val="-2"/>
                <w:szCs w:val="19"/>
              </w:rPr>
              <w:t>gen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</w:pPr>
            <w:r w:rsidRPr="00F26166">
              <w:rPr>
                <w:szCs w:val="19"/>
              </w:rPr>
              <w:t xml:space="preserve">1. innehav av </w:t>
            </w:r>
            <w:r w:rsidRPr="00F26166">
              <w:rPr>
                <w:i/>
                <w:szCs w:val="19"/>
              </w:rPr>
              <w:t>aktier i ett aktieb</w:t>
            </w:r>
            <w:r w:rsidRPr="00F26166">
              <w:rPr>
                <w:i/>
                <w:szCs w:val="19"/>
              </w:rPr>
              <w:t>o</w:t>
            </w:r>
            <w:r w:rsidRPr="00F26166">
              <w:rPr>
                <w:i/>
                <w:szCs w:val="19"/>
              </w:rPr>
              <w:t>lag som avses i 2 § 4 lagen (2002:1022) om rev</w:t>
            </w:r>
            <w:r w:rsidRPr="00F26166">
              <w:rPr>
                <w:i/>
                <w:szCs w:val="19"/>
              </w:rPr>
              <w:t>i</w:t>
            </w:r>
            <w:r w:rsidRPr="00F26166">
              <w:rPr>
                <w:i/>
                <w:szCs w:val="19"/>
              </w:rPr>
              <w:t xml:space="preserve">sion av statlig verksamhet m.m., </w:t>
            </w:r>
          </w:p>
        </w:tc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  <w:rPr>
                <w:i/>
                <w:szCs w:val="19"/>
              </w:rPr>
            </w:pPr>
            <w:r w:rsidRPr="00F26166">
              <w:rPr>
                <w:szCs w:val="19"/>
              </w:rPr>
              <w:t xml:space="preserve">1. innehav </w:t>
            </w:r>
            <w:r w:rsidR="0018528C" w:rsidRPr="00F26166">
              <w:rPr>
                <w:i/>
                <w:szCs w:val="19"/>
              </w:rPr>
              <w:t>och ändring i inn</w:t>
            </w:r>
            <w:r w:rsidR="0018528C" w:rsidRPr="00F26166">
              <w:rPr>
                <w:i/>
                <w:szCs w:val="19"/>
              </w:rPr>
              <w:t>e</w:t>
            </w:r>
            <w:r w:rsidR="0018528C" w:rsidRPr="00F26166">
              <w:rPr>
                <w:i/>
                <w:szCs w:val="19"/>
              </w:rPr>
              <w:t>havet</w:t>
            </w:r>
            <w:r w:rsidR="0018528C" w:rsidRPr="00F26166">
              <w:rPr>
                <w:szCs w:val="19"/>
              </w:rPr>
              <w:t xml:space="preserve"> </w:t>
            </w:r>
            <w:r w:rsidRPr="00F26166">
              <w:rPr>
                <w:szCs w:val="19"/>
              </w:rPr>
              <w:t xml:space="preserve">av </w:t>
            </w:r>
            <w:r w:rsidRPr="00F26166">
              <w:rPr>
                <w:i/>
                <w:szCs w:val="19"/>
              </w:rPr>
              <w:t>finansiella instr</w:t>
            </w:r>
            <w:r w:rsidRPr="00F26166">
              <w:rPr>
                <w:i/>
                <w:szCs w:val="19"/>
              </w:rPr>
              <w:t>u</w:t>
            </w:r>
            <w:r w:rsidRPr="00F26166">
              <w:rPr>
                <w:i/>
                <w:szCs w:val="19"/>
              </w:rPr>
              <w:t xml:space="preserve">ment som </w:t>
            </w:r>
            <w:bookmarkStart w:id="21" w:name="OLE_LINK1"/>
            <w:bookmarkStart w:id="22" w:name="OLE_LINK2"/>
            <w:r w:rsidRPr="00F26166">
              <w:rPr>
                <w:i/>
                <w:szCs w:val="19"/>
              </w:rPr>
              <w:t>anges i 1 kap. 1 § lagen (1991:980) om handel med finansie</w:t>
            </w:r>
            <w:r w:rsidRPr="00F26166">
              <w:rPr>
                <w:i/>
                <w:szCs w:val="19"/>
              </w:rPr>
              <w:t>l</w:t>
            </w:r>
            <w:r w:rsidRPr="00F26166">
              <w:rPr>
                <w:i/>
                <w:szCs w:val="19"/>
              </w:rPr>
              <w:t>la instrument</w:t>
            </w:r>
            <w:bookmarkEnd w:id="21"/>
            <w:bookmarkEnd w:id="22"/>
            <w:r w:rsidRPr="00F26166">
              <w:rPr>
                <w:i/>
                <w:szCs w:val="19"/>
              </w:rPr>
              <w:t>,</w:t>
            </w:r>
            <w:r w:rsidR="00F571EA" w:rsidRPr="00F26166">
              <w:rPr>
                <w:i/>
                <w:szCs w:val="19"/>
              </w:rPr>
              <w:t xml:space="preserve"> 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</w:pPr>
            <w:r w:rsidRPr="00F26166">
              <w:rPr>
                <w:szCs w:val="19"/>
              </w:rPr>
              <w:t>2. avtal av ekonomisk karaktär med tid</w:t>
            </w:r>
            <w:r w:rsidRPr="00F26166">
              <w:rPr>
                <w:szCs w:val="19"/>
              </w:rPr>
              <w:t>i</w:t>
            </w:r>
            <w:r w:rsidRPr="00F26166">
              <w:rPr>
                <w:szCs w:val="19"/>
              </w:rPr>
              <w:t>gare arbetsgivare, såsom avtal om löne- eller pensionsfö</w:t>
            </w:r>
            <w:r w:rsidRPr="00F26166">
              <w:rPr>
                <w:szCs w:val="19"/>
              </w:rPr>
              <w:t>r</w:t>
            </w:r>
            <w:r w:rsidRPr="00F26166">
              <w:rPr>
                <w:szCs w:val="19"/>
              </w:rPr>
              <w:t>mån som utges under tid som o</w:t>
            </w:r>
            <w:r w:rsidRPr="00F26166">
              <w:rPr>
                <w:szCs w:val="19"/>
              </w:rPr>
              <w:t>m</w:t>
            </w:r>
            <w:r w:rsidRPr="00F26166">
              <w:rPr>
                <w:szCs w:val="19"/>
              </w:rPr>
              <w:t>fattas av uppdraget i Riksrevisi</w:t>
            </w:r>
            <w:r w:rsidRPr="00F26166">
              <w:rPr>
                <w:szCs w:val="19"/>
              </w:rPr>
              <w:t>o</w:t>
            </w:r>
            <w:r w:rsidRPr="00F26166">
              <w:rPr>
                <w:szCs w:val="19"/>
              </w:rPr>
              <w:t xml:space="preserve">nen, </w:t>
            </w:r>
          </w:p>
        </w:tc>
        <w:tc>
          <w:tcPr>
            <w:tcW w:w="3090" w:type="dxa"/>
          </w:tcPr>
          <w:p w:rsidR="008809AB" w:rsidRPr="00F26166" w:rsidRDefault="008809AB" w:rsidP="008809AB">
            <w:pPr>
              <w:pStyle w:val="LagtextIndrag"/>
              <w:rPr>
                <w:i/>
                <w:szCs w:val="19"/>
              </w:rPr>
            </w:pPr>
            <w:r w:rsidRPr="00F26166">
              <w:rPr>
                <w:szCs w:val="19"/>
              </w:rPr>
              <w:t>2. avtal av ekonomisk karaktär med tidig</w:t>
            </w:r>
            <w:r w:rsidRPr="00F26166">
              <w:rPr>
                <w:szCs w:val="19"/>
              </w:rPr>
              <w:t>a</w:t>
            </w:r>
            <w:r w:rsidRPr="00F26166">
              <w:rPr>
                <w:szCs w:val="19"/>
              </w:rPr>
              <w:t>re arbetsgivare, såsom avtal om löne- eller pensionsfö</w:t>
            </w:r>
            <w:r w:rsidRPr="00F26166">
              <w:rPr>
                <w:szCs w:val="19"/>
              </w:rPr>
              <w:t>r</w:t>
            </w:r>
            <w:r w:rsidRPr="00F26166">
              <w:rPr>
                <w:szCs w:val="19"/>
              </w:rPr>
              <w:t>mån som utges under tid som o</w:t>
            </w:r>
            <w:r w:rsidRPr="00F26166">
              <w:rPr>
                <w:szCs w:val="19"/>
              </w:rPr>
              <w:t>m</w:t>
            </w:r>
            <w:r w:rsidRPr="00F26166">
              <w:rPr>
                <w:szCs w:val="19"/>
              </w:rPr>
              <w:t>fattas av uppdraget i Riksrevisi</w:t>
            </w:r>
            <w:r w:rsidRPr="00F26166">
              <w:rPr>
                <w:szCs w:val="19"/>
              </w:rPr>
              <w:t>o</w:t>
            </w:r>
            <w:r w:rsidRPr="00F26166">
              <w:rPr>
                <w:szCs w:val="19"/>
              </w:rPr>
              <w:t xml:space="preserve">nen, 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8809AB" w:rsidRPr="00F26166" w:rsidRDefault="008809AB" w:rsidP="00F571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 xml:space="preserve">3. avlönad anställning som inte är av endast tillfällig karaktär, </w:t>
            </w:r>
          </w:p>
        </w:tc>
        <w:tc>
          <w:tcPr>
            <w:tcW w:w="3090" w:type="dxa"/>
          </w:tcPr>
          <w:p w:rsidR="008809AB" w:rsidRPr="00F26166" w:rsidRDefault="008809AB" w:rsidP="00F571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 xml:space="preserve">3. avlönad anställning som inte är av endast tillfällig karaktär, </w:t>
            </w:r>
          </w:p>
        </w:tc>
      </w:tr>
      <w:tr w:rsidR="008809AB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8809AB" w:rsidRPr="00F26166" w:rsidRDefault="008809AB" w:rsidP="00F571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4. inkomstbringande självständig ver</w:t>
            </w:r>
            <w:r w:rsidRPr="00F26166">
              <w:rPr>
                <w:szCs w:val="19"/>
              </w:rPr>
              <w:t>k</w:t>
            </w:r>
            <w:r w:rsidRPr="00F26166">
              <w:rPr>
                <w:szCs w:val="19"/>
              </w:rPr>
              <w:t>samhet som bedrivs vid sidan av uppdr</w:t>
            </w:r>
            <w:r w:rsidRPr="00F26166">
              <w:rPr>
                <w:szCs w:val="19"/>
              </w:rPr>
              <w:t>a</w:t>
            </w:r>
            <w:r w:rsidRPr="00F26166">
              <w:rPr>
                <w:szCs w:val="19"/>
              </w:rPr>
              <w:t xml:space="preserve">get som riksrevisor, </w:t>
            </w:r>
          </w:p>
        </w:tc>
        <w:tc>
          <w:tcPr>
            <w:tcW w:w="3090" w:type="dxa"/>
          </w:tcPr>
          <w:p w:rsidR="008809AB" w:rsidRPr="00F26166" w:rsidRDefault="008809AB" w:rsidP="00F571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4. inkomstbringande självständig ver</w:t>
            </w:r>
            <w:r w:rsidRPr="00F26166">
              <w:rPr>
                <w:szCs w:val="19"/>
              </w:rPr>
              <w:t>k</w:t>
            </w:r>
            <w:r w:rsidRPr="00F26166">
              <w:rPr>
                <w:szCs w:val="19"/>
              </w:rPr>
              <w:t>samhet som bedrivs vid sidan av uppdr</w:t>
            </w:r>
            <w:r w:rsidRPr="00F26166">
              <w:rPr>
                <w:szCs w:val="19"/>
              </w:rPr>
              <w:t>a</w:t>
            </w:r>
            <w:r w:rsidRPr="00F26166">
              <w:rPr>
                <w:szCs w:val="19"/>
              </w:rPr>
              <w:t xml:space="preserve">get som riksrevisor, </w:t>
            </w:r>
          </w:p>
        </w:tc>
      </w:tr>
      <w:tr w:rsidR="00F571EA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F571EA" w:rsidRPr="00F26166" w:rsidRDefault="00F571EA" w:rsidP="00F571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5. uppdrag hos en kommun eller ett land</w:t>
            </w:r>
            <w:r w:rsidRPr="00F26166">
              <w:rPr>
                <w:szCs w:val="19"/>
              </w:rPr>
              <w:t>s</w:t>
            </w:r>
            <w:r w:rsidRPr="00F26166">
              <w:rPr>
                <w:szCs w:val="19"/>
              </w:rPr>
              <w:t>ting, om uppdraget inte är av endast tillfä</w:t>
            </w:r>
            <w:r w:rsidRPr="00F26166">
              <w:rPr>
                <w:szCs w:val="19"/>
              </w:rPr>
              <w:t>l</w:t>
            </w:r>
            <w:r w:rsidRPr="00F26166">
              <w:rPr>
                <w:szCs w:val="19"/>
              </w:rPr>
              <w:t>lig karaktär, och</w:t>
            </w:r>
          </w:p>
        </w:tc>
        <w:tc>
          <w:tcPr>
            <w:tcW w:w="3090" w:type="dxa"/>
          </w:tcPr>
          <w:p w:rsidR="00F571EA" w:rsidRPr="00F26166" w:rsidRDefault="00F571EA" w:rsidP="00F571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5. uppdrag hos en kommun eller ett land</w:t>
            </w:r>
            <w:r w:rsidRPr="00F26166">
              <w:rPr>
                <w:szCs w:val="19"/>
              </w:rPr>
              <w:t>s</w:t>
            </w:r>
            <w:r w:rsidRPr="00F26166">
              <w:rPr>
                <w:szCs w:val="19"/>
              </w:rPr>
              <w:t>ting, om uppdraget inte är av endast tillfä</w:t>
            </w:r>
            <w:r w:rsidRPr="00F26166">
              <w:rPr>
                <w:szCs w:val="19"/>
              </w:rPr>
              <w:t>l</w:t>
            </w:r>
            <w:r w:rsidRPr="00F26166">
              <w:rPr>
                <w:szCs w:val="19"/>
              </w:rPr>
              <w:t>lig karaktär, och</w:t>
            </w:r>
          </w:p>
        </w:tc>
      </w:tr>
      <w:tr w:rsidR="00F571EA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F571EA" w:rsidRPr="00F26166" w:rsidRDefault="00F571EA" w:rsidP="00F571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6. annan anställning, uppdrag eller annat ägande som kan antas p</w:t>
            </w:r>
            <w:r w:rsidRPr="00F26166">
              <w:rPr>
                <w:szCs w:val="19"/>
              </w:rPr>
              <w:t>å</w:t>
            </w:r>
            <w:r w:rsidRPr="00F26166">
              <w:rPr>
                <w:szCs w:val="19"/>
              </w:rPr>
              <w:t xml:space="preserve">verka uppdragets utförande. </w:t>
            </w:r>
          </w:p>
          <w:p w:rsidR="005343A3" w:rsidRPr="00F26166" w:rsidRDefault="005343A3" w:rsidP="00F571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Denna bestämmelse finns i tilläggsbestämmelsen 8.12.2 till rik</w:t>
            </w:r>
            <w:r w:rsidRPr="00F26166">
              <w:rPr>
                <w:szCs w:val="19"/>
              </w:rPr>
              <w:t>s</w:t>
            </w:r>
            <w:r w:rsidRPr="00F26166">
              <w:rPr>
                <w:szCs w:val="19"/>
              </w:rPr>
              <w:t>dagsordningen.</w:t>
            </w:r>
          </w:p>
        </w:tc>
        <w:tc>
          <w:tcPr>
            <w:tcW w:w="3090" w:type="dxa"/>
          </w:tcPr>
          <w:p w:rsidR="00F571EA" w:rsidRPr="00F26166" w:rsidRDefault="00F571EA" w:rsidP="00F571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6. annan anställning, uppdrag eller annat ägande som kan antas p</w:t>
            </w:r>
            <w:r w:rsidRPr="00F26166">
              <w:rPr>
                <w:szCs w:val="19"/>
              </w:rPr>
              <w:t>å</w:t>
            </w:r>
            <w:r w:rsidRPr="00F26166">
              <w:rPr>
                <w:szCs w:val="19"/>
              </w:rPr>
              <w:t>verka uppdragets utförande</w:t>
            </w:r>
            <w:r w:rsidR="005D55E0" w:rsidRPr="00F26166">
              <w:rPr>
                <w:szCs w:val="19"/>
              </w:rPr>
              <w:t>.</w:t>
            </w:r>
          </w:p>
          <w:p w:rsidR="005343A3" w:rsidRPr="00F26166" w:rsidRDefault="005343A3" w:rsidP="00F571EA">
            <w:pPr>
              <w:pStyle w:val="LagtextIndrag"/>
              <w:rPr>
                <w:szCs w:val="19"/>
              </w:rPr>
            </w:pPr>
            <w:r w:rsidRPr="00F26166">
              <w:rPr>
                <w:szCs w:val="19"/>
              </w:rPr>
              <w:t>Denna bestämmelse finns i tilläggsbestämmelsen 8.12.2 till riksdag</w:t>
            </w:r>
            <w:r w:rsidRPr="00F26166">
              <w:rPr>
                <w:szCs w:val="19"/>
              </w:rPr>
              <w:t>s</w:t>
            </w:r>
            <w:r w:rsidRPr="00F26166">
              <w:rPr>
                <w:szCs w:val="19"/>
              </w:rPr>
              <w:t xml:space="preserve">ordningen. </w:t>
            </w:r>
          </w:p>
        </w:tc>
      </w:tr>
      <w:tr w:rsidR="00F571EA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F571EA" w:rsidRPr="00F26166" w:rsidRDefault="00F571EA" w:rsidP="00F571EA">
            <w:pPr>
              <w:pStyle w:val="LagtextIndrag"/>
              <w:rPr>
                <w:szCs w:val="19"/>
              </w:rPr>
            </w:pPr>
          </w:p>
        </w:tc>
        <w:tc>
          <w:tcPr>
            <w:tcW w:w="3090" w:type="dxa"/>
          </w:tcPr>
          <w:p w:rsidR="00F571EA" w:rsidRPr="00F26166" w:rsidRDefault="00F571EA" w:rsidP="00F571EA">
            <w:pPr>
              <w:pStyle w:val="Lagtext"/>
              <w:spacing w:before="125"/>
              <w:rPr>
                <w:i/>
              </w:rPr>
            </w:pPr>
            <w:smartTag w:uri="urn:schemas-microsoft-com:office:smarttags" w:element="metricconverter">
              <w:smartTagPr>
                <w:attr w:name="ProductID" w:val="14 a"/>
              </w:smartTagPr>
              <w:r w:rsidRPr="00F26166">
                <w:rPr>
                  <w:i/>
                </w:rPr>
                <w:t>14 a</w:t>
              </w:r>
            </w:smartTag>
            <w:r w:rsidRPr="00F26166">
              <w:rPr>
                <w:i/>
              </w:rPr>
              <w:t xml:space="preserve"> §</w:t>
            </w:r>
          </w:p>
        </w:tc>
      </w:tr>
      <w:tr w:rsidR="00F571EA" w:rsidRPr="00F26166">
        <w:tblPrEx>
          <w:tblCellMar>
            <w:top w:w="0" w:type="dxa"/>
            <w:bottom w:w="0" w:type="dxa"/>
          </w:tblCellMar>
        </w:tblPrEx>
        <w:tc>
          <w:tcPr>
            <w:tcW w:w="3090" w:type="dxa"/>
          </w:tcPr>
          <w:p w:rsidR="00F571EA" w:rsidRPr="00F26166" w:rsidRDefault="00F571EA" w:rsidP="00F571EA">
            <w:pPr>
              <w:pStyle w:val="LagtextIndrag"/>
              <w:rPr>
                <w:szCs w:val="19"/>
              </w:rPr>
            </w:pPr>
          </w:p>
        </w:tc>
        <w:tc>
          <w:tcPr>
            <w:tcW w:w="3090" w:type="dxa"/>
          </w:tcPr>
          <w:p w:rsidR="00F571EA" w:rsidRPr="00F26166" w:rsidRDefault="00F571EA" w:rsidP="00F571EA">
            <w:pPr>
              <w:pStyle w:val="LagtextIndrag"/>
              <w:rPr>
                <w:spacing w:val="-2"/>
                <w:szCs w:val="19"/>
              </w:rPr>
            </w:pPr>
            <w:r w:rsidRPr="00F26166">
              <w:rPr>
                <w:i/>
                <w:spacing w:val="-2"/>
                <w:szCs w:val="19"/>
              </w:rPr>
              <w:t>Vid Riksrevisionen skall f</w:t>
            </w:r>
            <w:r w:rsidRPr="00F26166">
              <w:rPr>
                <w:i/>
                <w:spacing w:val="-2"/>
                <w:szCs w:val="19"/>
              </w:rPr>
              <w:t>ö</w:t>
            </w:r>
            <w:r w:rsidRPr="00F26166">
              <w:rPr>
                <w:i/>
                <w:spacing w:val="-2"/>
                <w:szCs w:val="19"/>
              </w:rPr>
              <w:t>ras en förteckning över innehav av finansie</w:t>
            </w:r>
            <w:r w:rsidRPr="00F26166">
              <w:rPr>
                <w:i/>
                <w:spacing w:val="-2"/>
                <w:szCs w:val="19"/>
              </w:rPr>
              <w:t>l</w:t>
            </w:r>
            <w:r w:rsidRPr="00F26166">
              <w:rPr>
                <w:i/>
                <w:spacing w:val="-2"/>
                <w:szCs w:val="19"/>
              </w:rPr>
              <w:t>la instrument avseende arbetstag</w:t>
            </w:r>
            <w:r w:rsidRPr="00F26166">
              <w:rPr>
                <w:i/>
                <w:spacing w:val="-2"/>
                <w:szCs w:val="19"/>
              </w:rPr>
              <w:t>a</w:t>
            </w:r>
            <w:r w:rsidRPr="00F26166">
              <w:rPr>
                <w:i/>
                <w:spacing w:val="-2"/>
                <w:szCs w:val="19"/>
              </w:rPr>
              <w:t>re, uppdragstagare och andra funktion</w:t>
            </w:r>
            <w:r w:rsidRPr="00F26166">
              <w:rPr>
                <w:i/>
                <w:spacing w:val="-2"/>
                <w:szCs w:val="19"/>
              </w:rPr>
              <w:t>ä</w:t>
            </w:r>
            <w:r w:rsidRPr="00F26166">
              <w:rPr>
                <w:i/>
                <w:spacing w:val="-2"/>
                <w:szCs w:val="19"/>
              </w:rPr>
              <w:t>rer med särskild insynsstäl</w:t>
            </w:r>
            <w:r w:rsidRPr="00F26166">
              <w:rPr>
                <w:i/>
                <w:spacing w:val="-2"/>
                <w:szCs w:val="19"/>
              </w:rPr>
              <w:t>l</w:t>
            </w:r>
            <w:r w:rsidRPr="00F26166">
              <w:rPr>
                <w:i/>
                <w:spacing w:val="-2"/>
                <w:szCs w:val="19"/>
              </w:rPr>
              <w:t>ning. Riksrevis</w:t>
            </w:r>
            <w:r w:rsidRPr="00F26166">
              <w:rPr>
                <w:i/>
                <w:spacing w:val="-2"/>
                <w:szCs w:val="19"/>
              </w:rPr>
              <w:t>o</w:t>
            </w:r>
            <w:r w:rsidRPr="00F26166">
              <w:rPr>
                <w:i/>
                <w:spacing w:val="-2"/>
                <w:szCs w:val="19"/>
              </w:rPr>
              <w:t>rerna beslutar gemensamt vilka arbetstagare, up</w:t>
            </w:r>
            <w:r w:rsidRPr="00F26166">
              <w:rPr>
                <w:i/>
                <w:spacing w:val="-2"/>
                <w:szCs w:val="19"/>
              </w:rPr>
              <w:t>p</w:t>
            </w:r>
            <w:r w:rsidRPr="00F26166">
              <w:rPr>
                <w:i/>
                <w:spacing w:val="-2"/>
                <w:szCs w:val="19"/>
              </w:rPr>
              <w:t>dragstagare och andra fun</w:t>
            </w:r>
            <w:r w:rsidRPr="00F26166">
              <w:rPr>
                <w:i/>
                <w:spacing w:val="-2"/>
                <w:szCs w:val="19"/>
              </w:rPr>
              <w:t>k</w:t>
            </w:r>
            <w:r w:rsidRPr="00F26166">
              <w:rPr>
                <w:i/>
                <w:spacing w:val="-2"/>
                <w:szCs w:val="19"/>
              </w:rPr>
              <w:t>tionärer som skall omfattas av denna b</w:t>
            </w:r>
            <w:r w:rsidRPr="00F26166">
              <w:rPr>
                <w:i/>
                <w:spacing w:val="-2"/>
                <w:szCs w:val="19"/>
              </w:rPr>
              <w:t>e</w:t>
            </w:r>
            <w:r w:rsidRPr="00F26166">
              <w:rPr>
                <w:i/>
                <w:spacing w:val="-2"/>
                <w:szCs w:val="19"/>
              </w:rPr>
              <w:t>stämmelse. Den som omfattas av denna b</w:t>
            </w:r>
            <w:r w:rsidRPr="00F26166">
              <w:rPr>
                <w:i/>
                <w:spacing w:val="-2"/>
                <w:szCs w:val="19"/>
              </w:rPr>
              <w:t>e</w:t>
            </w:r>
            <w:r w:rsidRPr="00F26166">
              <w:rPr>
                <w:i/>
                <w:spacing w:val="-2"/>
                <w:szCs w:val="19"/>
              </w:rPr>
              <w:t>stämmelse är skyldig att till den tjän</w:t>
            </w:r>
            <w:r w:rsidRPr="00F26166">
              <w:rPr>
                <w:i/>
                <w:spacing w:val="-2"/>
                <w:szCs w:val="19"/>
              </w:rPr>
              <w:t>s</w:t>
            </w:r>
            <w:r w:rsidRPr="00F26166">
              <w:rPr>
                <w:i/>
                <w:spacing w:val="-2"/>
                <w:szCs w:val="19"/>
              </w:rPr>
              <w:t xml:space="preserve">teman Riksrevisionen utsett anmäla innehav </w:t>
            </w:r>
            <w:r w:rsidR="00AA0CA0" w:rsidRPr="00F26166">
              <w:rPr>
                <w:i/>
                <w:spacing w:val="-2"/>
                <w:szCs w:val="19"/>
              </w:rPr>
              <w:t>och ändring i inn</w:t>
            </w:r>
            <w:r w:rsidR="00AA0CA0" w:rsidRPr="00F26166">
              <w:rPr>
                <w:i/>
                <w:spacing w:val="-2"/>
                <w:szCs w:val="19"/>
              </w:rPr>
              <w:t>e</w:t>
            </w:r>
            <w:r w:rsidR="00AA0CA0" w:rsidRPr="00F26166">
              <w:rPr>
                <w:i/>
                <w:spacing w:val="-2"/>
                <w:szCs w:val="19"/>
              </w:rPr>
              <w:t xml:space="preserve">havet </w:t>
            </w:r>
            <w:r w:rsidRPr="00F26166">
              <w:rPr>
                <w:i/>
                <w:spacing w:val="-2"/>
                <w:szCs w:val="19"/>
              </w:rPr>
              <w:t>av finansiella i</w:t>
            </w:r>
            <w:r w:rsidRPr="00F26166">
              <w:rPr>
                <w:i/>
                <w:spacing w:val="-2"/>
                <w:szCs w:val="19"/>
              </w:rPr>
              <w:t>n</w:t>
            </w:r>
            <w:r w:rsidRPr="00F26166">
              <w:rPr>
                <w:i/>
                <w:spacing w:val="-2"/>
                <w:szCs w:val="19"/>
              </w:rPr>
              <w:t>strument</w:t>
            </w:r>
            <w:r w:rsidR="00AA0CA0" w:rsidRPr="00F26166">
              <w:rPr>
                <w:i/>
                <w:spacing w:val="-2"/>
                <w:szCs w:val="19"/>
              </w:rPr>
              <w:t xml:space="preserve"> som anges i 1 kap. 1 § lagen (1991:980) om handel med finansiella instr</w:t>
            </w:r>
            <w:r w:rsidR="00AA0CA0" w:rsidRPr="00F26166">
              <w:rPr>
                <w:i/>
                <w:spacing w:val="-2"/>
                <w:szCs w:val="19"/>
              </w:rPr>
              <w:t>u</w:t>
            </w:r>
            <w:r w:rsidR="00AA0CA0" w:rsidRPr="00F26166">
              <w:rPr>
                <w:i/>
                <w:spacing w:val="-2"/>
                <w:szCs w:val="19"/>
              </w:rPr>
              <w:t>ment</w:t>
            </w:r>
            <w:r w:rsidRPr="00F26166">
              <w:rPr>
                <w:i/>
                <w:spacing w:val="-2"/>
                <w:szCs w:val="19"/>
              </w:rPr>
              <w:t>.</w:t>
            </w:r>
            <w:r w:rsidRPr="00F26166">
              <w:rPr>
                <w:spacing w:val="-2"/>
                <w:szCs w:val="19"/>
              </w:rPr>
              <w:t xml:space="preserve"> </w:t>
            </w:r>
          </w:p>
        </w:tc>
      </w:tr>
    </w:tbl>
    <w:p w:rsidR="00FA4D20" w:rsidRPr="00F26166" w:rsidRDefault="00FA4D20" w:rsidP="00937762">
      <w:pPr>
        <w:spacing w:before="0"/>
      </w:pPr>
      <w:r w:rsidRPr="00F26166">
        <w:t>____________</w:t>
      </w:r>
    </w:p>
    <w:p w:rsidR="00230939" w:rsidRPr="00F26166" w:rsidRDefault="00FA4D20" w:rsidP="00FA4D20">
      <w:pPr>
        <w:pStyle w:val="Normaltindrag"/>
      </w:pPr>
      <w:r w:rsidRPr="00F26166">
        <w:t>Denna lag träder i kraft den 1 januari 2007.</w:t>
      </w:r>
    </w:p>
    <w:p w:rsidR="00230939" w:rsidRPr="00F26166" w:rsidRDefault="00230939" w:rsidP="00230939">
      <w:pPr>
        <w:pStyle w:val="Tryckort"/>
        <w:framePr w:wrap="around"/>
      </w:pPr>
      <w:r w:rsidRPr="00F26166">
        <w:t>Elanders Gotab, Stockholm  2006</w:t>
      </w:r>
    </w:p>
    <w:p w:rsidR="00414D16" w:rsidRPr="00F26166" w:rsidRDefault="00414D16" w:rsidP="00D079C2">
      <w:pPr>
        <w:pStyle w:val="Normaltindrag"/>
        <w:spacing w:line="40" w:lineRule="exact"/>
      </w:pPr>
    </w:p>
    <w:sectPr w:rsidR="00414D16" w:rsidRPr="00F26166" w:rsidSect="00DF4E74">
      <w:headerReference w:type="even" r:id="rId38"/>
      <w:headerReference w:type="default" r:id="rId39"/>
      <w:footerReference w:type="even" r:id="rId40"/>
      <w:footerReference w:type="default" r:id="rId41"/>
      <w:headerReference w:type="first" r:id="rId42"/>
      <w:footerReference w:type="first" r:id="rId4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1368" w:rsidRPr="00F26166" w:rsidRDefault="00321368">
      <w:r w:rsidRPr="00F26166">
        <w:separator/>
      </w:r>
    </w:p>
  </w:endnote>
  <w:endnote w:type="continuationSeparator" w:id="0">
    <w:p w:rsidR="00321368" w:rsidRPr="00F26166" w:rsidRDefault="00321368">
      <w:r w:rsidRPr="00F2616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t>1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t>1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t>1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if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DA491D" w:rsidRPr="00F26166">
      <w:instrText>4</w:instrText>
    </w:r>
    <w:r w:rsidRPr="00F26166">
      <w:fldChar w:fldCharType="end"/>
    </w:r>
    <w:r w:rsidRPr="00F26166">
      <w:instrText xml:space="preserve">/2 </w:instrText>
    </w:r>
    <w:r w:rsidRPr="00F26166">
      <w:fldChar w:fldCharType="separate"/>
    </w:r>
    <w:r w:rsidR="00DA491D" w:rsidRPr="00F26166">
      <w:instrText>2</w:instrText>
    </w:r>
    <w:r w:rsidRPr="00F26166">
      <w:fldChar w:fldCharType="end"/>
    </w:r>
    <w:r w:rsidRPr="00F26166">
      <w:instrText xml:space="preserve"> - </w:instrText>
    </w:r>
    <w:r w:rsidRPr="00F26166">
      <w:fldChar w:fldCharType="begin" w:fldLock="1"/>
    </w:r>
    <w:r w:rsidRPr="00F26166">
      <w:instrText xml:space="preserve"> = int(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DA491D" w:rsidRPr="00F26166">
      <w:instrText>4</w:instrText>
    </w:r>
    <w:r w:rsidRPr="00F26166">
      <w:fldChar w:fldCharType="end"/>
    </w:r>
    <w:r w:rsidRPr="00F26166">
      <w:instrText xml:space="preserve">/2) </w:instrText>
    </w:r>
    <w:r w:rsidRPr="00F26166">
      <w:fldChar w:fldCharType="separate"/>
    </w:r>
    <w:r w:rsidR="00DA491D" w:rsidRPr="00F26166">
      <w:instrText>2</w:instrText>
    </w:r>
    <w:r w:rsidRPr="00F26166">
      <w:fldChar w:fldCharType="end"/>
    </w:r>
    <w:r w:rsidRPr="00F26166">
      <w:fldChar w:fldCharType="separate"/>
    </w:r>
    <w:r w:rsidR="00DA491D" w:rsidRPr="00F26166">
      <w:instrText>0</w:instrText>
    </w:r>
    <w:r w:rsidRPr="00F26166">
      <w:fldChar w:fldCharType="end"/>
    </w:r>
    <w:r w:rsidRPr="00F26166">
      <w:instrText xml:space="preserve"> = 0 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="00DA491D" w:rsidRPr="00F26166">
      <w:instrText>4</w:instrText>
    </w:r>
    <w:r w:rsidRPr="00F26166">
      <w:fldChar w:fldCharType="end"/>
    </w:r>
  </w:p>
  <w:p w:rsidR="00DA491D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instrText>""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instrText>1</w:instrText>
    </w:r>
    <w:r w:rsidRPr="00F26166">
      <w:fldChar w:fldCharType="end"/>
    </w:r>
    <w:r w:rsidRPr="00F26166">
      <w:instrText>"</w:instrText>
    </w:r>
    <w:r w:rsidRPr="00F26166">
      <w:fldChar w:fldCharType="separate"/>
    </w:r>
    <w:r w:rsidR="00DA491D" w:rsidRPr="00F26166">
      <w:t>4</w:t>
    </w:r>
  </w:p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fldChar w:fldCharType="end"/>
    </w:r>
  </w:p>
  <w:p w:rsidR="007A7CA9" w:rsidRPr="00F26166" w:rsidRDefault="007A7CA9">
    <w:pPr>
      <w:pStyle w:val="Sidfo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="00DA491D" w:rsidRPr="00F26166">
      <w:t>10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="00DA491D" w:rsidRPr="00F26166">
      <w:t>7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if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DA491D" w:rsidRPr="00F26166">
      <w:instrText>5</w:instrText>
    </w:r>
    <w:r w:rsidRPr="00F26166">
      <w:fldChar w:fldCharType="end"/>
    </w:r>
    <w:r w:rsidRPr="00F26166">
      <w:instrText xml:space="preserve">/2 </w:instrText>
    </w:r>
    <w:r w:rsidRPr="00F26166">
      <w:fldChar w:fldCharType="separate"/>
    </w:r>
    <w:r w:rsidR="00DA491D" w:rsidRPr="00F26166">
      <w:instrText>2,5</w:instrText>
    </w:r>
    <w:r w:rsidRPr="00F26166">
      <w:fldChar w:fldCharType="end"/>
    </w:r>
    <w:r w:rsidRPr="00F26166">
      <w:instrText xml:space="preserve"> - </w:instrText>
    </w:r>
    <w:r w:rsidRPr="00F26166">
      <w:fldChar w:fldCharType="begin" w:fldLock="1"/>
    </w:r>
    <w:r w:rsidRPr="00F26166">
      <w:instrText xml:space="preserve"> = int(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DA491D" w:rsidRPr="00F26166">
      <w:instrText>5</w:instrText>
    </w:r>
    <w:r w:rsidRPr="00F26166">
      <w:fldChar w:fldCharType="end"/>
    </w:r>
    <w:r w:rsidRPr="00F26166">
      <w:instrText xml:space="preserve">/2) </w:instrText>
    </w:r>
    <w:r w:rsidRPr="00F26166">
      <w:fldChar w:fldCharType="separate"/>
    </w:r>
    <w:r w:rsidR="00DA491D" w:rsidRPr="00F26166">
      <w:instrText>2</w:instrText>
    </w:r>
    <w:r w:rsidRPr="00F26166">
      <w:fldChar w:fldCharType="end"/>
    </w:r>
    <w:r w:rsidRPr="00F26166">
      <w:fldChar w:fldCharType="separate"/>
    </w:r>
    <w:r w:rsidR="00DA491D" w:rsidRPr="00F26166">
      <w:instrText>0,5</w:instrText>
    </w:r>
    <w:r w:rsidRPr="00F26166">
      <w:fldChar w:fldCharType="end"/>
    </w:r>
    <w:r w:rsidRPr="00F26166">
      <w:instrText xml:space="preserve"> = 0 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instrText>6</w:instrText>
    </w:r>
    <w:r w:rsidRPr="00F26166">
      <w:fldChar w:fldCharType="end"/>
    </w:r>
  </w:p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instrText>""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="00DA491D" w:rsidRPr="00F26166">
      <w:instrText>5</w:instrText>
    </w:r>
    <w:r w:rsidRPr="00F26166">
      <w:fldChar w:fldCharType="end"/>
    </w:r>
    <w:r w:rsidRPr="00F26166">
      <w:instrText>"</w:instrText>
    </w:r>
    <w:r w:rsidRPr="00F26166">
      <w:fldChar w:fldCharType="separate"/>
    </w:r>
    <w:r w:rsidR="00DA491D" w:rsidRPr="00F26166">
      <w:t>5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="00DA491D" w:rsidRPr="00F26166">
      <w:t>12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="00DA491D" w:rsidRPr="00F26166">
      <w:t>13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if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DA491D" w:rsidRPr="00F26166">
      <w:instrText>11</w:instrText>
    </w:r>
    <w:r w:rsidRPr="00F26166">
      <w:fldChar w:fldCharType="end"/>
    </w:r>
    <w:r w:rsidRPr="00F26166">
      <w:instrText xml:space="preserve">/2 </w:instrText>
    </w:r>
    <w:r w:rsidRPr="00F26166">
      <w:fldChar w:fldCharType="separate"/>
    </w:r>
    <w:r w:rsidR="00DA491D" w:rsidRPr="00F26166">
      <w:instrText>5,5</w:instrText>
    </w:r>
    <w:r w:rsidRPr="00F26166">
      <w:fldChar w:fldCharType="end"/>
    </w:r>
    <w:r w:rsidRPr="00F26166">
      <w:instrText xml:space="preserve"> - </w:instrText>
    </w:r>
    <w:r w:rsidRPr="00F26166">
      <w:fldChar w:fldCharType="begin" w:fldLock="1"/>
    </w:r>
    <w:r w:rsidRPr="00F26166">
      <w:instrText xml:space="preserve"> = int(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DA491D" w:rsidRPr="00F26166">
      <w:instrText>11</w:instrText>
    </w:r>
    <w:r w:rsidRPr="00F26166">
      <w:fldChar w:fldCharType="end"/>
    </w:r>
    <w:r w:rsidRPr="00F26166">
      <w:instrText xml:space="preserve">/2) </w:instrText>
    </w:r>
    <w:r w:rsidRPr="00F26166">
      <w:fldChar w:fldCharType="separate"/>
    </w:r>
    <w:r w:rsidR="00DA491D" w:rsidRPr="00F26166">
      <w:instrText>5</w:instrText>
    </w:r>
    <w:r w:rsidRPr="00F26166">
      <w:fldChar w:fldCharType="end"/>
    </w:r>
    <w:r w:rsidRPr="00F26166">
      <w:fldChar w:fldCharType="separate"/>
    </w:r>
    <w:r w:rsidR="00DA491D" w:rsidRPr="00F26166">
      <w:instrText>0,5</w:instrText>
    </w:r>
    <w:r w:rsidRPr="00F26166">
      <w:fldChar w:fldCharType="end"/>
    </w:r>
    <w:r w:rsidRPr="00F26166">
      <w:instrText xml:space="preserve"> = 0 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instrText>12</w:instrText>
    </w:r>
    <w:r w:rsidRPr="00F26166">
      <w:fldChar w:fldCharType="end"/>
    </w:r>
  </w:p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instrText>""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="00DA491D" w:rsidRPr="00F26166">
      <w:instrText>11</w:instrText>
    </w:r>
    <w:r w:rsidRPr="00F26166">
      <w:fldChar w:fldCharType="end"/>
    </w:r>
    <w:r w:rsidRPr="00F26166">
      <w:instrText>"</w:instrText>
    </w:r>
    <w:r w:rsidRPr="00F26166">
      <w:fldChar w:fldCharType="separate"/>
    </w:r>
    <w:r w:rsidR="00DA491D" w:rsidRPr="00F26166">
      <w:t>11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t>1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if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F26166">
      <w:rPr>
        <w:noProof/>
      </w:rPr>
      <w:instrText>1</w:instrText>
    </w:r>
    <w:r w:rsidRPr="00F26166">
      <w:fldChar w:fldCharType="end"/>
    </w:r>
    <w:r w:rsidRPr="00F26166">
      <w:instrText xml:space="preserve">/2 </w:instrText>
    </w:r>
    <w:r w:rsidRPr="00F26166">
      <w:fldChar w:fldCharType="separate"/>
    </w:r>
    <w:r w:rsidR="00F26166">
      <w:rPr>
        <w:noProof/>
      </w:rPr>
      <w:instrText>0,5</w:instrText>
    </w:r>
    <w:r w:rsidRPr="00F26166">
      <w:fldChar w:fldCharType="end"/>
    </w:r>
    <w:r w:rsidRPr="00F26166">
      <w:instrText xml:space="preserve"> - </w:instrText>
    </w:r>
    <w:r w:rsidRPr="00F26166">
      <w:fldChar w:fldCharType="begin" w:fldLock="1"/>
    </w:r>
    <w:r w:rsidRPr="00F26166">
      <w:instrText xml:space="preserve"> = int(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F26166">
      <w:rPr>
        <w:noProof/>
      </w:rPr>
      <w:instrText>1</w:instrText>
    </w:r>
    <w:r w:rsidRPr="00F26166">
      <w:fldChar w:fldCharType="end"/>
    </w:r>
    <w:r w:rsidRPr="00F26166">
      <w:instrText xml:space="preserve">/2) </w:instrText>
    </w:r>
    <w:r w:rsidRPr="00F26166">
      <w:fldChar w:fldCharType="separate"/>
    </w:r>
    <w:r w:rsidR="00F26166">
      <w:rPr>
        <w:noProof/>
      </w:rPr>
      <w:instrText>0</w:instrText>
    </w:r>
    <w:r w:rsidRPr="00F26166">
      <w:fldChar w:fldCharType="end"/>
    </w:r>
    <w:r w:rsidRPr="00F26166">
      <w:fldChar w:fldCharType="separate"/>
    </w:r>
    <w:r w:rsidR="00F26166">
      <w:rPr>
        <w:noProof/>
      </w:rPr>
      <w:instrText>0,5</w:instrText>
    </w:r>
    <w:r w:rsidRPr="00F26166">
      <w:fldChar w:fldCharType="end"/>
    </w:r>
    <w:r w:rsidRPr="00F26166">
      <w:instrText xml:space="preserve"> = 0 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instrText>2</w:instrText>
    </w:r>
    <w:r w:rsidRPr="00F26166">
      <w:fldChar w:fldCharType="end"/>
    </w:r>
  </w:p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instrText>""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="00F26166">
      <w:rPr>
        <w:noProof/>
      </w:rPr>
      <w:instrText>1</w:instrText>
    </w:r>
    <w:r w:rsidRPr="00F26166">
      <w:fldChar w:fldCharType="end"/>
    </w:r>
    <w:r w:rsidRPr="00F26166">
      <w:instrText>"</w:instrText>
    </w:r>
    <w:r w:rsidRPr="00F26166">
      <w:fldChar w:fldCharType="separate"/>
    </w:r>
    <w:r w:rsidR="00F26166">
      <w:rPr>
        <w:noProof/>
      </w:rPr>
      <w:t>1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t>1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t>1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if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DA491D" w:rsidRPr="00F26166">
      <w:instrText>2</w:instrText>
    </w:r>
    <w:r w:rsidRPr="00F26166">
      <w:fldChar w:fldCharType="end"/>
    </w:r>
    <w:r w:rsidRPr="00F26166">
      <w:instrText xml:space="preserve">/2 </w:instrText>
    </w:r>
    <w:r w:rsidRPr="00F26166">
      <w:fldChar w:fldCharType="separate"/>
    </w:r>
    <w:r w:rsidR="00DA491D" w:rsidRPr="00F26166">
      <w:instrText>1</w:instrText>
    </w:r>
    <w:r w:rsidRPr="00F26166">
      <w:fldChar w:fldCharType="end"/>
    </w:r>
    <w:r w:rsidRPr="00F26166">
      <w:instrText xml:space="preserve"> - </w:instrText>
    </w:r>
    <w:r w:rsidRPr="00F26166">
      <w:fldChar w:fldCharType="begin" w:fldLock="1"/>
    </w:r>
    <w:r w:rsidRPr="00F26166">
      <w:instrText xml:space="preserve"> = int(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DA491D" w:rsidRPr="00F26166">
      <w:instrText>2</w:instrText>
    </w:r>
    <w:r w:rsidRPr="00F26166">
      <w:fldChar w:fldCharType="end"/>
    </w:r>
    <w:r w:rsidRPr="00F26166">
      <w:instrText xml:space="preserve">/2) </w:instrText>
    </w:r>
    <w:r w:rsidRPr="00F26166">
      <w:fldChar w:fldCharType="separate"/>
    </w:r>
    <w:r w:rsidR="00DA491D" w:rsidRPr="00F26166">
      <w:instrText>1</w:instrText>
    </w:r>
    <w:r w:rsidRPr="00F26166">
      <w:fldChar w:fldCharType="end"/>
    </w:r>
    <w:r w:rsidRPr="00F26166">
      <w:fldChar w:fldCharType="separate"/>
    </w:r>
    <w:r w:rsidR="00DA491D" w:rsidRPr="00F26166">
      <w:instrText>0</w:instrText>
    </w:r>
    <w:r w:rsidRPr="00F26166">
      <w:fldChar w:fldCharType="end"/>
    </w:r>
    <w:r w:rsidRPr="00F26166">
      <w:instrText xml:space="preserve"> = 0 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="00DA491D" w:rsidRPr="00F26166">
      <w:instrText>2</w:instrText>
    </w:r>
    <w:r w:rsidRPr="00F26166">
      <w:fldChar w:fldCharType="end"/>
    </w:r>
  </w:p>
  <w:p w:rsidR="00DA491D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instrText>""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instrText>1</w:instrText>
    </w:r>
    <w:r w:rsidRPr="00F26166">
      <w:fldChar w:fldCharType="end"/>
    </w:r>
    <w:r w:rsidRPr="00F26166">
      <w:instrText>"</w:instrText>
    </w:r>
    <w:r w:rsidRPr="00F26166">
      <w:fldChar w:fldCharType="separate"/>
    </w:r>
    <w:r w:rsidR="00DA491D" w:rsidRPr="00F26166">
      <w:t>2</w:t>
    </w:r>
  </w:p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fldChar w:fldCharType="end"/>
    </w:r>
  </w:p>
  <w:p w:rsidR="007A7CA9" w:rsidRPr="00F26166" w:rsidRDefault="007A7CA9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t>1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t>1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fotV"/>
      <w:framePr w:w="8732" w:h="284" w:hRule="exact" w:hSpace="0" w:vSpace="0" w:wrap="around" w:xAlign="inside" w:y="13042" w:anchorLock="0"/>
    </w:pPr>
    <w:r w:rsidRPr="00F26166">
      <w:fldChar w:fldCharType="begin" w:fldLock="1"/>
    </w:r>
    <w:r w:rsidRPr="00F26166">
      <w:instrText xml:space="preserve"> if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= 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DA491D" w:rsidRPr="00F26166">
      <w:instrText>3</w:instrText>
    </w:r>
    <w:r w:rsidRPr="00F26166">
      <w:fldChar w:fldCharType="end"/>
    </w:r>
    <w:r w:rsidRPr="00F26166">
      <w:instrText xml:space="preserve">/2 </w:instrText>
    </w:r>
    <w:r w:rsidRPr="00F26166">
      <w:fldChar w:fldCharType="separate"/>
    </w:r>
    <w:r w:rsidR="00DA491D" w:rsidRPr="00F26166">
      <w:instrText>1,5</w:instrText>
    </w:r>
    <w:r w:rsidRPr="00F26166">
      <w:fldChar w:fldCharType="end"/>
    </w:r>
    <w:r w:rsidRPr="00F26166">
      <w:instrText xml:space="preserve"> - </w:instrText>
    </w:r>
    <w:r w:rsidRPr="00F26166">
      <w:fldChar w:fldCharType="begin" w:fldLock="1"/>
    </w:r>
    <w:r w:rsidRPr="00F26166">
      <w:instrText xml:space="preserve"> = int(</w:instrText>
    </w:r>
    <w:r w:rsidRPr="00F26166">
      <w:fldChar w:fldCharType="begin" w:fldLock="1"/>
    </w:r>
    <w:r w:rsidRPr="00F26166">
      <w:instrText xml:space="preserve"> page</w:instrText>
    </w:r>
    <w:r w:rsidRPr="00F26166">
      <w:fldChar w:fldCharType="separate"/>
    </w:r>
    <w:r w:rsidR="00DA491D" w:rsidRPr="00F26166">
      <w:instrText>3</w:instrText>
    </w:r>
    <w:r w:rsidRPr="00F26166">
      <w:fldChar w:fldCharType="end"/>
    </w:r>
    <w:r w:rsidRPr="00F26166">
      <w:instrText xml:space="preserve">/2) </w:instrText>
    </w:r>
    <w:r w:rsidRPr="00F26166">
      <w:fldChar w:fldCharType="separate"/>
    </w:r>
    <w:r w:rsidR="00DA491D" w:rsidRPr="00F26166">
      <w:instrText>1</w:instrText>
    </w:r>
    <w:r w:rsidRPr="00F26166">
      <w:fldChar w:fldCharType="end"/>
    </w:r>
    <w:r w:rsidRPr="00F26166">
      <w:fldChar w:fldCharType="separate"/>
    </w:r>
    <w:r w:rsidR="00DA491D" w:rsidRPr="00F26166">
      <w:instrText>0,5</w:instrText>
    </w:r>
    <w:r w:rsidRPr="00F26166">
      <w:fldChar w:fldCharType="end"/>
    </w:r>
    <w:r w:rsidRPr="00F26166">
      <w:instrText xml:space="preserve"> = 0 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Pr="00F26166">
      <w:instrText>4</w:instrText>
    </w:r>
    <w:r w:rsidRPr="00F26166">
      <w:fldChar w:fldCharType="end"/>
    </w:r>
  </w:p>
  <w:p w:rsidR="007A7CA9" w:rsidRPr="00F26166" w:rsidRDefault="007A7CA9">
    <w:pPr>
      <w:pStyle w:val="SidfotH"/>
      <w:framePr w:w="8732" w:h="284" w:hRule="exact" w:hSpace="0" w:vSpace="0" w:wrap="around" w:xAlign="inside" w:y="13042" w:anchorLock="0"/>
    </w:pPr>
    <w:r w:rsidRPr="00F26166">
      <w:instrText>""</w:instrText>
    </w:r>
    <w:r w:rsidRPr="00F26166">
      <w:fldChar w:fldCharType="begin" w:fldLock="1"/>
    </w:r>
    <w:r w:rsidRPr="00F26166">
      <w:instrText xml:space="preserve"> P</w:instrText>
    </w:r>
    <w:r w:rsidRPr="00F26166">
      <w:instrText>A</w:instrText>
    </w:r>
    <w:r w:rsidRPr="00F26166">
      <w:instrText xml:space="preserve">GE </w:instrText>
    </w:r>
    <w:r w:rsidRPr="00F26166">
      <w:fldChar w:fldCharType="separate"/>
    </w:r>
    <w:r w:rsidR="00DA491D" w:rsidRPr="00F26166">
      <w:instrText>3</w:instrText>
    </w:r>
    <w:r w:rsidRPr="00F26166">
      <w:fldChar w:fldCharType="end"/>
    </w:r>
    <w:r w:rsidRPr="00F26166">
      <w:instrText>"</w:instrText>
    </w:r>
    <w:r w:rsidRPr="00F26166">
      <w:fldChar w:fldCharType="separate"/>
    </w:r>
    <w:r w:rsidR="00DA491D" w:rsidRPr="00F26166">
      <w:t>3</w:t>
    </w:r>
    <w:r w:rsidRPr="00F26166">
      <w:fldChar w:fldCharType="end"/>
    </w:r>
  </w:p>
  <w:p w:rsidR="007A7CA9" w:rsidRPr="00F26166" w:rsidRDefault="007A7CA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1368" w:rsidRPr="00F26166" w:rsidRDefault="00321368">
      <w:pPr>
        <w:pStyle w:val="Sidfot"/>
      </w:pPr>
    </w:p>
  </w:footnote>
  <w:footnote w:type="continuationSeparator" w:id="0">
    <w:p w:rsidR="00321368" w:rsidRPr="00F26166" w:rsidRDefault="00321368">
      <w:r w:rsidRPr="00F26166">
        <w:continuationSeparator/>
      </w:r>
    </w:p>
  </w:footnote>
  <w:footnote w:id="1">
    <w:p w:rsidR="007A7CA9" w:rsidRPr="00F26166" w:rsidRDefault="007A7CA9" w:rsidP="008D3A0E">
      <w:pPr>
        <w:pStyle w:val="Fotnotstext"/>
      </w:pPr>
      <w:r w:rsidRPr="00F26166">
        <w:rPr>
          <w:rStyle w:val="Fotnotsreferens"/>
        </w:rPr>
        <w:footnoteRef/>
      </w:r>
      <w:r w:rsidRPr="00F26166">
        <w:t xml:space="preserve"> </w:t>
      </w:r>
      <w:r w:rsidRPr="00F26166">
        <w:rPr>
          <w:sz w:val="16"/>
          <w:szCs w:val="16"/>
        </w:rPr>
        <w:t>2002/03:KU34 s. 26–27.</w:t>
      </w:r>
    </w:p>
  </w:footnote>
  <w:footnote w:id="2">
    <w:p w:rsidR="007A7CA9" w:rsidRPr="00F26166" w:rsidRDefault="007A7CA9" w:rsidP="00FE1E0E">
      <w:pPr>
        <w:pStyle w:val="Fotnotstext"/>
        <w:rPr>
          <w:sz w:val="16"/>
          <w:szCs w:val="16"/>
        </w:rPr>
      </w:pPr>
      <w:r w:rsidRPr="00F26166">
        <w:rPr>
          <w:rStyle w:val="Fotnotsreferens"/>
        </w:rPr>
        <w:footnoteRef/>
      </w:r>
      <w:r w:rsidRPr="00F26166">
        <w:t xml:space="preserve"> </w:t>
      </w:r>
      <w:r w:rsidRPr="00F26166">
        <w:rPr>
          <w:sz w:val="16"/>
          <w:szCs w:val="16"/>
        </w:rPr>
        <w:t>2002/03:KU12 s. 14.</w:t>
      </w:r>
    </w:p>
  </w:footnote>
  <w:footnote w:id="3">
    <w:p w:rsidR="007A7CA9" w:rsidRPr="00F26166" w:rsidRDefault="007A7CA9">
      <w:pPr>
        <w:pStyle w:val="Fotnotstext"/>
        <w:rPr>
          <w:sz w:val="16"/>
          <w:szCs w:val="16"/>
        </w:rPr>
      </w:pPr>
      <w:r w:rsidRPr="00F26166">
        <w:rPr>
          <w:rStyle w:val="Fotnotsreferens"/>
        </w:rPr>
        <w:footnoteRef/>
      </w:r>
      <w:r w:rsidRPr="00F26166">
        <w:t xml:space="preserve"> J</w:t>
      </w:r>
      <w:r w:rsidRPr="00F26166">
        <w:rPr>
          <w:sz w:val="16"/>
          <w:szCs w:val="16"/>
        </w:rPr>
        <w:t>fr  prop. 2001/02:190 s. 120–121 och 2002/03:KU12 s. 14.</w:t>
      </w:r>
    </w:p>
  </w:footnote>
  <w:footnote w:id="4">
    <w:p w:rsidR="007A7CA9" w:rsidRPr="00F26166" w:rsidRDefault="007A7CA9" w:rsidP="0059601D">
      <w:pPr>
        <w:pStyle w:val="Fotnotstext"/>
      </w:pPr>
      <w:r w:rsidRPr="00F26166">
        <w:rPr>
          <w:rStyle w:val="Fotnotsreferens"/>
        </w:rPr>
        <w:footnoteRef/>
      </w:r>
      <w:r w:rsidRPr="00F26166">
        <w:t xml:space="preserve"> P</w:t>
      </w:r>
      <w:r w:rsidRPr="00F26166">
        <w:rPr>
          <w:sz w:val="16"/>
          <w:szCs w:val="16"/>
        </w:rPr>
        <w:t>rop. 2001/02:190 s. 161–162.</w:t>
      </w:r>
    </w:p>
  </w:footnote>
  <w:footnote w:id="5">
    <w:p w:rsidR="007A7CA9" w:rsidRPr="00F26166" w:rsidRDefault="007A7CA9" w:rsidP="00414D16">
      <w:pPr>
        <w:pStyle w:val="Fotnotstext"/>
      </w:pPr>
      <w:r w:rsidRPr="00F26166">
        <w:rPr>
          <w:rStyle w:val="Fotnotsreferens"/>
        </w:rPr>
        <w:footnoteRef/>
      </w:r>
      <w:r w:rsidRPr="00F26166">
        <w:t xml:space="preserve"> P</w:t>
      </w:r>
      <w:r w:rsidRPr="00F26166">
        <w:rPr>
          <w:sz w:val="16"/>
          <w:szCs w:val="16"/>
        </w:rPr>
        <w:t>rop. 2000/01:146 s. 101.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BetänkandeÅr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2005/06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t>: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Utskott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RRS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BetänkandeNr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28</w:t>
    </w:r>
    <w:r w:rsidRPr="00F26166">
      <w:rPr>
        <w:rStyle w:val="SidhuvudUtskott"/>
      </w:rPr>
      <w:fldChar w:fldCharType="end"/>
    </w:r>
    <w:r w:rsidRPr="00F26166">
      <w:t xml:space="preserve">     </w:t>
    </w:r>
    <w:r w:rsidRPr="00F26166">
      <w:rPr>
        <w:rStyle w:val="SidhuvudBilaga"/>
      </w:rPr>
      <w:t xml:space="preserve"> </w:t>
    </w:r>
    <w:r w:rsidRPr="00F26166">
      <w:rPr>
        <w:rStyle w:val="SidhuvudRubrikReferens"/>
      </w:rPr>
      <w:fldChar w:fldCharType="begin" w:fldLock="1"/>
    </w:r>
    <w:r w:rsidRPr="00F26166">
      <w:rPr>
        <w:rStyle w:val="SidhuvudRubrikReferens"/>
      </w:rPr>
      <w:instrText xml:space="preserve"> StyleREF "Rubrik 1" </w:instrText>
    </w:r>
    <w:r w:rsidRPr="00F26166">
      <w:rPr>
        <w:rStyle w:val="SidhuvudRubrikReferens"/>
      </w:rPr>
      <w:fldChar w:fldCharType="separate"/>
    </w:r>
    <w:r w:rsidRPr="00F26166">
      <w:rPr>
        <w:rStyle w:val="SidhuvudRubrikReferens"/>
      </w:rPr>
      <w:t>Sammanfattning</w:t>
    </w:r>
    <w:r w:rsidRPr="00F26166">
      <w:rPr>
        <w:rStyle w:val="SidhuvudRubrikReferens"/>
      </w:rPr>
      <w:fldChar w:fldCharType="end"/>
    </w:r>
  </w:p>
  <w:p w:rsidR="007A7CA9" w:rsidRPr="00F26166" w:rsidRDefault="007A7CA9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Status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if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"UtkastDatum"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Nej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 = "Ja" "   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PRINTDATE \@ "yyyy-MM-dd HH.mm" 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2000-08-11 16.42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" </w:instrTex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BetänkandeÅr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2005/06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t>: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Utskott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RRS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BetänkandeNr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28</w:t>
    </w:r>
    <w:r w:rsidRPr="00F26166">
      <w:rPr>
        <w:rStyle w:val="SidhuvudUtskott"/>
      </w:rPr>
      <w:fldChar w:fldCharType="end"/>
    </w:r>
    <w:r w:rsidRPr="00F26166">
      <w:t xml:space="preserve">     </w:t>
    </w:r>
    <w:r w:rsidRPr="00F26166">
      <w:rPr>
        <w:rStyle w:val="SidhuvudBilaga"/>
      </w:rPr>
      <w:t xml:space="preserve"> Bilaga 1   </w:t>
    </w:r>
    <w:r w:rsidRPr="00F26166">
      <w:rPr>
        <w:rStyle w:val="SidhuvudRubrikReferens"/>
      </w:rPr>
      <w:fldChar w:fldCharType="begin" w:fldLock="1"/>
    </w:r>
    <w:r w:rsidRPr="00F26166">
      <w:rPr>
        <w:rStyle w:val="SidhuvudRubrikReferens"/>
      </w:rPr>
      <w:instrText xml:space="preserve"> StyleREF "Rubrik 1" </w:instrText>
    </w:r>
    <w:r w:rsidRPr="00F26166">
      <w:rPr>
        <w:rStyle w:val="SidhuvudRubrikReferens"/>
      </w:rPr>
      <w:fldChar w:fldCharType="separate"/>
    </w:r>
    <w:r w:rsidRPr="00F26166">
      <w:rPr>
        <w:rStyle w:val="SidhuvudRubrikReferens"/>
      </w:rPr>
      <w:t>Förslag till riksdagsbeslut</w:t>
    </w:r>
    <w:r w:rsidRPr="00F26166">
      <w:rPr>
        <w:rStyle w:val="SidhuvudRubrikReferens"/>
      </w:rPr>
      <w:fldChar w:fldCharType="end"/>
    </w:r>
  </w:p>
  <w:p w:rsidR="007A7CA9" w:rsidRPr="00F26166" w:rsidRDefault="007A7CA9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Status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if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"UtkastDatum"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Nej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 = "Ja" "   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PRINTDATE \@ "yyyy-MM-dd HH.mm" 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2000-08-11 16.42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" </w:instrTex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huvudKantUdda"/>
      <w:framePr w:w="8732" w:h="567" w:hRule="exact" w:vSpace="0" w:wrap="around" w:vAnchor="page" w:y="341" w:anchorLock="0"/>
    </w:pPr>
    <w:r w:rsidRPr="00F26166">
      <w:rPr>
        <w:rStyle w:val="SidhuvudRubrikReferens"/>
      </w:rPr>
      <w:fldChar w:fldCharType="begin" w:fldLock="1"/>
    </w:r>
    <w:r w:rsidRPr="00F26166">
      <w:rPr>
        <w:rStyle w:val="SidhuvudRubrikReferens"/>
      </w:rPr>
      <w:instrText xml:space="preserve"> StyleREF "Rubrik 1" </w:instrText>
    </w:r>
    <w:r w:rsidRPr="00F26166">
      <w:rPr>
        <w:rStyle w:val="SidhuvudRubrikReferens"/>
      </w:rPr>
      <w:fldChar w:fldCharType="separate"/>
    </w:r>
    <w:r w:rsidRPr="00F26166">
      <w:rPr>
        <w:rStyle w:val="SidhuvudRubrikReferens"/>
      </w:rPr>
      <w:t>Förslag till riksdagsbeslut</w:t>
    </w:r>
    <w:r w:rsidRPr="00F26166">
      <w:rPr>
        <w:rStyle w:val="SidhuvudRubrikReferens"/>
      </w:rPr>
      <w:fldChar w:fldCharType="end"/>
    </w:r>
    <w:r w:rsidRPr="00F26166">
      <w:rPr>
        <w:rStyle w:val="SidhuvudBilaga"/>
      </w:rPr>
      <w:t xml:space="preserve">   Bilaga 1 </w:t>
    </w:r>
    <w:r w:rsidRPr="00F26166">
      <w:t xml:space="preserve">     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BetänkandeÅr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2005/06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t>: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</w:instrText>
    </w:r>
    <w:r w:rsidRPr="00F26166">
      <w:instrText xml:space="preserve"> </w:instrText>
    </w:r>
    <w:r w:rsidRPr="00F26166">
      <w:rPr>
        <w:rStyle w:val="SidhuvudUtskott"/>
      </w:rPr>
      <w:instrText>Utskott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RRS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</w:instrText>
    </w:r>
    <w:r w:rsidRPr="00F26166">
      <w:rPr>
        <w:rStyle w:val="SidhuvudUtskott"/>
      </w:rPr>
      <w:instrText>C</w:instrText>
    </w:r>
    <w:r w:rsidRPr="00F26166">
      <w:rPr>
        <w:rStyle w:val="SidhuvudUtskott"/>
      </w:rPr>
      <w:instrText>PROPERTY Betä</w:instrText>
    </w:r>
    <w:r w:rsidRPr="00F26166">
      <w:rPr>
        <w:rStyle w:val="SidhuvudUtskott"/>
      </w:rPr>
      <w:instrText>n</w:instrText>
    </w:r>
    <w:r w:rsidRPr="00F26166">
      <w:rPr>
        <w:rStyle w:val="SidhuvudUtskott"/>
      </w:rPr>
      <w:instrText>kandeNr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28</w: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KantUdda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if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"UtkastDatum"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Nej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 = "Ja" "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PRINTDATE \@ "yyyy-MM-dd HH.mm    " 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2000-08-11 16.42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" 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</w:instrText>
    </w:r>
    <w:r w:rsidRPr="00F26166">
      <w:rPr>
        <w:rStyle w:val="SidhuvudUtskott"/>
      </w:rPr>
      <w:instrText>O</w:instrText>
    </w:r>
    <w:r w:rsidRPr="00F26166">
      <w:rPr>
        <w:rStyle w:val="SidhuvudUtskott"/>
      </w:rPr>
      <w:instrText>PERTY Status</w:instrTex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91D" w:rsidRPr="00F26166" w:rsidRDefault="00DA491D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t>2005/06:RRS28</w:t>
    </w:r>
    <w:r w:rsidRPr="00F26166">
      <w:t xml:space="preserve">    </w:t>
    </w:r>
  </w:p>
  <w:p w:rsidR="00DA491D" w:rsidRPr="00F26166" w:rsidRDefault="00DA491D">
    <w:pPr>
      <w:pStyle w:val="SidhuvudKantJmn"/>
      <w:framePr w:w="8732" w:h="567" w:hRule="exact" w:vSpace="0" w:wrap="around" w:vAnchor="page" w:y="341" w:anchorLock="0"/>
    </w:pPr>
  </w:p>
  <w:p w:rsidR="007A7CA9" w:rsidRPr="00F26166" w:rsidRDefault="00DA491D">
    <w:pPr>
      <w:pStyle w:val="SidhuvudKantUdda"/>
      <w:framePr w:w="8732" w:h="567" w:hRule="exact" w:vSpace="0" w:wrap="around" w:vAnchor="page" w:y="341" w:anchorLock="0"/>
    </w:pPr>
    <w:r w:rsidRPr="00F26166">
      <w:rPr>
        <w:rStyle w:val="SidhuvudRubrikReferens"/>
        <w:smallCaps w:val="0"/>
        <w:spacing w:val="0"/>
        <w:sz w:val="19"/>
      </w:rPr>
      <w:t xml:space="preserve"> </w:t>
    </w:r>
  </w:p>
  <w:p w:rsidR="007A7CA9" w:rsidRPr="00F26166" w:rsidRDefault="007A7CA9">
    <w:pPr>
      <w:pStyle w:val="Sidhuvud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t>2005/06:RRS28</w:t>
    </w:r>
    <w:r w:rsidRPr="00F26166">
      <w:t xml:space="preserve">     </w:t>
    </w:r>
    <w:r w:rsidRPr="00F26166">
      <w:rPr>
        <w:rStyle w:val="SidhuvudBilaga"/>
      </w:rPr>
      <w:t xml:space="preserve"> </w:t>
    </w:r>
    <w:r w:rsidR="00DA491D" w:rsidRPr="00F26166">
      <w:rPr>
        <w:rStyle w:val="SidhuvudRubrikReferens"/>
      </w:rPr>
      <w:t>Överväganden</w:t>
    </w:r>
  </w:p>
  <w:p w:rsidR="007A7CA9" w:rsidRPr="00F26166" w:rsidRDefault="007A7CA9">
    <w:pPr>
      <w:pStyle w:val="SidhuvudKantJmn"/>
      <w:framePr w:w="8732" w:h="567" w:hRule="exact" w:vSpace="0" w:wrap="around" w:vAnchor="page" w:y="341" w:anchorLock="0"/>
    </w:pPr>
  </w:p>
  <w:p w:rsidR="007A7CA9" w:rsidRPr="00F26166" w:rsidRDefault="007A7CA9">
    <w:pPr>
      <w:pStyle w:val="Sidhuvud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DA491D">
    <w:pPr>
      <w:pStyle w:val="SidhuvudKantUdda"/>
      <w:framePr w:w="8732" w:h="567" w:hRule="exact" w:vSpace="0" w:wrap="around" w:vAnchor="page" w:y="341" w:anchorLock="0"/>
    </w:pPr>
    <w:r w:rsidRPr="00F26166">
      <w:rPr>
        <w:rStyle w:val="SidhuvudRubrikReferens"/>
      </w:rPr>
      <w:t>Överväganden</w:t>
    </w:r>
    <w:r w:rsidR="007A7CA9" w:rsidRPr="00F26166">
      <w:rPr>
        <w:rStyle w:val="SidhuvudBilaga"/>
      </w:rPr>
      <w:t xml:space="preserve"> </w:t>
    </w:r>
    <w:r w:rsidR="007A7CA9" w:rsidRPr="00F26166">
      <w:t xml:space="preserve">     </w:t>
    </w:r>
    <w:r w:rsidR="007A7CA9" w:rsidRPr="00F26166">
      <w:rPr>
        <w:rStyle w:val="SidhuvudUtskott"/>
      </w:rPr>
      <w:t>2005/06:RRS28</w:t>
    </w:r>
  </w:p>
  <w:p w:rsidR="007A7CA9" w:rsidRPr="00F26166" w:rsidRDefault="007A7CA9">
    <w:pPr>
      <w:pStyle w:val="SidhuvudKantUdda"/>
      <w:framePr w:w="8732" w:h="567" w:hRule="exact" w:vSpace="0" w:wrap="around" w:vAnchor="page" w:y="341" w:anchorLock="0"/>
    </w:pPr>
  </w:p>
  <w:p w:rsidR="007A7CA9" w:rsidRPr="00F26166" w:rsidRDefault="007A7CA9">
    <w:pPr>
      <w:pStyle w:val="Sidhuvud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91D" w:rsidRPr="00F26166" w:rsidRDefault="00DA491D">
    <w:pPr>
      <w:pStyle w:val="SidhuvudKantUdda"/>
      <w:framePr w:w="8732" w:h="567" w:hRule="exact" w:vSpace="0" w:wrap="around" w:vAnchor="page" w:y="341" w:anchorLock="0"/>
    </w:pPr>
    <w:r w:rsidRPr="00F26166">
      <w:t xml:space="preserve">  </w:t>
    </w:r>
    <w:r w:rsidRPr="00F26166">
      <w:rPr>
        <w:rStyle w:val="SidhuvudUtskott"/>
      </w:rPr>
      <w:t>2005/06:RRS28</w:t>
    </w:r>
  </w:p>
  <w:p w:rsidR="007A7CA9" w:rsidRPr="00F26166" w:rsidRDefault="007A7CA9">
    <w:pPr>
      <w:pStyle w:val="SidhuvudKantUdda"/>
      <w:framePr w:w="8732" w:h="567" w:hRule="exact" w:vSpace="0" w:wrap="around" w:vAnchor="page" w:y="341" w:anchorLock="0"/>
    </w:pPr>
  </w:p>
  <w:p w:rsidR="007A7CA9" w:rsidRPr="00F26166" w:rsidRDefault="007A7CA9">
    <w:pPr>
      <w:pStyle w:val="Sidhuvud"/>
      <w:rPr>
        <w:sz w:val="2"/>
      </w:rPr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t>2005/06:RRS28</w:t>
    </w:r>
    <w:r w:rsidRPr="00F26166">
      <w:t xml:space="preserve">     </w:t>
    </w:r>
    <w:r w:rsidRPr="00F26166">
      <w:rPr>
        <w:rStyle w:val="SidhuvudBilaga"/>
      </w:rPr>
      <w:t xml:space="preserve"> Bilaga   </w:t>
    </w:r>
    <w:r w:rsidR="00DA491D" w:rsidRPr="00F26166">
      <w:rPr>
        <w:rStyle w:val="SidhuvudRubrikReferens"/>
      </w:rPr>
      <w:t>Lagtext</w:t>
    </w:r>
  </w:p>
  <w:p w:rsidR="007A7CA9" w:rsidRPr="00F26166" w:rsidRDefault="007A7CA9">
    <w:pPr>
      <w:pStyle w:val="SidhuvudKantJmn"/>
      <w:framePr w:w="8732" w:h="567" w:hRule="exact" w:vSpace="0" w:wrap="around" w:vAnchor="page" w:y="341" w:anchorLock="0"/>
    </w:pPr>
  </w:p>
  <w:p w:rsidR="007A7CA9" w:rsidRPr="00F26166" w:rsidRDefault="007A7CA9">
    <w:pPr>
      <w:pStyle w:val="Sidhuvud"/>
      <w:rPr>
        <w:sz w:val="2"/>
      </w:rPr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DA491D">
    <w:pPr>
      <w:pStyle w:val="SidhuvudKantUdda"/>
      <w:framePr w:w="8732" w:h="567" w:hRule="exact" w:vSpace="0" w:wrap="around" w:vAnchor="page" w:y="341" w:anchorLock="0"/>
    </w:pPr>
    <w:r w:rsidRPr="00F26166">
      <w:rPr>
        <w:rStyle w:val="SidhuvudRubrikReferens"/>
      </w:rPr>
      <w:t>Lagtext</w:t>
    </w:r>
    <w:r w:rsidR="007A7CA9" w:rsidRPr="00F26166">
      <w:rPr>
        <w:rStyle w:val="SidhuvudBilaga"/>
      </w:rPr>
      <w:t xml:space="preserve">   Bilaga </w:t>
    </w:r>
    <w:r w:rsidR="007A7CA9" w:rsidRPr="00F26166">
      <w:t xml:space="preserve">     </w:t>
    </w:r>
    <w:r w:rsidR="007A7CA9" w:rsidRPr="00F26166">
      <w:rPr>
        <w:rStyle w:val="SidhuvudUtskott"/>
      </w:rPr>
      <w:t>2005/06:RRS28</w:t>
    </w:r>
  </w:p>
  <w:p w:rsidR="007A7CA9" w:rsidRPr="00F26166" w:rsidRDefault="007A7CA9">
    <w:pPr>
      <w:pStyle w:val="SidhuvudKantUdda"/>
      <w:framePr w:w="8732" w:h="567" w:hRule="exact" w:vSpace="0" w:wrap="around" w:vAnchor="page" w:y="341" w:anchorLock="0"/>
    </w:pPr>
  </w:p>
  <w:p w:rsidR="007A7CA9" w:rsidRPr="00F26166" w:rsidRDefault="007A7CA9">
    <w:pPr>
      <w:pStyle w:val="Sidhuvud"/>
      <w:rPr>
        <w:sz w:val="2"/>
      </w:rPr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91D" w:rsidRPr="00F26166" w:rsidRDefault="00DA491D">
    <w:pPr>
      <w:pStyle w:val="SidhuvudKantUdda"/>
      <w:framePr w:w="8732" w:h="567" w:hRule="exact" w:vSpace="0" w:wrap="around" w:vAnchor="page" w:y="341" w:anchorLock="0"/>
    </w:pPr>
    <w:r w:rsidRPr="00F26166">
      <w:t xml:space="preserve">  </w:t>
    </w:r>
    <w:r w:rsidRPr="00F26166">
      <w:rPr>
        <w:rStyle w:val="SidhuvudUtskott"/>
      </w:rPr>
      <w:t>2005/06:RRS28</w:t>
    </w:r>
  </w:p>
  <w:p w:rsidR="007A7CA9" w:rsidRPr="00F26166" w:rsidRDefault="007A7CA9">
    <w:pPr>
      <w:pStyle w:val="SidhuvudKantUdda"/>
      <w:framePr w:w="8732" w:h="567" w:hRule="exact" w:vSpace="0" w:wrap="around" w:vAnchor="page" w:y="341" w:anchorLock="0"/>
    </w:pPr>
  </w:p>
  <w:p w:rsidR="007A7CA9" w:rsidRPr="00F26166" w:rsidRDefault="007A7CA9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huvudKantUdda"/>
      <w:framePr w:w="8732" w:h="567" w:hRule="exact" w:vSpace="0" w:wrap="around" w:vAnchor="page" w:y="341" w:anchorLock="0"/>
    </w:pPr>
    <w:r w:rsidRPr="00F26166">
      <w:rPr>
        <w:rStyle w:val="SidhuvudRubrikReferens"/>
      </w:rPr>
      <w:fldChar w:fldCharType="begin" w:fldLock="1"/>
    </w:r>
    <w:r w:rsidRPr="00F26166">
      <w:rPr>
        <w:rStyle w:val="SidhuvudRubrikReferens"/>
      </w:rPr>
      <w:instrText xml:space="preserve"> StyleREF "Rubrik 1" </w:instrText>
    </w:r>
    <w:r w:rsidRPr="00F26166">
      <w:rPr>
        <w:rStyle w:val="SidhuvudRubrikReferens"/>
      </w:rPr>
      <w:fldChar w:fldCharType="separate"/>
    </w:r>
    <w:r w:rsidRPr="00F26166">
      <w:rPr>
        <w:rStyle w:val="SidhuvudRubrikReferens"/>
      </w:rPr>
      <w:t>Sammanfattning</w:t>
    </w:r>
    <w:r w:rsidRPr="00F26166">
      <w:rPr>
        <w:rStyle w:val="SidhuvudRubrikReferens"/>
      </w:rPr>
      <w:fldChar w:fldCharType="end"/>
    </w:r>
    <w:r w:rsidRPr="00F26166">
      <w:rPr>
        <w:rStyle w:val="SidhuvudBilaga"/>
      </w:rPr>
      <w:t xml:space="preserve"> </w:t>
    </w:r>
    <w:r w:rsidRPr="00F26166">
      <w:t xml:space="preserve">     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BetänkandeÅr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2005/06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t>: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</w:instrText>
    </w:r>
    <w:r w:rsidRPr="00F26166">
      <w:instrText xml:space="preserve"> </w:instrText>
    </w:r>
    <w:r w:rsidRPr="00F26166">
      <w:rPr>
        <w:rStyle w:val="SidhuvudUtskott"/>
      </w:rPr>
      <w:instrText>Utskott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RRS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</w:instrText>
    </w:r>
    <w:r w:rsidRPr="00F26166">
      <w:rPr>
        <w:rStyle w:val="SidhuvudUtskott"/>
      </w:rPr>
      <w:instrText>n</w:instrText>
    </w:r>
    <w:r w:rsidRPr="00F26166">
      <w:rPr>
        <w:rStyle w:val="SidhuvudUtskott"/>
      </w:rPr>
      <w:instrText>kandeNr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28</w: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KantUdda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if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"UtkastDatum"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Nej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 = "Ja" "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PRINTDATE \@ "yyyy-MM-dd HH.mm    " 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2000-08-11 16.42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" 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</w:instrText>
    </w:r>
    <w:r w:rsidRPr="00F26166">
      <w:rPr>
        <w:rStyle w:val="SidhuvudUtskott"/>
      </w:rPr>
      <w:instrText>O</w:instrText>
    </w:r>
    <w:r w:rsidRPr="00F26166">
      <w:rPr>
        <w:rStyle w:val="SidhuvudUtskott"/>
      </w:rPr>
      <w:instrText>PERTY Status</w:instrTex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DA491D">
    <w:pPr>
      <w:pStyle w:val="SidhuvudKantUdda"/>
      <w:framePr w:w="8732" w:h="567" w:hRule="exact" w:vSpace="0" w:wrap="around" w:vAnchor="page" w:y="341" w:anchorLock="0"/>
    </w:pPr>
    <w:r w:rsidRPr="00F26166">
      <w:t xml:space="preserve"> </w:t>
    </w:r>
  </w:p>
  <w:p w:rsidR="007A7CA9" w:rsidRPr="00F26166" w:rsidRDefault="007A7CA9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BetänkandeÅr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2005/06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t>: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Utskott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RRS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BetänkandeNr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28</w:t>
    </w:r>
    <w:r w:rsidRPr="00F26166">
      <w:rPr>
        <w:rStyle w:val="SidhuvudUtskott"/>
      </w:rPr>
      <w:fldChar w:fldCharType="end"/>
    </w:r>
    <w:r w:rsidRPr="00F26166">
      <w:t xml:space="preserve">     </w:t>
    </w:r>
    <w:r w:rsidRPr="00F26166">
      <w:rPr>
        <w:rStyle w:val="SidhuvudBilaga"/>
      </w:rPr>
      <w:t xml:space="preserve"> </w:t>
    </w:r>
    <w:r w:rsidRPr="00F26166">
      <w:rPr>
        <w:rStyle w:val="SidhuvudRubrikReferens"/>
      </w:rPr>
      <w:fldChar w:fldCharType="begin" w:fldLock="1"/>
    </w:r>
    <w:r w:rsidRPr="00F26166">
      <w:rPr>
        <w:rStyle w:val="SidhuvudRubrikReferens"/>
      </w:rPr>
      <w:instrText xml:space="preserve"> StyleREF "Rubrik 1" </w:instrText>
    </w:r>
    <w:r w:rsidRPr="00F26166">
      <w:rPr>
        <w:rStyle w:val="SidhuvudRubrikReferens"/>
      </w:rPr>
      <w:fldChar w:fldCharType="separate"/>
    </w:r>
    <w:r w:rsidRPr="00F26166">
      <w:rPr>
        <w:rStyle w:val="SidhuvudRubrikReferens"/>
      </w:rPr>
      <w:t>Sammanfattning</w:t>
    </w:r>
    <w:r w:rsidRPr="00F26166">
      <w:rPr>
        <w:rStyle w:val="SidhuvudRubrikReferens"/>
      </w:rPr>
      <w:fldChar w:fldCharType="end"/>
    </w:r>
  </w:p>
  <w:p w:rsidR="007A7CA9" w:rsidRPr="00F26166" w:rsidRDefault="007A7CA9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Status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if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"UtkastDatum"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Nej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 = "Ja" "   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PRINTDATE \@ "yyyy-MM-dd HH.mm" 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2000-08-11 16.42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" </w:instrTex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huvudKantUdda"/>
      <w:framePr w:w="8732" w:h="567" w:hRule="exact" w:vSpace="0" w:wrap="around" w:vAnchor="page" w:y="341" w:anchorLock="0"/>
    </w:pPr>
    <w:r w:rsidRPr="00F26166">
      <w:rPr>
        <w:rStyle w:val="SidhuvudRubrikReferens"/>
      </w:rPr>
      <w:fldChar w:fldCharType="begin" w:fldLock="1"/>
    </w:r>
    <w:r w:rsidRPr="00F26166">
      <w:rPr>
        <w:rStyle w:val="SidhuvudRubrikReferens"/>
      </w:rPr>
      <w:instrText xml:space="preserve"> StyleREF "Rubrik 1" </w:instrText>
    </w:r>
    <w:r w:rsidRPr="00F26166">
      <w:rPr>
        <w:rStyle w:val="SidhuvudRubrikReferens"/>
      </w:rPr>
      <w:fldChar w:fldCharType="separate"/>
    </w:r>
    <w:r w:rsidRPr="00F26166">
      <w:rPr>
        <w:rStyle w:val="SidhuvudRubrikReferens"/>
      </w:rPr>
      <w:t>Sammanfattning</w:t>
    </w:r>
    <w:r w:rsidRPr="00F26166">
      <w:rPr>
        <w:rStyle w:val="SidhuvudRubrikReferens"/>
      </w:rPr>
      <w:fldChar w:fldCharType="end"/>
    </w:r>
    <w:r w:rsidRPr="00F26166">
      <w:rPr>
        <w:rStyle w:val="SidhuvudBilaga"/>
      </w:rPr>
      <w:t xml:space="preserve"> </w:t>
    </w:r>
    <w:r w:rsidRPr="00F26166">
      <w:t xml:space="preserve">     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BetänkandeÅr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2005/06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t>: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</w:instrText>
    </w:r>
    <w:r w:rsidRPr="00F26166">
      <w:instrText xml:space="preserve"> </w:instrText>
    </w:r>
    <w:r w:rsidRPr="00F26166">
      <w:rPr>
        <w:rStyle w:val="SidhuvudUtskott"/>
      </w:rPr>
      <w:instrText>Utskott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RRS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</w:instrText>
    </w:r>
    <w:r w:rsidRPr="00F26166">
      <w:rPr>
        <w:rStyle w:val="SidhuvudUtskott"/>
      </w:rPr>
      <w:instrText>n</w:instrText>
    </w:r>
    <w:r w:rsidRPr="00F26166">
      <w:rPr>
        <w:rStyle w:val="SidhuvudUtskott"/>
      </w:rPr>
      <w:instrText>kandeNr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28</w: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KantUdda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if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"UtkastDatum"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Nej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 = "Ja" "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PRINTDATE \@ "yyyy-MM-dd HH.mm    " 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2000-08-11 16.42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" 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</w:instrText>
    </w:r>
    <w:r w:rsidRPr="00F26166">
      <w:rPr>
        <w:rStyle w:val="SidhuvudUtskott"/>
      </w:rPr>
      <w:instrText>O</w:instrText>
    </w:r>
    <w:r w:rsidRPr="00F26166">
      <w:rPr>
        <w:rStyle w:val="SidhuvudUtskott"/>
      </w:rPr>
      <w:instrText>PERTY Status</w:instrTex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91D" w:rsidRPr="00F26166" w:rsidRDefault="00DA491D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t>2005/06:RRS28</w:t>
    </w:r>
    <w:r w:rsidRPr="00F26166">
      <w:t xml:space="preserve">    </w:t>
    </w:r>
  </w:p>
  <w:p w:rsidR="00DA491D" w:rsidRPr="00F26166" w:rsidRDefault="00DA491D">
    <w:pPr>
      <w:pStyle w:val="SidhuvudKantJmn"/>
      <w:framePr w:w="8732" w:h="567" w:hRule="exact" w:vSpace="0" w:wrap="around" w:vAnchor="page" w:y="341" w:anchorLock="0"/>
    </w:pPr>
  </w:p>
  <w:p w:rsidR="007A7CA9" w:rsidRPr="00F26166" w:rsidRDefault="00DA491D">
    <w:pPr>
      <w:pStyle w:val="SidhuvudKantUdda"/>
      <w:framePr w:w="8732" w:h="567" w:hRule="exact" w:vSpace="0" w:wrap="around" w:vAnchor="page" w:y="341" w:anchorLock="0"/>
    </w:pPr>
    <w:r w:rsidRPr="00F26166">
      <w:rPr>
        <w:rStyle w:val="SidhuvudRubrikReferens"/>
        <w:smallCaps w:val="0"/>
        <w:spacing w:val="0"/>
        <w:sz w:val="19"/>
      </w:rPr>
      <w:t xml:space="preserve"> </w:t>
    </w:r>
  </w:p>
  <w:p w:rsidR="007A7CA9" w:rsidRPr="00F26166" w:rsidRDefault="007A7CA9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BetänkandeÅr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2005/06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t>: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Utskott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RRS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BetänkandeNr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28</w:t>
    </w:r>
    <w:r w:rsidRPr="00F26166">
      <w:rPr>
        <w:rStyle w:val="SidhuvudUtskott"/>
      </w:rPr>
      <w:fldChar w:fldCharType="end"/>
    </w:r>
    <w:r w:rsidRPr="00F26166">
      <w:t xml:space="preserve">     </w:t>
    </w:r>
    <w:r w:rsidRPr="00F26166">
      <w:rPr>
        <w:rStyle w:val="SidhuvudBilaga"/>
      </w:rPr>
      <w:t xml:space="preserve"> </w:t>
    </w:r>
    <w:r w:rsidRPr="00F26166">
      <w:rPr>
        <w:rStyle w:val="SidhuvudRubrikReferens"/>
      </w:rPr>
      <w:fldChar w:fldCharType="begin" w:fldLock="1"/>
    </w:r>
    <w:r w:rsidRPr="00F26166">
      <w:rPr>
        <w:rStyle w:val="SidhuvudRubrikReferens"/>
      </w:rPr>
      <w:instrText xml:space="preserve"> StyleREF "Rubrik 1" </w:instrText>
    </w:r>
    <w:r w:rsidRPr="00F26166">
      <w:rPr>
        <w:rStyle w:val="SidhuvudRubrikReferens"/>
      </w:rPr>
      <w:fldChar w:fldCharType="separate"/>
    </w:r>
    <w:r w:rsidRPr="00F26166">
      <w:rPr>
        <w:rStyle w:val="SidhuvudRubrikReferens"/>
      </w:rPr>
      <w:t>Innehållsförteckning</w:t>
    </w:r>
    <w:r w:rsidRPr="00F26166">
      <w:rPr>
        <w:rStyle w:val="SidhuvudRubrikReferens"/>
      </w:rPr>
      <w:fldChar w:fldCharType="end"/>
    </w:r>
  </w:p>
  <w:p w:rsidR="007A7CA9" w:rsidRPr="00F26166" w:rsidRDefault="007A7CA9">
    <w:pPr>
      <w:pStyle w:val="SidhuvudKantJmn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Status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if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"UtkastDatum"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Nej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 = "Ja" "   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PRINTDATE \@ "yyyy-MM-dd HH.mm" 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2000-08-11 16.42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" </w:instrTex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7CA9" w:rsidRPr="00F26166" w:rsidRDefault="007A7CA9">
    <w:pPr>
      <w:pStyle w:val="SidhuvudKantUdda"/>
      <w:framePr w:w="8732" w:h="567" w:hRule="exact" w:vSpace="0" w:wrap="around" w:vAnchor="page" w:y="341" w:anchorLock="0"/>
    </w:pPr>
    <w:r w:rsidRPr="00F26166">
      <w:rPr>
        <w:rStyle w:val="SidhuvudRubrikReferens"/>
      </w:rPr>
      <w:fldChar w:fldCharType="begin" w:fldLock="1"/>
    </w:r>
    <w:r w:rsidRPr="00F26166">
      <w:rPr>
        <w:rStyle w:val="SidhuvudRubrikReferens"/>
      </w:rPr>
      <w:instrText xml:space="preserve"> StyleREF "Rubrik 1" </w:instrText>
    </w:r>
    <w:r w:rsidRPr="00F26166">
      <w:rPr>
        <w:rStyle w:val="SidhuvudRubrikReferens"/>
      </w:rPr>
      <w:fldChar w:fldCharType="separate"/>
    </w:r>
    <w:r w:rsidRPr="00F26166">
      <w:rPr>
        <w:rStyle w:val="SidhuvudRubrikReferens"/>
      </w:rPr>
      <w:t>Innehållsförteckning</w:t>
    </w:r>
    <w:r w:rsidRPr="00F26166">
      <w:rPr>
        <w:rStyle w:val="SidhuvudRubrikReferens"/>
      </w:rPr>
      <w:fldChar w:fldCharType="end"/>
    </w:r>
    <w:r w:rsidRPr="00F26166">
      <w:rPr>
        <w:rStyle w:val="SidhuvudBilaga"/>
      </w:rPr>
      <w:t xml:space="preserve"> </w:t>
    </w:r>
    <w:r w:rsidRPr="00F26166">
      <w:t xml:space="preserve">     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BetänkandeÅr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2005/06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t>:</w: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</w:instrText>
    </w:r>
    <w:r w:rsidRPr="00F26166">
      <w:instrText xml:space="preserve"> </w:instrText>
    </w:r>
    <w:r w:rsidRPr="00F26166">
      <w:rPr>
        <w:rStyle w:val="SidhuvudUtskott"/>
      </w:rPr>
      <w:instrText>Utskott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RRS</w: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Betä</w:instrText>
    </w:r>
    <w:r w:rsidRPr="00F26166">
      <w:rPr>
        <w:rStyle w:val="SidhuvudUtskott"/>
      </w:rPr>
      <w:instrText>n</w:instrText>
    </w:r>
    <w:r w:rsidRPr="00F26166">
      <w:rPr>
        <w:rStyle w:val="SidhuvudUtskott"/>
      </w:rPr>
      <w:instrText>kandeNr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t>28</w: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KantUdda"/>
      <w:framePr w:w="8732" w:h="567" w:hRule="exact" w:vSpace="0" w:wrap="around" w:vAnchor="page" w:y="341" w:anchorLock="0"/>
    </w:pP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if 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DOCPROPERTY "UtkastDatum"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Nej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 = "Ja" "</w:instrText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PRINTDATE \@ "yyyy-MM-dd HH.mm    " </w:instrText>
    </w:r>
    <w:r w:rsidRPr="00F26166">
      <w:rPr>
        <w:rStyle w:val="SidhuvudUtskott"/>
      </w:rPr>
      <w:fldChar w:fldCharType="separate"/>
    </w:r>
    <w:r w:rsidRPr="00F26166">
      <w:rPr>
        <w:rStyle w:val="SidhuvudUtskott"/>
      </w:rPr>
      <w:instrText>2000-08-11 16.42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instrText xml:space="preserve">" </w:instrText>
    </w:r>
    <w:r w:rsidRPr="00F26166">
      <w:rPr>
        <w:rStyle w:val="SidhuvudUtskott"/>
      </w:rPr>
      <w:fldChar w:fldCharType="end"/>
    </w:r>
    <w:r w:rsidRPr="00F26166">
      <w:rPr>
        <w:rStyle w:val="SidhuvudUtskott"/>
      </w:rPr>
      <w:fldChar w:fldCharType="begin" w:fldLock="1"/>
    </w:r>
    <w:r w:rsidRPr="00F26166">
      <w:rPr>
        <w:rStyle w:val="SidhuvudUtskott"/>
      </w:rPr>
      <w:instrText xml:space="preserve"> DOCPR</w:instrText>
    </w:r>
    <w:r w:rsidRPr="00F26166">
      <w:rPr>
        <w:rStyle w:val="SidhuvudUtskott"/>
      </w:rPr>
      <w:instrText>O</w:instrText>
    </w:r>
    <w:r w:rsidRPr="00F26166">
      <w:rPr>
        <w:rStyle w:val="SidhuvudUtskott"/>
      </w:rPr>
      <w:instrText>PERTY Status</w:instrText>
    </w:r>
    <w:r w:rsidRPr="00F26166">
      <w:rPr>
        <w:rStyle w:val="SidhuvudUtskott"/>
      </w:rPr>
      <w:fldChar w:fldCharType="end"/>
    </w:r>
  </w:p>
  <w:p w:rsidR="007A7CA9" w:rsidRPr="00F26166" w:rsidRDefault="007A7CA9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A491D" w:rsidRPr="00F26166" w:rsidRDefault="00DA491D">
    <w:pPr>
      <w:pStyle w:val="SidhuvudKantUdda"/>
      <w:framePr w:w="8732" w:h="567" w:hRule="exact" w:vSpace="0" w:wrap="around" w:vAnchor="page" w:y="341" w:anchorLock="0"/>
    </w:pPr>
    <w:r w:rsidRPr="00F26166">
      <w:t xml:space="preserve">  </w:t>
    </w:r>
    <w:r w:rsidRPr="00F26166">
      <w:rPr>
        <w:rStyle w:val="SidhuvudUtskott"/>
      </w:rPr>
      <w:t>2005/06:RRS28</w:t>
    </w:r>
  </w:p>
  <w:p w:rsidR="007A7CA9" w:rsidRPr="00F26166" w:rsidRDefault="007A7CA9">
    <w:pPr>
      <w:pStyle w:val="SidhuvudKantUdda"/>
      <w:framePr w:w="8732" w:h="567" w:hRule="exact" w:vSpace="0" w:wrap="around" w:vAnchor="page" w:y="341" w:anchorLock="0"/>
    </w:pPr>
  </w:p>
  <w:p w:rsidR="007A7CA9" w:rsidRPr="00F26166" w:rsidRDefault="007A7CA9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666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1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F9B7A46"/>
    <w:multiLevelType w:val="hybridMultilevel"/>
    <w:tmpl w:val="5B8C99C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EC036C3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abstractNum w:abstractNumId="4" w15:restartNumberingAfterBreak="0">
    <w:nsid w:val="7CB91122"/>
    <w:multiLevelType w:val="singleLevel"/>
    <w:tmpl w:val="00000000"/>
    <w:lvl w:ilvl="0">
      <w:start w:val="1"/>
      <w:numFmt w:val="bullet"/>
      <w:lvlText w:val="-"/>
      <w:legacy w:legacy="1" w:legacySpace="0" w:legacyIndent="170"/>
      <w:lvlJc w:val="left"/>
      <w:pPr>
        <w:ind w:left="170" w:hanging="170"/>
      </w:pPr>
      <w:rPr>
        <w:rFonts w:ascii="Symbol" w:hAnsi="Symbol" w:hint="default"/>
      </w:rPr>
    </w:lvl>
  </w:abstractNum>
  <w:num w:numId="1" w16cid:durableId="820534799">
    <w:abstractNumId w:val="1"/>
  </w:num>
  <w:num w:numId="2" w16cid:durableId="771168011">
    <w:abstractNumId w:val="3"/>
  </w:num>
  <w:num w:numId="3" w16cid:durableId="613294189">
    <w:abstractNumId w:val="0"/>
  </w:num>
  <w:num w:numId="4" w16cid:durableId="1012874836">
    <w:abstractNumId w:val="4"/>
  </w:num>
  <w:num w:numId="5" w16cid:durableId="13942788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kapår" w:val="0506"/>
  </w:docVars>
  <w:rsids>
    <w:rsidRoot w:val="006F13E1"/>
    <w:rsid w:val="0000600B"/>
    <w:rsid w:val="00007428"/>
    <w:rsid w:val="00023C96"/>
    <w:rsid w:val="00026D83"/>
    <w:rsid w:val="00033FD1"/>
    <w:rsid w:val="00037057"/>
    <w:rsid w:val="0004190D"/>
    <w:rsid w:val="00064B25"/>
    <w:rsid w:val="00074909"/>
    <w:rsid w:val="000827F1"/>
    <w:rsid w:val="00094321"/>
    <w:rsid w:val="000957ED"/>
    <w:rsid w:val="000969B7"/>
    <w:rsid w:val="000A21AE"/>
    <w:rsid w:val="000A5734"/>
    <w:rsid w:val="000A73A5"/>
    <w:rsid w:val="000B1586"/>
    <w:rsid w:val="000B4BF7"/>
    <w:rsid w:val="000C6459"/>
    <w:rsid w:val="000C6E9C"/>
    <w:rsid w:val="000D2801"/>
    <w:rsid w:val="000D65F4"/>
    <w:rsid w:val="000D70EC"/>
    <w:rsid w:val="000F04B1"/>
    <w:rsid w:val="000F6064"/>
    <w:rsid w:val="000F74D3"/>
    <w:rsid w:val="00102F84"/>
    <w:rsid w:val="00106632"/>
    <w:rsid w:val="00110870"/>
    <w:rsid w:val="00114240"/>
    <w:rsid w:val="00117B34"/>
    <w:rsid w:val="001303C7"/>
    <w:rsid w:val="001314C2"/>
    <w:rsid w:val="00134839"/>
    <w:rsid w:val="001348B2"/>
    <w:rsid w:val="00135C14"/>
    <w:rsid w:val="00171D8C"/>
    <w:rsid w:val="00176651"/>
    <w:rsid w:val="0018528C"/>
    <w:rsid w:val="00197712"/>
    <w:rsid w:val="001A2727"/>
    <w:rsid w:val="001B0126"/>
    <w:rsid w:val="001B1979"/>
    <w:rsid w:val="001B2A7F"/>
    <w:rsid w:val="001B6319"/>
    <w:rsid w:val="001C577B"/>
    <w:rsid w:val="001E264E"/>
    <w:rsid w:val="001E5B43"/>
    <w:rsid w:val="001F6DE2"/>
    <w:rsid w:val="00203CBC"/>
    <w:rsid w:val="002058A9"/>
    <w:rsid w:val="0020634B"/>
    <w:rsid w:val="002120EA"/>
    <w:rsid w:val="00212C84"/>
    <w:rsid w:val="00213BB8"/>
    <w:rsid w:val="00221D16"/>
    <w:rsid w:val="00230939"/>
    <w:rsid w:val="00240F77"/>
    <w:rsid w:val="0024714D"/>
    <w:rsid w:val="00250D7B"/>
    <w:rsid w:val="00251481"/>
    <w:rsid w:val="00252A57"/>
    <w:rsid w:val="00270736"/>
    <w:rsid w:val="002724BD"/>
    <w:rsid w:val="0029394D"/>
    <w:rsid w:val="002A1381"/>
    <w:rsid w:val="002A1B31"/>
    <w:rsid w:val="002A55E7"/>
    <w:rsid w:val="002B6C99"/>
    <w:rsid w:val="002C13AE"/>
    <w:rsid w:val="002D0933"/>
    <w:rsid w:val="002E584D"/>
    <w:rsid w:val="002E71FE"/>
    <w:rsid w:val="002F0A87"/>
    <w:rsid w:val="002F4D5B"/>
    <w:rsid w:val="003025FE"/>
    <w:rsid w:val="00321368"/>
    <w:rsid w:val="003278A8"/>
    <w:rsid w:val="00371267"/>
    <w:rsid w:val="003833B5"/>
    <w:rsid w:val="0038518C"/>
    <w:rsid w:val="003856AB"/>
    <w:rsid w:val="003932D2"/>
    <w:rsid w:val="0039387C"/>
    <w:rsid w:val="003A342D"/>
    <w:rsid w:val="003A5C6B"/>
    <w:rsid w:val="003A799F"/>
    <w:rsid w:val="003B4CCD"/>
    <w:rsid w:val="003C3FF8"/>
    <w:rsid w:val="003D5F5F"/>
    <w:rsid w:val="003D79D8"/>
    <w:rsid w:val="003E4656"/>
    <w:rsid w:val="003F17E3"/>
    <w:rsid w:val="003F17F0"/>
    <w:rsid w:val="003F513C"/>
    <w:rsid w:val="004006A8"/>
    <w:rsid w:val="00405450"/>
    <w:rsid w:val="00414D16"/>
    <w:rsid w:val="004164B2"/>
    <w:rsid w:val="00426181"/>
    <w:rsid w:val="004276FE"/>
    <w:rsid w:val="0043617E"/>
    <w:rsid w:val="0043658A"/>
    <w:rsid w:val="0044603F"/>
    <w:rsid w:val="00455773"/>
    <w:rsid w:val="00471647"/>
    <w:rsid w:val="00497957"/>
    <w:rsid w:val="004A40DA"/>
    <w:rsid w:val="004A7A7C"/>
    <w:rsid w:val="004B09C6"/>
    <w:rsid w:val="004B5BD1"/>
    <w:rsid w:val="004B7409"/>
    <w:rsid w:val="004B7F20"/>
    <w:rsid w:val="004C122B"/>
    <w:rsid w:val="004C3334"/>
    <w:rsid w:val="004C33E6"/>
    <w:rsid w:val="004C3703"/>
    <w:rsid w:val="004C65FD"/>
    <w:rsid w:val="004D1C75"/>
    <w:rsid w:val="004D3E66"/>
    <w:rsid w:val="004E173E"/>
    <w:rsid w:val="004F4248"/>
    <w:rsid w:val="00501D19"/>
    <w:rsid w:val="00502961"/>
    <w:rsid w:val="0050568E"/>
    <w:rsid w:val="00516C01"/>
    <w:rsid w:val="005343A3"/>
    <w:rsid w:val="0053503D"/>
    <w:rsid w:val="0054354F"/>
    <w:rsid w:val="00543E5E"/>
    <w:rsid w:val="005548E8"/>
    <w:rsid w:val="00556773"/>
    <w:rsid w:val="0056026C"/>
    <w:rsid w:val="005608FA"/>
    <w:rsid w:val="005653F8"/>
    <w:rsid w:val="005658BA"/>
    <w:rsid w:val="00581016"/>
    <w:rsid w:val="005817FA"/>
    <w:rsid w:val="0058211B"/>
    <w:rsid w:val="0059601D"/>
    <w:rsid w:val="005A2C00"/>
    <w:rsid w:val="005C20BA"/>
    <w:rsid w:val="005C48B1"/>
    <w:rsid w:val="005D55E0"/>
    <w:rsid w:val="005D7E65"/>
    <w:rsid w:val="005E2860"/>
    <w:rsid w:val="005E451C"/>
    <w:rsid w:val="005E7A47"/>
    <w:rsid w:val="005E7C05"/>
    <w:rsid w:val="005E7C12"/>
    <w:rsid w:val="005F411D"/>
    <w:rsid w:val="005F4B96"/>
    <w:rsid w:val="00600F3B"/>
    <w:rsid w:val="00601DED"/>
    <w:rsid w:val="00606830"/>
    <w:rsid w:val="00607C54"/>
    <w:rsid w:val="006128B0"/>
    <w:rsid w:val="006169BB"/>
    <w:rsid w:val="006235A9"/>
    <w:rsid w:val="00624DEB"/>
    <w:rsid w:val="006270CB"/>
    <w:rsid w:val="00640657"/>
    <w:rsid w:val="00640FD6"/>
    <w:rsid w:val="00647003"/>
    <w:rsid w:val="00656E59"/>
    <w:rsid w:val="006678F4"/>
    <w:rsid w:val="00670A9B"/>
    <w:rsid w:val="006730BE"/>
    <w:rsid w:val="00675C51"/>
    <w:rsid w:val="006774AF"/>
    <w:rsid w:val="006826BB"/>
    <w:rsid w:val="00684C42"/>
    <w:rsid w:val="00690C54"/>
    <w:rsid w:val="00692B1F"/>
    <w:rsid w:val="006A590A"/>
    <w:rsid w:val="006C225A"/>
    <w:rsid w:val="006C505A"/>
    <w:rsid w:val="006C795B"/>
    <w:rsid w:val="006D0187"/>
    <w:rsid w:val="006E3D76"/>
    <w:rsid w:val="006E79B7"/>
    <w:rsid w:val="006E7D8B"/>
    <w:rsid w:val="006F13E1"/>
    <w:rsid w:val="006F718A"/>
    <w:rsid w:val="007211C4"/>
    <w:rsid w:val="00741DD6"/>
    <w:rsid w:val="00747FF5"/>
    <w:rsid w:val="0075214F"/>
    <w:rsid w:val="00752358"/>
    <w:rsid w:val="00761519"/>
    <w:rsid w:val="00762833"/>
    <w:rsid w:val="00776050"/>
    <w:rsid w:val="0077624F"/>
    <w:rsid w:val="00787B34"/>
    <w:rsid w:val="007A5C0D"/>
    <w:rsid w:val="007A624F"/>
    <w:rsid w:val="007A7CA9"/>
    <w:rsid w:val="007B223C"/>
    <w:rsid w:val="007B265D"/>
    <w:rsid w:val="007C15A7"/>
    <w:rsid w:val="007D145D"/>
    <w:rsid w:val="007D3497"/>
    <w:rsid w:val="007D7F46"/>
    <w:rsid w:val="007E12B1"/>
    <w:rsid w:val="007F1AAF"/>
    <w:rsid w:val="007F5E13"/>
    <w:rsid w:val="00800315"/>
    <w:rsid w:val="00811409"/>
    <w:rsid w:val="00812C0A"/>
    <w:rsid w:val="00820846"/>
    <w:rsid w:val="008229F5"/>
    <w:rsid w:val="00826B13"/>
    <w:rsid w:val="0083197A"/>
    <w:rsid w:val="0083721E"/>
    <w:rsid w:val="00847427"/>
    <w:rsid w:val="008476B8"/>
    <w:rsid w:val="00847D0A"/>
    <w:rsid w:val="00851B0D"/>
    <w:rsid w:val="00853C16"/>
    <w:rsid w:val="008603A2"/>
    <w:rsid w:val="00863B8B"/>
    <w:rsid w:val="0087428A"/>
    <w:rsid w:val="008809AB"/>
    <w:rsid w:val="00885CA7"/>
    <w:rsid w:val="00886DA1"/>
    <w:rsid w:val="00897F4F"/>
    <w:rsid w:val="008B46EC"/>
    <w:rsid w:val="008C05ED"/>
    <w:rsid w:val="008C1BD5"/>
    <w:rsid w:val="008C5A78"/>
    <w:rsid w:val="008C609B"/>
    <w:rsid w:val="008C63FA"/>
    <w:rsid w:val="008D3610"/>
    <w:rsid w:val="008D3A0E"/>
    <w:rsid w:val="008E3F87"/>
    <w:rsid w:val="008E46A9"/>
    <w:rsid w:val="008F4152"/>
    <w:rsid w:val="008F7761"/>
    <w:rsid w:val="009020EC"/>
    <w:rsid w:val="009053CE"/>
    <w:rsid w:val="00910994"/>
    <w:rsid w:val="00925DE8"/>
    <w:rsid w:val="00931551"/>
    <w:rsid w:val="00937762"/>
    <w:rsid w:val="00945A34"/>
    <w:rsid w:val="00947A6A"/>
    <w:rsid w:val="0095307E"/>
    <w:rsid w:val="0096517C"/>
    <w:rsid w:val="00985CC9"/>
    <w:rsid w:val="00995658"/>
    <w:rsid w:val="009A5E48"/>
    <w:rsid w:val="009D32EB"/>
    <w:rsid w:val="009D4C6C"/>
    <w:rsid w:val="009E68B6"/>
    <w:rsid w:val="00A00FE6"/>
    <w:rsid w:val="00A03DF8"/>
    <w:rsid w:val="00A04AEF"/>
    <w:rsid w:val="00A062F9"/>
    <w:rsid w:val="00A149F7"/>
    <w:rsid w:val="00A26331"/>
    <w:rsid w:val="00A31D2B"/>
    <w:rsid w:val="00A44154"/>
    <w:rsid w:val="00A44926"/>
    <w:rsid w:val="00A478F8"/>
    <w:rsid w:val="00A620AD"/>
    <w:rsid w:val="00A64FA0"/>
    <w:rsid w:val="00A660C7"/>
    <w:rsid w:val="00A81D5E"/>
    <w:rsid w:val="00A91C72"/>
    <w:rsid w:val="00A932AC"/>
    <w:rsid w:val="00AA0CA0"/>
    <w:rsid w:val="00AB0FE2"/>
    <w:rsid w:val="00AB28E5"/>
    <w:rsid w:val="00AE5488"/>
    <w:rsid w:val="00AF39C6"/>
    <w:rsid w:val="00B0089A"/>
    <w:rsid w:val="00B03285"/>
    <w:rsid w:val="00B0348F"/>
    <w:rsid w:val="00B11FC6"/>
    <w:rsid w:val="00B31BA1"/>
    <w:rsid w:val="00B327FE"/>
    <w:rsid w:val="00B421DE"/>
    <w:rsid w:val="00B422E3"/>
    <w:rsid w:val="00B55C9F"/>
    <w:rsid w:val="00B6455F"/>
    <w:rsid w:val="00B709AB"/>
    <w:rsid w:val="00BA1568"/>
    <w:rsid w:val="00BB6018"/>
    <w:rsid w:val="00BC002D"/>
    <w:rsid w:val="00BC17DC"/>
    <w:rsid w:val="00BC3A92"/>
    <w:rsid w:val="00BE4B5C"/>
    <w:rsid w:val="00BF26A9"/>
    <w:rsid w:val="00BF35EA"/>
    <w:rsid w:val="00BF407C"/>
    <w:rsid w:val="00BF4551"/>
    <w:rsid w:val="00C00750"/>
    <w:rsid w:val="00C1366D"/>
    <w:rsid w:val="00C27571"/>
    <w:rsid w:val="00C33023"/>
    <w:rsid w:val="00C34750"/>
    <w:rsid w:val="00C359AA"/>
    <w:rsid w:val="00C519BD"/>
    <w:rsid w:val="00C55F9F"/>
    <w:rsid w:val="00C57476"/>
    <w:rsid w:val="00C578A1"/>
    <w:rsid w:val="00C61DED"/>
    <w:rsid w:val="00C6357C"/>
    <w:rsid w:val="00C659B0"/>
    <w:rsid w:val="00C75EAC"/>
    <w:rsid w:val="00CA4F4B"/>
    <w:rsid w:val="00CB1F51"/>
    <w:rsid w:val="00CC40E5"/>
    <w:rsid w:val="00CD347C"/>
    <w:rsid w:val="00CF0AFF"/>
    <w:rsid w:val="00D020F3"/>
    <w:rsid w:val="00D079C2"/>
    <w:rsid w:val="00D17E2C"/>
    <w:rsid w:val="00D21495"/>
    <w:rsid w:val="00D32566"/>
    <w:rsid w:val="00D37CED"/>
    <w:rsid w:val="00D86103"/>
    <w:rsid w:val="00D93C08"/>
    <w:rsid w:val="00D94BA1"/>
    <w:rsid w:val="00D9757D"/>
    <w:rsid w:val="00DA491D"/>
    <w:rsid w:val="00DB16FC"/>
    <w:rsid w:val="00DB1DEB"/>
    <w:rsid w:val="00DB20B0"/>
    <w:rsid w:val="00DB363F"/>
    <w:rsid w:val="00DC6EE0"/>
    <w:rsid w:val="00DC7B60"/>
    <w:rsid w:val="00DD1882"/>
    <w:rsid w:val="00DD2877"/>
    <w:rsid w:val="00DD2FCA"/>
    <w:rsid w:val="00DE3CA0"/>
    <w:rsid w:val="00DE4913"/>
    <w:rsid w:val="00DF29DF"/>
    <w:rsid w:val="00DF4E74"/>
    <w:rsid w:val="00E01081"/>
    <w:rsid w:val="00E3293B"/>
    <w:rsid w:val="00E442E6"/>
    <w:rsid w:val="00E46740"/>
    <w:rsid w:val="00E571EC"/>
    <w:rsid w:val="00E73104"/>
    <w:rsid w:val="00E74E52"/>
    <w:rsid w:val="00E80FBC"/>
    <w:rsid w:val="00E91F25"/>
    <w:rsid w:val="00EA4E8D"/>
    <w:rsid w:val="00EB0182"/>
    <w:rsid w:val="00EC2D1E"/>
    <w:rsid w:val="00EC3CDE"/>
    <w:rsid w:val="00EC3F7D"/>
    <w:rsid w:val="00ED0E09"/>
    <w:rsid w:val="00ED45F7"/>
    <w:rsid w:val="00EE3BF1"/>
    <w:rsid w:val="00EE523E"/>
    <w:rsid w:val="00EE7CA1"/>
    <w:rsid w:val="00EF5289"/>
    <w:rsid w:val="00F06786"/>
    <w:rsid w:val="00F076F4"/>
    <w:rsid w:val="00F159E5"/>
    <w:rsid w:val="00F26166"/>
    <w:rsid w:val="00F346CE"/>
    <w:rsid w:val="00F35AFF"/>
    <w:rsid w:val="00F36A13"/>
    <w:rsid w:val="00F44958"/>
    <w:rsid w:val="00F45A03"/>
    <w:rsid w:val="00F46D9A"/>
    <w:rsid w:val="00F571EA"/>
    <w:rsid w:val="00F572DE"/>
    <w:rsid w:val="00F66BF8"/>
    <w:rsid w:val="00F76A81"/>
    <w:rsid w:val="00F82954"/>
    <w:rsid w:val="00F849C8"/>
    <w:rsid w:val="00F85E9A"/>
    <w:rsid w:val="00F86299"/>
    <w:rsid w:val="00F95E86"/>
    <w:rsid w:val="00F9723E"/>
    <w:rsid w:val="00FA0C3F"/>
    <w:rsid w:val="00FA4D20"/>
    <w:rsid w:val="00FB0E32"/>
    <w:rsid w:val="00FB1984"/>
    <w:rsid w:val="00FB622F"/>
    <w:rsid w:val="00FC0051"/>
    <w:rsid w:val="00FC3F66"/>
    <w:rsid w:val="00FE1E0E"/>
    <w:rsid w:val="00FF0C82"/>
    <w:rsid w:val="00FF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BD74F05-4450-4071-9784-0B510F3F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pBdr>
        <w:bottom w:val="single" w:sz="4" w:space="3" w:color="auto"/>
      </w:pBd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40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pPr>
      <w:pBdr>
        <w:bottom w:val="single" w:sz="4" w:space="3" w:color="auto"/>
      </w:pBdr>
    </w:pPr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table" w:styleId="Tabellrutnt">
    <w:name w:val="Table Grid"/>
    <w:basedOn w:val="Normaltabell"/>
    <w:rsid w:val="00414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5F411D"/>
    <w:rPr>
      <w:rFonts w:ascii="Tahoma" w:hAnsi="Tahoma" w:cs="Tahoma"/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3F513C"/>
    <w:pPr>
      <w:spacing w:before="62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334688">
      <w:bodyDiv w:val="1"/>
      <w:marLeft w:val="30"/>
      <w:marRight w:val="6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1333">
          <w:marLeft w:val="0"/>
          <w:marRight w:val="0"/>
          <w:marTop w:val="0"/>
          <w:marBottom w:val="0"/>
          <w:divBdr>
            <w:top w:val="single" w:sz="2" w:space="8" w:color="787878"/>
            <w:left w:val="single" w:sz="6" w:space="0" w:color="787878"/>
            <w:bottom w:val="single" w:sz="2" w:space="8" w:color="787878"/>
            <w:right w:val="single" w:sz="6" w:space="8" w:color="787878"/>
          </w:divBdr>
          <w:divsChild>
            <w:div w:id="12558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875501">
      <w:bodyDiv w:val="1"/>
      <w:marLeft w:val="30"/>
      <w:marRight w:val="60"/>
      <w:marTop w:val="3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5370">
          <w:marLeft w:val="0"/>
          <w:marRight w:val="0"/>
          <w:marTop w:val="0"/>
          <w:marBottom w:val="0"/>
          <w:divBdr>
            <w:top w:val="single" w:sz="2" w:space="8" w:color="787878"/>
            <w:left w:val="single" w:sz="6" w:space="0" w:color="787878"/>
            <w:bottom w:val="single" w:sz="2" w:space="8" w:color="787878"/>
            <w:right w:val="single" w:sz="6" w:space="8" w:color="787878"/>
          </w:divBdr>
          <w:divsChild>
            <w:div w:id="4596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3.xml"/><Relationship Id="rId42" Type="http://schemas.openxmlformats.org/officeDocument/2006/relationships/header" Target="header18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9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5.xml"/><Relationship Id="rId40" Type="http://schemas.openxmlformats.org/officeDocument/2006/relationships/footer" Target="footer16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28" Type="http://schemas.openxmlformats.org/officeDocument/2006/relationships/footer" Target="footer10.xml"/><Relationship Id="rId36" Type="http://schemas.openxmlformats.org/officeDocument/2006/relationships/header" Target="header1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header" Target="header11.xml"/><Relationship Id="rId30" Type="http://schemas.openxmlformats.org/officeDocument/2006/relationships/header" Target="header12.xml"/><Relationship Id="rId35" Type="http://schemas.openxmlformats.org/officeDocument/2006/relationships/footer" Target="footer14.xml"/><Relationship Id="rId43" Type="http://schemas.openxmlformats.org/officeDocument/2006/relationships/footer" Target="footer18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33" Type="http://schemas.openxmlformats.org/officeDocument/2006/relationships/header" Target="header14.xml"/><Relationship Id="rId38" Type="http://schemas.openxmlformats.org/officeDocument/2006/relationships/header" Target="header16.xml"/><Relationship Id="rId20" Type="http://schemas.openxmlformats.org/officeDocument/2006/relationships/header" Target="header7.xml"/><Relationship Id="rId41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3240</Words>
  <Characters>20451</Characters>
  <Application>Microsoft Office Word</Application>
  <DocSecurity>4</DocSecurity>
  <Lines>498</Lines>
  <Paragraphs>165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13</vt:i4>
      </vt:variant>
    </vt:vector>
  </HeadingPairs>
  <TitlesOfParts>
    <vt:vector size="14" baseType="lpstr">
      <vt:lpstr>1999/2000:T1</vt:lpstr>
      <vt:lpstr>Sammanfattning</vt:lpstr>
      <vt:lpstr>Innehållsförteckning</vt:lpstr>
      <vt:lpstr>Förslag till riksdagsbeslut</vt:lpstr>
      <vt:lpstr>Redogörelse för ärendet</vt:lpstr>
      <vt:lpstr>Överväganden</vt:lpstr>
      <vt:lpstr>    Ändringar i lagen (2002:1022) om revision av statlig verksamhet m.m. </vt:lpstr>
      <vt:lpstr>        Affärsverkens delårsrapporter</vt:lpstr>
      <vt:lpstr>    Ändringar i lagen (2002:1023) med instruktion för Riksrevisionen</vt:lpstr>
      <vt:lpstr>        Riksrevisorernas arbetsfördelning i granskningsverksamheten</vt:lpstr>
      <vt:lpstr>        Riksrevisionens opartiskhet och självständighet</vt:lpstr>
      <vt:lpstr>Lagtext</vt:lpstr>
      <vt:lpstr>    1.1 Förslag till lag om ändring i lagen (2002:1022) om revision av statlig verks</vt:lpstr>
      <vt:lpstr>    1.2 Förslag till lag om ändring i lagen (2002:1023) med instruktion för Riksrev</vt:lpstr>
    </vt:vector>
  </TitlesOfParts>
  <Company>Riksdagen</Company>
  <LinksUpToDate>false</LinksUpToDate>
  <CharactersWithSpaces>23526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1999/2000:T1</dc:title>
  <dc:subject>1999/2000:T1</dc:subject>
  <dc:creator>Riksdagen</dc:creator>
  <cp:keywords>Riksdagen</cp:keywords>
  <cp:lastModifiedBy>Lars Brink</cp:lastModifiedBy>
  <cp:revision>2</cp:revision>
  <cp:lastPrinted>2006-05-22T10:54:00Z</cp:lastPrinted>
  <dcterms:created xsi:type="dcterms:W3CDTF">2025-12-16T22:20:00Z</dcterms:created>
  <dcterms:modified xsi:type="dcterms:W3CDTF">2025-12-16T22:20:00Z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28</vt:lpwstr>
  </property>
  <property fmtid="{D5CDD505-2E9C-101B-9397-08002B2CF9AE}" pid="3" name="Utskott">
    <vt:lpwstr>RRS</vt:lpwstr>
  </property>
  <property fmtid="{D5CDD505-2E9C-101B-9397-08002B2CF9AE}" pid="4" name="BetänkandeÅr">
    <vt:lpwstr>2005/06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