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FC376B" w:rsidRPr="00A6333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C376B" w:rsidRPr="00A6333C" w:rsidRDefault="00FC376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FC376B" w:rsidRPr="00A6333C" w:rsidRDefault="00FC376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C376B" w:rsidRPr="00A6333C" w:rsidRDefault="00FC376B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6333C">
              <w:rPr>
                <w:rFonts w:ascii="TradeGothic" w:hAnsi="TradeGothic"/>
                <w:b/>
                <w:sz w:val="22"/>
              </w:rPr>
              <w:t xml:space="preserve">PM </w:t>
            </w:r>
            <w:r w:rsidR="00A834AB" w:rsidRPr="00A6333C">
              <w:rPr>
                <w:rFonts w:ascii="TradeGothic" w:hAnsi="TradeGothic"/>
                <w:b/>
                <w:sz w:val="22"/>
              </w:rPr>
              <w:t>till Riksdagen</w:t>
            </w:r>
          </w:p>
        </w:tc>
        <w:tc>
          <w:tcPr>
            <w:tcW w:w="2347" w:type="dxa"/>
            <w:gridSpan w:val="2"/>
          </w:tcPr>
          <w:p w:rsidR="00FC376B" w:rsidRPr="00A6333C" w:rsidRDefault="004664F4">
            <w:pPr>
              <w:framePr w:w="4400" w:h="1644" w:wrap="notBeside" w:vAnchor="page" w:hAnchor="page" w:x="6573" w:y="721"/>
              <w:rPr>
                <w:rFonts w:ascii="TradeGothic" w:hAnsi="TradeGothic"/>
                <w:iCs/>
                <w:sz w:val="22"/>
              </w:rPr>
            </w:pPr>
            <w:r w:rsidRPr="00A6333C">
              <w:rPr>
                <w:rFonts w:ascii="TradeGothic" w:hAnsi="TradeGothic"/>
                <w:iCs/>
                <w:sz w:val="22"/>
              </w:rPr>
              <w:t>Fi200</w:t>
            </w:r>
            <w:r w:rsidR="006B051B" w:rsidRPr="00A6333C">
              <w:rPr>
                <w:rFonts w:ascii="TradeGothic" w:hAnsi="TradeGothic"/>
                <w:iCs/>
                <w:sz w:val="22"/>
              </w:rPr>
              <w:t>8</w:t>
            </w:r>
            <w:r w:rsidRPr="00A6333C">
              <w:rPr>
                <w:rFonts w:ascii="TradeGothic" w:hAnsi="TradeGothic"/>
                <w:iCs/>
                <w:sz w:val="22"/>
              </w:rPr>
              <w:t>/</w:t>
            </w:r>
            <w:r w:rsidR="006B051B" w:rsidRPr="00A6333C">
              <w:rPr>
                <w:rFonts w:ascii="TradeGothic" w:hAnsi="TradeGothic"/>
                <w:iCs/>
                <w:sz w:val="22"/>
              </w:rPr>
              <w:t>3519</w:t>
            </w: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FC376B" w:rsidRPr="00A6333C" w:rsidRDefault="00FC376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FC376B" w:rsidRPr="00A6333C" w:rsidRDefault="00FC376B">
            <w:pPr>
              <w:framePr w:w="4400" w:h="1644" w:wrap="notBeside" w:vAnchor="page" w:hAnchor="page" w:x="6573" w:y="721"/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C376B" w:rsidRPr="00A6333C" w:rsidRDefault="00FC376B">
            <w:pPr>
              <w:framePr w:w="4400" w:h="1644" w:wrap="notBeside" w:vAnchor="page" w:hAnchor="page" w:x="6573" w:y="721"/>
            </w:pPr>
            <w:r w:rsidRPr="00A6333C">
              <w:t>200</w:t>
            </w:r>
            <w:r w:rsidR="006B051B" w:rsidRPr="00A6333C">
              <w:t>8</w:t>
            </w:r>
            <w:r w:rsidRPr="00A6333C">
              <w:t>-0</w:t>
            </w:r>
            <w:r w:rsidR="006B051B" w:rsidRPr="00A6333C">
              <w:t>7</w:t>
            </w:r>
            <w:r w:rsidRPr="00A6333C">
              <w:t>-</w:t>
            </w:r>
            <w:r w:rsidR="006B051B" w:rsidRPr="00A6333C">
              <w:t>0</w:t>
            </w:r>
            <w:r w:rsidR="001F153A" w:rsidRPr="00A6333C">
              <w:t>8</w:t>
            </w:r>
          </w:p>
        </w:tc>
        <w:tc>
          <w:tcPr>
            <w:tcW w:w="2347" w:type="dxa"/>
            <w:gridSpan w:val="2"/>
          </w:tcPr>
          <w:p w:rsidR="00FC376B" w:rsidRPr="00A6333C" w:rsidRDefault="00FC376B">
            <w:pPr>
              <w:framePr w:w="4400" w:h="1644" w:wrap="notBeside" w:vAnchor="page" w:hAnchor="page" w:x="6573" w:y="721"/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C376B" w:rsidRPr="00A6333C" w:rsidRDefault="00FC376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FC376B" w:rsidRPr="00A6333C" w:rsidRDefault="00FC376B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A6333C">
              <w:rPr>
                <w:b/>
                <w:i w:val="0"/>
                <w:sz w:val="22"/>
              </w:rPr>
              <w:t>Finansdepartementet</w:t>
            </w: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6333C">
              <w:rPr>
                <w:bCs/>
                <w:iCs/>
              </w:rPr>
              <w:t>Budgetavdelningen</w:t>
            </w: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6333C">
              <w:rPr>
                <w:bCs/>
                <w:iCs/>
              </w:rPr>
              <w:t>EU-budgetenheten</w:t>
            </w: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A633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A6333C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FC376B" w:rsidRPr="00A6333C" w:rsidRDefault="00FC376B">
      <w:pPr>
        <w:framePr w:w="4400" w:h="2523" w:wrap="notBeside" w:vAnchor="page" w:hAnchor="page" w:x="6453" w:y="2445"/>
        <w:ind w:left="142"/>
      </w:pPr>
      <w:r w:rsidRPr="00A6333C">
        <w:t>EU-nämnden</w:t>
      </w:r>
    </w:p>
    <w:p w:rsidR="00FC376B" w:rsidRPr="00A6333C" w:rsidRDefault="00FC376B">
      <w:pPr>
        <w:framePr w:w="4400" w:h="2523" w:wrap="notBeside" w:vAnchor="page" w:hAnchor="page" w:x="6453" w:y="2445"/>
        <w:ind w:left="142"/>
      </w:pPr>
    </w:p>
    <w:p w:rsidR="00FC376B" w:rsidRPr="00A6333C" w:rsidRDefault="00FC376B">
      <w:pPr>
        <w:framePr w:w="4400" w:h="2523" w:wrap="notBeside" w:vAnchor="page" w:hAnchor="page" w:x="6453" w:y="2445"/>
        <w:ind w:left="142"/>
      </w:pPr>
      <w:r w:rsidRPr="00A6333C">
        <w:t>Inför Ekofinrådet den 1</w:t>
      </w:r>
      <w:r w:rsidR="006B051B" w:rsidRPr="00A6333C">
        <w:t>7</w:t>
      </w:r>
      <w:r w:rsidRPr="00A6333C">
        <w:t xml:space="preserve"> juli 200</w:t>
      </w:r>
      <w:r w:rsidR="006B051B" w:rsidRPr="00A6333C">
        <w:t>8</w:t>
      </w:r>
    </w:p>
    <w:p w:rsidR="00FC376B" w:rsidRPr="00A6333C" w:rsidRDefault="00FC376B">
      <w:pPr>
        <w:pStyle w:val="RKrubrik"/>
        <w:pBdr>
          <w:bottom w:val="single" w:sz="4" w:space="1" w:color="000000"/>
        </w:pBdr>
        <w:spacing w:before="0" w:after="0"/>
      </w:pPr>
      <w:r w:rsidRPr="00A6333C">
        <w:t>Rådets första</w:t>
      </w:r>
      <w:r w:rsidR="006B051B" w:rsidRPr="00A6333C">
        <w:t xml:space="preserve"> läsning av EU:s budget för 2009</w:t>
      </w:r>
    </w:p>
    <w:p w:rsidR="00FC376B" w:rsidRPr="00A6333C" w:rsidRDefault="00FC376B">
      <w:pPr>
        <w:pStyle w:val="RKrubrik"/>
      </w:pPr>
      <w:r w:rsidRPr="00A6333C">
        <w:t>EU:s budgetprocess</w:t>
      </w:r>
    </w:p>
    <w:p w:rsidR="00FC376B" w:rsidRPr="00A6333C" w:rsidRDefault="00FC376B">
      <w:pPr>
        <w:pStyle w:val="RKnormal"/>
        <w:numPr>
          <w:ilvl w:val="0"/>
          <w:numId w:val="1"/>
        </w:numPr>
      </w:pPr>
      <w:r w:rsidRPr="00A6333C">
        <w:t>Kommissionen (KOM) fattade beslu</w:t>
      </w:r>
      <w:r w:rsidR="006B051B" w:rsidRPr="00A6333C">
        <w:t xml:space="preserve">t om sitt budgetförslag för 2009 </w:t>
      </w:r>
      <w:r w:rsidRPr="00A6333C">
        <w:t xml:space="preserve">den </w:t>
      </w:r>
      <w:r w:rsidR="006B051B" w:rsidRPr="00A6333C">
        <w:t>6</w:t>
      </w:r>
      <w:r w:rsidRPr="00A6333C">
        <w:t xml:space="preserve"> maj i år.</w:t>
      </w:r>
    </w:p>
    <w:p w:rsidR="00FC376B" w:rsidRPr="00A6333C" w:rsidRDefault="00FC376B">
      <w:pPr>
        <w:pStyle w:val="RKnormal"/>
        <w:numPr>
          <w:ilvl w:val="0"/>
          <w:numId w:val="1"/>
        </w:numPr>
      </w:pPr>
      <w:r w:rsidRPr="00A6333C">
        <w:t xml:space="preserve">Förslaget har behandlats av budgetkommittén som har nått en uppgörelse med kvalificerad majoritet. Uppgörelsen </w:t>
      </w:r>
      <w:r w:rsidR="0037183D" w:rsidRPr="00A6333C">
        <w:t xml:space="preserve">behandlas av Coreper den </w:t>
      </w:r>
      <w:r w:rsidR="004352D0" w:rsidRPr="00A6333C">
        <w:t>9</w:t>
      </w:r>
      <w:r w:rsidRPr="00A6333C">
        <w:t xml:space="preserve"> juli.</w:t>
      </w:r>
    </w:p>
    <w:p w:rsidR="00FC376B" w:rsidRPr="00A6333C" w:rsidRDefault="004352D0">
      <w:pPr>
        <w:pStyle w:val="RKnormal"/>
        <w:numPr>
          <w:ilvl w:val="0"/>
          <w:numId w:val="1"/>
        </w:numPr>
      </w:pPr>
      <w:r w:rsidRPr="00A6333C">
        <w:t>Ekofin genomför sin första läsning av kommiss</w:t>
      </w:r>
      <w:r w:rsidR="00F108D2" w:rsidRPr="00A6333C">
        <w:t xml:space="preserve">ionens budgetförslag </w:t>
      </w:r>
      <w:r w:rsidRPr="00A6333C">
        <w:t>den 17 juli.</w:t>
      </w:r>
      <w:r w:rsidR="00FC376B" w:rsidRPr="00A6333C">
        <w:t xml:space="preserve"> I samband med Ekofinmötet sker ett förlikningsmöte med Europaparlamentet.</w:t>
      </w:r>
    </w:p>
    <w:p w:rsidR="00FC376B" w:rsidRPr="00A6333C" w:rsidRDefault="0037183D">
      <w:pPr>
        <w:pStyle w:val="RKnormal"/>
        <w:numPr>
          <w:ilvl w:val="0"/>
          <w:numId w:val="1"/>
        </w:numPr>
      </w:pPr>
      <w:r w:rsidRPr="00A6333C">
        <w:t>Den 25</w:t>
      </w:r>
      <w:r w:rsidR="00FC376B" w:rsidRPr="00A6333C">
        <w:t xml:space="preserve"> oktober genomför Europaparlamentet (EP) sin första läsning av rådets förslag. </w:t>
      </w:r>
    </w:p>
    <w:p w:rsidR="004352D0" w:rsidRPr="00A6333C" w:rsidRDefault="004352D0" w:rsidP="004352D0">
      <w:pPr>
        <w:pStyle w:val="RKnormal"/>
        <w:numPr>
          <w:ilvl w:val="0"/>
          <w:numId w:val="1"/>
        </w:numPr>
      </w:pPr>
      <w:r w:rsidRPr="00A6333C">
        <w:t>Ekofin rådet genomför sin andra läsning av budgetförslaget den 23 november</w:t>
      </w:r>
    </w:p>
    <w:p w:rsidR="00FC376B" w:rsidRPr="00A6333C" w:rsidRDefault="00FC376B">
      <w:pPr>
        <w:pStyle w:val="RKnormal"/>
        <w:numPr>
          <w:ilvl w:val="0"/>
          <w:numId w:val="1"/>
        </w:numPr>
      </w:pPr>
      <w:r w:rsidRPr="00A6333C">
        <w:t xml:space="preserve">EP genomför sin </w:t>
      </w:r>
      <w:r w:rsidR="0037183D" w:rsidRPr="00A6333C">
        <w:t>andra läsning av budgeten den 13</w:t>
      </w:r>
      <w:r w:rsidRPr="00A6333C">
        <w:t xml:space="preserve"> december och fastställer därmed budgeten för 200</w:t>
      </w:r>
      <w:r w:rsidR="00DB2211" w:rsidRPr="00A6333C">
        <w:t>8</w:t>
      </w:r>
      <w:r w:rsidRPr="00A6333C">
        <w:t xml:space="preserve">. </w:t>
      </w:r>
    </w:p>
    <w:p w:rsidR="00FC376B" w:rsidRPr="00A6333C" w:rsidRDefault="00FC376B">
      <w:pPr>
        <w:pStyle w:val="RKrubrik"/>
      </w:pPr>
      <w:r w:rsidRPr="00A6333C">
        <w:t>KOM:s p</w:t>
      </w:r>
      <w:r w:rsidR="004352D0" w:rsidRPr="00A6333C">
        <w:t>reliminära budgetutkast för 2009</w:t>
      </w:r>
    </w:p>
    <w:p w:rsidR="00693297" w:rsidRPr="00A6333C" w:rsidRDefault="00693297" w:rsidP="00693297">
      <w:pPr>
        <w:pStyle w:val="RKnormal"/>
      </w:pPr>
      <w:r w:rsidRPr="00A6333C">
        <w:t xml:space="preserve">Kommissionen presenterade den 6 maj det preliminära budgetförslaget för 2009. Budgeten för 2009 är den tredje inom ramen för den fleråriga budgetramen som sträcker sig över perioden 2007-2013. </w:t>
      </w:r>
    </w:p>
    <w:p w:rsidR="0037183D" w:rsidRPr="00A6333C" w:rsidRDefault="0037183D" w:rsidP="0037183D">
      <w:pPr>
        <w:pStyle w:val="RKnormal"/>
      </w:pPr>
    </w:p>
    <w:p w:rsidR="00693297" w:rsidRPr="00A6333C" w:rsidRDefault="00693297" w:rsidP="00693297">
      <w:pPr>
        <w:pStyle w:val="RKnormal"/>
      </w:pPr>
      <w:r w:rsidRPr="00A6333C">
        <w:t>Kommissionens förslag till budget för 2009 innebär en ökning av åtaganden med 3,1 % jämfört med budgeten för 2008 till 134,4 miljarder euro, vilket motsvarar 1,04 % av EU:s samlade BNI. Betalningsanslagen har minskat med 3,3 % jämfört med budgeten för 2008 till 116,7 miljarder euro, vilket i sin tur motsvarar 0,90 % av EU:s samlade BNI. Förslaget ligger inom de utgiftsramar som rådet, Europa</w:t>
      </w:r>
      <w:r w:rsidRPr="00A6333C">
        <w:softHyphen/>
        <w:t xml:space="preserve">parlamentet och kommissionen beslutat om i den fleråriga budgetramen. </w:t>
      </w:r>
    </w:p>
    <w:p w:rsidR="00693297" w:rsidRPr="00A6333C" w:rsidRDefault="00693297" w:rsidP="0037183D">
      <w:pPr>
        <w:pStyle w:val="RKnormal"/>
      </w:pPr>
    </w:p>
    <w:p w:rsidR="00693297" w:rsidRPr="00A6333C" w:rsidRDefault="00693297" w:rsidP="00693297">
      <w:pPr>
        <w:pStyle w:val="RKnormal"/>
      </w:pPr>
    </w:p>
    <w:p w:rsidR="00693297" w:rsidRPr="00A6333C" w:rsidRDefault="00693297" w:rsidP="00693297">
      <w:pPr>
        <w:pStyle w:val="RKnormal"/>
      </w:pPr>
      <w:r w:rsidRPr="00A6333C">
        <w:t>De huvudsakliga orsakerna till ökningen av åtaganden kan hänföras till ökade satsningar på FoU, att sammanhållnings</w:t>
      </w:r>
      <w:r w:rsidRPr="00A6333C">
        <w:softHyphen/>
        <w:t xml:space="preserve">politiken stärks särskilt för nya MS, infasning av nya MS vad gäller jordbruksstödet samt satsningar på hantering av migrationsströmmar. När det gäller betalningar minskar dessa </w:t>
      </w:r>
      <w:r w:rsidRPr="00A6333C">
        <w:lastRenderedPageBreak/>
        <w:t xml:space="preserve">för 2009 framför allt pga. att </w:t>
      </w:r>
      <w:r w:rsidR="00F108D2" w:rsidRPr="00A6333C">
        <w:t>löpande ut</w:t>
      </w:r>
      <w:r w:rsidRPr="00A6333C">
        <w:t xml:space="preserve">betalningar som härrör till förra programperioden nu upphör. </w:t>
      </w:r>
    </w:p>
    <w:p w:rsidR="00693297" w:rsidRPr="00A6333C" w:rsidRDefault="00693297" w:rsidP="00693297">
      <w:pPr>
        <w:pStyle w:val="RKnormal"/>
      </w:pPr>
    </w:p>
    <w:p w:rsidR="00693297" w:rsidRPr="00A6333C" w:rsidRDefault="00693297" w:rsidP="00693297">
      <w:pPr>
        <w:pStyle w:val="RKnormal"/>
      </w:pPr>
      <w:r w:rsidRPr="00A6333C">
        <w:t xml:space="preserve">KOM:s förslag avseende betalningsanslagen år 2009 innebära att den svenska EU-avgiften uppskattas bli närmare </w:t>
      </w:r>
      <w:r w:rsidR="00F55309" w:rsidRPr="00A6333C">
        <w:t xml:space="preserve">0,5 </w:t>
      </w:r>
      <w:r w:rsidRPr="00A6333C">
        <w:t>mil</w:t>
      </w:r>
      <w:r w:rsidR="00F55309" w:rsidRPr="00A6333C">
        <w:t>jard kronor</w:t>
      </w:r>
      <w:r w:rsidRPr="00A6333C">
        <w:t xml:space="preserve"> lägre</w:t>
      </w:r>
      <w:r w:rsidR="00F628AD" w:rsidRPr="00A6333C">
        <w:t>, allt annat lika,</w:t>
      </w:r>
      <w:r w:rsidRPr="00A6333C">
        <w:t xml:space="preserve"> jämfört med de beräknade </w:t>
      </w:r>
      <w:r w:rsidR="00F628AD" w:rsidRPr="00A6333C">
        <w:t>19,3</w:t>
      </w:r>
      <w:r w:rsidRPr="00A6333C">
        <w:t xml:space="preserve"> miljarder kronor som redovisades i 2008 års ekonomiska vårproposition.</w:t>
      </w:r>
    </w:p>
    <w:p w:rsidR="00FC376B" w:rsidRPr="00A6333C" w:rsidRDefault="00FC376B">
      <w:pPr>
        <w:pStyle w:val="RKrubrik"/>
      </w:pPr>
      <w:r w:rsidRPr="00A6333C">
        <w:t>Rådets kompromiss</w:t>
      </w:r>
    </w:p>
    <w:p w:rsidR="00EC219E" w:rsidRPr="00A6333C" w:rsidRDefault="00FC376B" w:rsidP="00EC219E">
      <w:pPr>
        <w:pStyle w:val="RKnormal"/>
      </w:pPr>
      <w:r w:rsidRPr="00A6333C">
        <w:t xml:space="preserve">Kompromissförslaget innebär en minskning gentemot KOMs förslag med </w:t>
      </w:r>
      <w:r w:rsidR="00136172" w:rsidRPr="00A6333C">
        <w:t>470 miljoner eur</w:t>
      </w:r>
      <w:r w:rsidRPr="00A6333C">
        <w:t xml:space="preserve">o för åtaganden och </w:t>
      </w:r>
      <w:r w:rsidR="00136172" w:rsidRPr="00A6333C">
        <w:t xml:space="preserve">1 771 </w:t>
      </w:r>
      <w:r w:rsidRPr="00A6333C">
        <w:t xml:space="preserve">miljoner euro för betalningarna. </w:t>
      </w:r>
    </w:p>
    <w:p w:rsidR="00EC219E" w:rsidRPr="00A6333C" w:rsidRDefault="00EC219E">
      <w:pPr>
        <w:pStyle w:val="RKnormal"/>
      </w:pPr>
    </w:p>
    <w:p w:rsidR="00FC376B" w:rsidRPr="00A6333C" w:rsidRDefault="00FC376B">
      <w:pPr>
        <w:pStyle w:val="RKnormal"/>
      </w:pPr>
      <w:r w:rsidRPr="00A6333C">
        <w:t>Förändringarna i relation ti</w:t>
      </w:r>
      <w:r w:rsidR="00DB2211" w:rsidRPr="00A6333C">
        <w:t>ll KOM:s förslag ser översiktligt</w:t>
      </w:r>
      <w:r w:rsidRPr="00A6333C">
        <w:t xml:space="preserve"> ut på följande sätt:</w:t>
      </w:r>
    </w:p>
    <w:p w:rsidR="0019768C" w:rsidRPr="00A6333C" w:rsidRDefault="0019768C" w:rsidP="0019768C">
      <w:pPr>
        <w:pStyle w:val="RKnormal"/>
        <w:numPr>
          <w:ilvl w:val="0"/>
          <w:numId w:val="4"/>
        </w:numPr>
      </w:pPr>
      <w:r w:rsidRPr="00A6333C">
        <w:rPr>
          <w:i/>
          <w:iCs/>
        </w:rPr>
        <w:t>Rubrik 1a</w:t>
      </w:r>
      <w:r w:rsidRPr="00A6333C">
        <w:t xml:space="preserve">: Åtagandena dras ned med </w:t>
      </w:r>
      <w:r w:rsidR="00BC6F30" w:rsidRPr="00A6333C">
        <w:t>78</w:t>
      </w:r>
      <w:r w:rsidRPr="00A6333C">
        <w:t xml:space="preserve"> m</w:t>
      </w:r>
      <w:r w:rsidR="00AC6F64" w:rsidRPr="00A6333C">
        <w:t xml:space="preserve">iljoner </w:t>
      </w:r>
      <w:r w:rsidRPr="00A6333C">
        <w:t xml:space="preserve">euro och betalningarna med </w:t>
      </w:r>
      <w:r w:rsidR="00BC6F30" w:rsidRPr="00A6333C">
        <w:t>471</w:t>
      </w:r>
      <w:r w:rsidRPr="00A6333C">
        <w:t xml:space="preserve"> </w:t>
      </w:r>
      <w:r w:rsidR="00AC6F64" w:rsidRPr="00A6333C">
        <w:t xml:space="preserve">miljoner </w:t>
      </w:r>
      <w:r w:rsidRPr="00A6333C">
        <w:t xml:space="preserve">euro. Åtagandena minskar </w:t>
      </w:r>
      <w:r w:rsidR="005079B9" w:rsidRPr="00A6333C">
        <w:t xml:space="preserve">i huvudsak </w:t>
      </w:r>
      <w:r w:rsidR="004573C5" w:rsidRPr="00A6333C">
        <w:t>på de administrativa delarna.</w:t>
      </w:r>
      <w:r w:rsidRPr="00A6333C">
        <w:t xml:space="preserve"> </w:t>
      </w:r>
    </w:p>
    <w:p w:rsidR="0019768C" w:rsidRPr="00A6333C" w:rsidRDefault="0019768C" w:rsidP="0019768C">
      <w:pPr>
        <w:pStyle w:val="RKnormal"/>
      </w:pPr>
    </w:p>
    <w:p w:rsidR="0019768C" w:rsidRPr="00A6333C" w:rsidRDefault="0019768C" w:rsidP="0019768C">
      <w:pPr>
        <w:pStyle w:val="RKnormal"/>
        <w:numPr>
          <w:ilvl w:val="0"/>
          <w:numId w:val="4"/>
        </w:numPr>
      </w:pPr>
      <w:r w:rsidRPr="00A6333C">
        <w:rPr>
          <w:i/>
          <w:iCs/>
        </w:rPr>
        <w:t>Rubrik 1b</w:t>
      </w:r>
      <w:r w:rsidRPr="00A6333C">
        <w:t xml:space="preserve">: Betalningarna dras ned med </w:t>
      </w:r>
      <w:r w:rsidR="005079B9" w:rsidRPr="00A6333C">
        <w:t>250</w:t>
      </w:r>
      <w:r w:rsidRPr="00A6333C">
        <w:t xml:space="preserve"> </w:t>
      </w:r>
      <w:r w:rsidR="00AC6F64" w:rsidRPr="00A6333C">
        <w:t xml:space="preserve">miljoner </w:t>
      </w:r>
      <w:r w:rsidRPr="00A6333C">
        <w:t>euro främst för social- och regionalfond</w:t>
      </w:r>
      <w:r w:rsidR="004573C5" w:rsidRPr="00A6333C">
        <w:t>en</w:t>
      </w:r>
      <w:r w:rsidRPr="00A6333C">
        <w:t xml:space="preserve">. </w:t>
      </w:r>
    </w:p>
    <w:p w:rsidR="0019768C" w:rsidRPr="00A6333C" w:rsidRDefault="0019768C" w:rsidP="0019768C">
      <w:pPr>
        <w:pStyle w:val="RKnormal"/>
      </w:pPr>
    </w:p>
    <w:p w:rsidR="0019768C" w:rsidRPr="00A6333C" w:rsidRDefault="0019768C" w:rsidP="0019768C">
      <w:pPr>
        <w:pStyle w:val="RKnormal"/>
        <w:numPr>
          <w:ilvl w:val="0"/>
          <w:numId w:val="4"/>
        </w:numPr>
        <w:rPr>
          <w:color w:val="000000"/>
          <w:szCs w:val="24"/>
        </w:rPr>
      </w:pPr>
      <w:r w:rsidRPr="00A6333C">
        <w:rPr>
          <w:i/>
          <w:iCs/>
        </w:rPr>
        <w:t>Rubrik 2</w:t>
      </w:r>
      <w:r w:rsidRPr="00A6333C">
        <w:t xml:space="preserve">: Åtagandena </w:t>
      </w:r>
      <w:r w:rsidR="0049373D" w:rsidRPr="00A6333C">
        <w:t xml:space="preserve">dras ned med 382 </w:t>
      </w:r>
      <w:r w:rsidR="00AC6F64" w:rsidRPr="00A6333C">
        <w:t xml:space="preserve">miljoner </w:t>
      </w:r>
      <w:r w:rsidR="0049373D" w:rsidRPr="00A6333C">
        <w:t>euro och betalningarna</w:t>
      </w:r>
      <w:r w:rsidRPr="00A6333C">
        <w:t xml:space="preserve"> med </w:t>
      </w:r>
      <w:r w:rsidR="0049373D" w:rsidRPr="00A6333C">
        <w:t>498</w:t>
      </w:r>
      <w:r w:rsidRPr="00A6333C">
        <w:t xml:space="preserve"> </w:t>
      </w:r>
      <w:r w:rsidR="00AC6F64" w:rsidRPr="00A6333C">
        <w:t xml:space="preserve">miljoner </w:t>
      </w:r>
      <w:r w:rsidRPr="00A6333C">
        <w:t>euro.</w:t>
      </w:r>
      <w:r w:rsidRPr="00A6333C">
        <w:rPr>
          <w:color w:val="000000"/>
          <w:szCs w:val="24"/>
        </w:rPr>
        <w:t xml:space="preserve"> </w:t>
      </w:r>
      <w:r w:rsidR="0049373D" w:rsidRPr="00A6333C">
        <w:rPr>
          <w:color w:val="000000"/>
          <w:szCs w:val="24"/>
        </w:rPr>
        <w:t>Neddragningar har i huvudsak gjorts inom marknadsstödet samt</w:t>
      </w:r>
      <w:r w:rsidR="00E80416" w:rsidRPr="00A6333C">
        <w:rPr>
          <w:color w:val="000000"/>
          <w:szCs w:val="24"/>
        </w:rPr>
        <w:t xml:space="preserve"> godkänna</w:t>
      </w:r>
      <w:r w:rsidR="004573C5" w:rsidRPr="00A6333C">
        <w:rPr>
          <w:color w:val="000000"/>
          <w:szCs w:val="24"/>
        </w:rPr>
        <w:t>n</w:t>
      </w:r>
      <w:r w:rsidR="00E80416" w:rsidRPr="00A6333C">
        <w:rPr>
          <w:color w:val="000000"/>
          <w:szCs w:val="24"/>
        </w:rPr>
        <w:t>de av tidigare års räkenskaper.</w:t>
      </w:r>
      <w:r w:rsidRPr="00A6333C">
        <w:rPr>
          <w:color w:val="000000"/>
          <w:szCs w:val="24"/>
        </w:rPr>
        <w:t xml:space="preserve"> </w:t>
      </w:r>
    </w:p>
    <w:p w:rsidR="0019768C" w:rsidRPr="00A6333C" w:rsidRDefault="0019768C" w:rsidP="0019768C">
      <w:pPr>
        <w:pStyle w:val="RKnormal"/>
        <w:ind w:left="360"/>
      </w:pPr>
    </w:p>
    <w:p w:rsidR="00010D9A" w:rsidRPr="00A6333C" w:rsidRDefault="0019768C" w:rsidP="0019768C">
      <w:pPr>
        <w:pStyle w:val="RKnormal"/>
        <w:numPr>
          <w:ilvl w:val="0"/>
          <w:numId w:val="4"/>
        </w:numPr>
      </w:pPr>
      <w:r w:rsidRPr="00A6333C">
        <w:rPr>
          <w:i/>
          <w:iCs/>
        </w:rPr>
        <w:t>Rubrik 3a</w:t>
      </w:r>
      <w:r w:rsidR="00010D9A" w:rsidRPr="00A6333C">
        <w:rPr>
          <w:i/>
          <w:iCs/>
        </w:rPr>
        <w:t xml:space="preserve">: </w:t>
      </w:r>
      <w:r w:rsidR="00010D9A" w:rsidRPr="00A6333C">
        <w:rPr>
          <w:iCs/>
        </w:rPr>
        <w:t xml:space="preserve">Åtaganden minskar med 6,4 </w:t>
      </w:r>
      <w:r w:rsidR="00AC6F64" w:rsidRPr="00A6333C">
        <w:t>miljoner</w:t>
      </w:r>
      <w:r w:rsidR="00AC6F64" w:rsidRPr="00A6333C">
        <w:rPr>
          <w:iCs/>
        </w:rPr>
        <w:t xml:space="preserve"> </w:t>
      </w:r>
      <w:r w:rsidR="00010D9A" w:rsidRPr="00A6333C">
        <w:rPr>
          <w:iCs/>
        </w:rPr>
        <w:t xml:space="preserve">euro och betalningarna med 23,7 </w:t>
      </w:r>
      <w:r w:rsidR="00AC6F64" w:rsidRPr="00A6333C">
        <w:t>miljoner</w:t>
      </w:r>
      <w:r w:rsidR="00AC6F64" w:rsidRPr="00A6333C">
        <w:rPr>
          <w:iCs/>
        </w:rPr>
        <w:t xml:space="preserve"> </w:t>
      </w:r>
      <w:r w:rsidR="00010D9A" w:rsidRPr="00A6333C">
        <w:rPr>
          <w:iCs/>
        </w:rPr>
        <w:t>euro.</w:t>
      </w:r>
    </w:p>
    <w:p w:rsidR="00010D9A" w:rsidRPr="00A6333C" w:rsidRDefault="00010D9A" w:rsidP="00010D9A">
      <w:pPr>
        <w:pStyle w:val="RKnormal"/>
        <w:ind w:left="142"/>
      </w:pPr>
    </w:p>
    <w:p w:rsidR="0019768C" w:rsidRPr="00A6333C" w:rsidRDefault="00010D9A" w:rsidP="0019768C">
      <w:pPr>
        <w:pStyle w:val="RKnormal"/>
        <w:numPr>
          <w:ilvl w:val="0"/>
          <w:numId w:val="4"/>
        </w:numPr>
      </w:pPr>
      <w:r w:rsidRPr="00A6333C">
        <w:rPr>
          <w:i/>
          <w:iCs/>
        </w:rPr>
        <w:t>Rubrik</w:t>
      </w:r>
      <w:r w:rsidR="0019768C" w:rsidRPr="00A6333C">
        <w:rPr>
          <w:i/>
          <w:iCs/>
        </w:rPr>
        <w:t xml:space="preserve"> 3b</w:t>
      </w:r>
      <w:r w:rsidRPr="00A6333C">
        <w:t>: Åtagandena minskar med 14</w:t>
      </w:r>
      <w:r w:rsidR="0019768C" w:rsidRPr="00A6333C">
        <w:t xml:space="preserve"> </w:t>
      </w:r>
      <w:r w:rsidR="00AC6F64" w:rsidRPr="00A6333C">
        <w:t xml:space="preserve">miljoner </w:t>
      </w:r>
      <w:r w:rsidR="0019768C" w:rsidRPr="00A6333C">
        <w:t xml:space="preserve">euro och betalningarna </w:t>
      </w:r>
      <w:r w:rsidRPr="00A6333C">
        <w:t>34</w:t>
      </w:r>
      <w:r w:rsidR="0019768C" w:rsidRPr="00A6333C">
        <w:t xml:space="preserve"> </w:t>
      </w:r>
      <w:r w:rsidR="00AC6F64" w:rsidRPr="00A6333C">
        <w:t xml:space="preserve">miljoner </w:t>
      </w:r>
      <w:r w:rsidR="0019768C" w:rsidRPr="00A6333C">
        <w:t xml:space="preserve">euro. </w:t>
      </w:r>
    </w:p>
    <w:p w:rsidR="0019768C" w:rsidRPr="00A6333C" w:rsidRDefault="0019768C" w:rsidP="0019768C">
      <w:pPr>
        <w:pStyle w:val="RKnormal"/>
        <w:ind w:left="360"/>
      </w:pPr>
    </w:p>
    <w:p w:rsidR="0019768C" w:rsidRPr="00A6333C" w:rsidRDefault="0019768C" w:rsidP="0019768C">
      <w:pPr>
        <w:pStyle w:val="RKnormal"/>
        <w:numPr>
          <w:ilvl w:val="0"/>
          <w:numId w:val="4"/>
        </w:numPr>
      </w:pPr>
      <w:r w:rsidRPr="00A6333C">
        <w:rPr>
          <w:i/>
          <w:iCs/>
        </w:rPr>
        <w:t>Rubrik 4</w:t>
      </w:r>
      <w:r w:rsidRPr="00A6333C">
        <w:t xml:space="preserve">: Åtagandena ökar med </w:t>
      </w:r>
      <w:r w:rsidR="00010D9A" w:rsidRPr="00A6333C">
        <w:t>114</w:t>
      </w:r>
      <w:r w:rsidRPr="00A6333C">
        <w:t xml:space="preserve"> </w:t>
      </w:r>
      <w:r w:rsidR="00AC6F64" w:rsidRPr="00A6333C">
        <w:t xml:space="preserve">miljoner </w:t>
      </w:r>
      <w:r w:rsidRPr="00A6333C">
        <w:t>euro pga. medel avsätts i reserv för kommande insatser i Kosovo</w:t>
      </w:r>
      <w:r w:rsidR="00010D9A" w:rsidRPr="00A6333C">
        <w:t xml:space="preserve"> och Mellanöstern</w:t>
      </w:r>
      <w:r w:rsidRPr="00A6333C">
        <w:t>. Betalningarna minskar med 3</w:t>
      </w:r>
      <w:r w:rsidR="00B57EB4" w:rsidRPr="00A6333C">
        <w:t>93</w:t>
      </w:r>
      <w:r w:rsidRPr="00A6333C">
        <w:t xml:space="preserve"> </w:t>
      </w:r>
      <w:r w:rsidR="00AC6F64" w:rsidRPr="00A6333C">
        <w:t xml:space="preserve">miljoner </w:t>
      </w:r>
      <w:r w:rsidRPr="00A6333C">
        <w:t xml:space="preserve">euro vilket i huvudsak </w:t>
      </w:r>
      <w:r w:rsidR="00B57EB4" w:rsidRPr="00A6333C">
        <w:t xml:space="preserve">förklaras av </w:t>
      </w:r>
      <w:r w:rsidRPr="00A6333C">
        <w:t>en teknisk justering.</w:t>
      </w:r>
    </w:p>
    <w:p w:rsidR="0019768C" w:rsidRPr="00A6333C" w:rsidRDefault="0019768C" w:rsidP="0019768C">
      <w:pPr>
        <w:pStyle w:val="RKnormal"/>
        <w:ind w:left="360"/>
      </w:pPr>
    </w:p>
    <w:p w:rsidR="004573C5" w:rsidRPr="00A6333C" w:rsidRDefault="0019768C" w:rsidP="0019768C">
      <w:pPr>
        <w:pStyle w:val="RKnormal"/>
        <w:numPr>
          <w:ilvl w:val="0"/>
          <w:numId w:val="4"/>
        </w:numPr>
      </w:pPr>
      <w:r w:rsidRPr="00A6333C">
        <w:rPr>
          <w:i/>
          <w:iCs/>
        </w:rPr>
        <w:t>Rubrik 5</w:t>
      </w:r>
      <w:r w:rsidRPr="00A6333C">
        <w:t>: Åt</w:t>
      </w:r>
      <w:r w:rsidR="004A3743" w:rsidRPr="00A6333C">
        <w:t>agandena och betalningarna dras ned</w:t>
      </w:r>
      <w:r w:rsidRPr="00A6333C">
        <w:t xml:space="preserve"> med </w:t>
      </w:r>
      <w:r w:rsidR="00B57EB4" w:rsidRPr="00A6333C">
        <w:t>102</w:t>
      </w:r>
      <w:r w:rsidRPr="00A6333C">
        <w:t xml:space="preserve"> </w:t>
      </w:r>
      <w:r w:rsidR="00AC6F64" w:rsidRPr="00A6333C">
        <w:t xml:space="preserve">miljoner </w:t>
      </w:r>
      <w:r w:rsidRPr="00A6333C">
        <w:t>euro</w:t>
      </w:r>
      <w:r w:rsidR="004A3743" w:rsidRPr="00A6333C">
        <w:t xml:space="preserve"> i</w:t>
      </w:r>
      <w:r w:rsidR="004573C5" w:rsidRPr="00A6333C">
        <w:t xml:space="preserve"> </w:t>
      </w:r>
      <w:r w:rsidR="004A3743" w:rsidRPr="00A6333C">
        <w:t xml:space="preserve"> huvudsak </w:t>
      </w:r>
      <w:r w:rsidR="004573C5" w:rsidRPr="00A6333C">
        <w:t>för att rådet anser att det finns potential att effektivisera institutionernas verksamhet samt att</w:t>
      </w:r>
      <w:r w:rsidR="004A3743" w:rsidRPr="00A6333C">
        <w:t xml:space="preserve"> nya </w:t>
      </w:r>
      <w:r w:rsidR="001360AD" w:rsidRPr="00A6333C">
        <w:t>tjänster</w:t>
      </w:r>
      <w:r w:rsidR="004A3743" w:rsidRPr="00A6333C">
        <w:t xml:space="preserve"> </w:t>
      </w:r>
      <w:r w:rsidR="004573C5" w:rsidRPr="00A6333C">
        <w:t xml:space="preserve">utöver </w:t>
      </w:r>
      <w:r w:rsidR="004A3743" w:rsidRPr="00A6333C">
        <w:t>utvidgningen inte accepteras.</w:t>
      </w:r>
      <w:r w:rsidRPr="00A6333C">
        <w:t xml:space="preserve"> </w:t>
      </w:r>
    </w:p>
    <w:p w:rsidR="0019768C" w:rsidRPr="00A6333C" w:rsidRDefault="00EC219E" w:rsidP="0019768C">
      <w:pPr>
        <w:pStyle w:val="RKnormal"/>
        <w:numPr>
          <w:ilvl w:val="0"/>
          <w:numId w:val="4"/>
        </w:numPr>
      </w:pPr>
      <w:r w:rsidRPr="00A6333C">
        <w:br w:type="page"/>
      </w:r>
      <w:r w:rsidR="004573C5" w:rsidRPr="00A6333C">
        <w:t>Utöver neddragningarna på de olika programmen dras myndigheterna ner med sammanlagt 22 m</w:t>
      </w:r>
      <w:r w:rsidR="00122169" w:rsidRPr="00A6333C">
        <w:t xml:space="preserve">iljoner </w:t>
      </w:r>
      <w:r w:rsidR="004573C5" w:rsidRPr="00A6333C">
        <w:t>euro.</w:t>
      </w:r>
    </w:p>
    <w:p w:rsidR="004573C5" w:rsidRPr="00A6333C" w:rsidRDefault="004573C5" w:rsidP="004573C5">
      <w:pPr>
        <w:pStyle w:val="RKnormal"/>
        <w:ind w:left="142"/>
      </w:pPr>
    </w:p>
    <w:p w:rsidR="004573C5" w:rsidRPr="00A6333C" w:rsidRDefault="004573C5" w:rsidP="0034772B">
      <w:pPr>
        <w:pStyle w:val="RKnormal"/>
        <w:ind w:left="142"/>
      </w:pPr>
    </w:p>
    <w:tbl>
      <w:tblPr>
        <w:tblW w:w="9781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1134"/>
        <w:gridCol w:w="993"/>
        <w:gridCol w:w="992"/>
        <w:gridCol w:w="1417"/>
        <w:gridCol w:w="1276"/>
      </w:tblGrid>
      <w:tr w:rsidR="000203F4" w:rsidRPr="00A6333C" w:rsidTr="007F0EC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977" w:type="dxa"/>
          </w:tcPr>
          <w:p w:rsidR="000203F4" w:rsidRPr="00A6333C" w:rsidRDefault="000203F4" w:rsidP="00FC376B">
            <w:pPr>
              <w:pStyle w:val="Normaltindrag"/>
              <w:ind w:firstLine="0"/>
              <w:rPr>
                <w:b/>
              </w:rPr>
            </w:pPr>
          </w:p>
        </w:tc>
        <w:tc>
          <w:tcPr>
            <w:tcW w:w="4111" w:type="dxa"/>
            <w:gridSpan w:val="4"/>
          </w:tcPr>
          <w:p w:rsidR="000203F4" w:rsidRPr="00A6333C" w:rsidRDefault="00EE4454" w:rsidP="00FC376B">
            <w:pPr>
              <w:pStyle w:val="Normaltindrag"/>
              <w:ind w:firstLine="0"/>
              <w:rPr>
                <w:b/>
                <w:i/>
                <w:iCs/>
              </w:rPr>
            </w:pPr>
            <w:r w:rsidRPr="00A6333C">
              <w:rPr>
                <w:b/>
                <w:i/>
                <w:iCs/>
              </w:rPr>
              <w:t>Kommissionens förslag 2009</w:t>
            </w:r>
          </w:p>
        </w:tc>
        <w:tc>
          <w:tcPr>
            <w:tcW w:w="2693" w:type="dxa"/>
            <w:gridSpan w:val="2"/>
          </w:tcPr>
          <w:p w:rsidR="000203F4" w:rsidRPr="00A6333C" w:rsidRDefault="000203F4" w:rsidP="00FC376B">
            <w:pPr>
              <w:pStyle w:val="Normaltindrag"/>
              <w:ind w:firstLine="0"/>
              <w:rPr>
                <w:b/>
                <w:i/>
                <w:iCs/>
              </w:rPr>
            </w:pPr>
            <w:r w:rsidRPr="00A6333C">
              <w:rPr>
                <w:b/>
                <w:i/>
                <w:iCs/>
              </w:rPr>
              <w:t>Besparingar i rådets kompromissförslag jämfört med KOM-förslaget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  <w:rPr>
                <w:b/>
              </w:rPr>
            </w:pPr>
            <w:r w:rsidRPr="00A6333C">
              <w:rPr>
                <w:b/>
              </w:rPr>
              <w:t>Rubrik</w:t>
            </w:r>
          </w:p>
          <w:p w:rsidR="00EE4454" w:rsidRPr="00A6333C" w:rsidRDefault="00EE4454" w:rsidP="004847DE">
            <w:pPr>
              <w:pStyle w:val="Normaltindrag"/>
              <w:ind w:firstLine="0"/>
              <w:rPr>
                <w:bCs/>
                <w:i/>
                <w:iCs/>
              </w:rPr>
            </w:pPr>
            <w:r w:rsidRPr="00A6333C">
              <w:rPr>
                <w:bCs/>
                <w:i/>
                <w:iCs/>
              </w:rPr>
              <w:t>(miljoner euro)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rPr>
                <w:b/>
              </w:rPr>
            </w:pPr>
            <w:r w:rsidRPr="00A6333C">
              <w:rPr>
                <w:b/>
              </w:rPr>
              <w:t xml:space="preserve">Åtaganden </w:t>
            </w: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center"/>
              <w:rPr>
                <w:b/>
              </w:rPr>
            </w:pPr>
            <w:r w:rsidRPr="00A6333C">
              <w:rPr>
                <w:b/>
              </w:rPr>
              <w:t>% jfr 08</w:t>
            </w:r>
          </w:p>
        </w:tc>
        <w:tc>
          <w:tcPr>
            <w:tcW w:w="993" w:type="dxa"/>
          </w:tcPr>
          <w:p w:rsidR="00EE4454" w:rsidRPr="00A6333C" w:rsidRDefault="00EE4454" w:rsidP="00FC376B">
            <w:pPr>
              <w:pStyle w:val="Normaltindrag"/>
              <w:ind w:firstLine="0"/>
              <w:rPr>
                <w:b/>
              </w:rPr>
            </w:pPr>
            <w:r w:rsidRPr="00A6333C">
              <w:rPr>
                <w:b/>
              </w:rPr>
              <w:t>Betalningar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center"/>
              <w:rPr>
                <w:b/>
              </w:rPr>
            </w:pPr>
            <w:r w:rsidRPr="00A6333C">
              <w:rPr>
                <w:b/>
              </w:rPr>
              <w:t>% jfr 08</w:t>
            </w:r>
          </w:p>
        </w:tc>
        <w:tc>
          <w:tcPr>
            <w:tcW w:w="1417" w:type="dxa"/>
          </w:tcPr>
          <w:p w:rsidR="00EE4454" w:rsidRPr="00A6333C" w:rsidRDefault="00EE4454" w:rsidP="00FC376B">
            <w:pPr>
              <w:pStyle w:val="Normaltindrag"/>
              <w:ind w:firstLine="0"/>
              <w:rPr>
                <w:b/>
              </w:rPr>
            </w:pPr>
            <w:r w:rsidRPr="00A6333C">
              <w:rPr>
                <w:b/>
              </w:rPr>
              <w:t>Åtagande</w:t>
            </w:r>
          </w:p>
        </w:tc>
        <w:tc>
          <w:tcPr>
            <w:tcW w:w="1276" w:type="dxa"/>
          </w:tcPr>
          <w:p w:rsidR="00EE4454" w:rsidRPr="00A6333C" w:rsidRDefault="00EE4454" w:rsidP="00FC376B">
            <w:pPr>
              <w:pStyle w:val="Normaltindrag"/>
              <w:ind w:firstLine="0"/>
              <w:rPr>
                <w:b/>
              </w:rPr>
            </w:pPr>
            <w:r w:rsidRPr="00A6333C">
              <w:rPr>
                <w:b/>
              </w:rPr>
              <w:t>Betalningar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</w:pPr>
            <w:r w:rsidRPr="00A6333C">
              <w:t>1a. Konkurrenskraft för tillväxt och sysselsättning (forskning)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11 690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+5,5%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10 285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+5,3%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1417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</w:pPr>
            <w:r w:rsidRPr="00A6333C">
              <w:t>-</w:t>
            </w:r>
            <w:r w:rsidR="0096324C" w:rsidRPr="00A6333C">
              <w:t>78</w:t>
            </w:r>
          </w:p>
        </w:tc>
        <w:tc>
          <w:tcPr>
            <w:tcW w:w="1276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</w:pPr>
            <w:r w:rsidRPr="00A6333C">
              <w:t>-</w:t>
            </w:r>
            <w:r w:rsidR="0096324C" w:rsidRPr="00A6333C">
              <w:t>471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</w:pPr>
            <w:r w:rsidRPr="00A6333C">
              <w:t>1b. Ökad sammanhållning för tillväxt och sysselsättning (struktur-fonder)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48 414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+2,5%</w:t>
            </w: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34 914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-13,9%</w:t>
            </w:r>
          </w:p>
        </w:tc>
        <w:tc>
          <w:tcPr>
            <w:tcW w:w="1417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</w:pPr>
          </w:p>
        </w:tc>
        <w:tc>
          <w:tcPr>
            <w:tcW w:w="1276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</w:pPr>
            <w:r w:rsidRPr="00A6333C">
              <w:t>-</w:t>
            </w:r>
            <w:r w:rsidR="0096324C" w:rsidRPr="00A6333C">
              <w:t>250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  <w:jc w:val="left"/>
            </w:pPr>
            <w:r w:rsidRPr="00A6333C">
              <w:t>2. Bevarande och förvaltning av naturresurser (jordbruk)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</w:pP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57 526</w:t>
            </w: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</w:pP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+3,5%</w:t>
            </w: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</w:pP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54 835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</w:pP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+3,0%</w:t>
            </w:r>
          </w:p>
        </w:tc>
        <w:tc>
          <w:tcPr>
            <w:tcW w:w="1417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-382</w:t>
            </w:r>
          </w:p>
        </w:tc>
        <w:tc>
          <w:tcPr>
            <w:tcW w:w="1276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-497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  <w:jc w:val="left"/>
            </w:pPr>
            <w:r w:rsidRPr="00A6333C">
              <w:t>3a. Frihet, säkerhet och rättvisa (rättsliga och inrikesfrågor)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839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+15%</w:t>
            </w: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597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+11,7%</w:t>
            </w:r>
          </w:p>
        </w:tc>
        <w:tc>
          <w:tcPr>
            <w:tcW w:w="1417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-6</w:t>
            </w:r>
          </w:p>
        </w:tc>
        <w:tc>
          <w:tcPr>
            <w:tcW w:w="1276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-24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</w:pPr>
            <w:r w:rsidRPr="00A6333C">
              <w:t>3b. Annan inre politik (smittskydd)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629</w:t>
            </w: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-28,8</w:t>
            </w: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669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-31,4%</w:t>
            </w:r>
          </w:p>
          <w:p w:rsidR="00EE4454" w:rsidRPr="00A6333C" w:rsidRDefault="00EE4454" w:rsidP="004847DE">
            <w:pPr>
              <w:pStyle w:val="Normaltindrag"/>
              <w:ind w:firstLine="0"/>
              <w:jc w:val="right"/>
            </w:pPr>
          </w:p>
        </w:tc>
        <w:tc>
          <w:tcPr>
            <w:tcW w:w="1417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-14</w:t>
            </w:r>
          </w:p>
        </w:tc>
        <w:tc>
          <w:tcPr>
            <w:tcW w:w="1276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-34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</w:pPr>
            <w:r w:rsidRPr="00A6333C">
              <w:t>4. EU som global partner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7 440</w:t>
            </w: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+1,8%</w:t>
            </w: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7 579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-6,6%</w:t>
            </w:r>
          </w:p>
        </w:tc>
        <w:tc>
          <w:tcPr>
            <w:tcW w:w="1417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+114</w:t>
            </w:r>
          </w:p>
        </w:tc>
        <w:tc>
          <w:tcPr>
            <w:tcW w:w="1276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-393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</w:pPr>
            <w:r w:rsidRPr="00A6333C">
              <w:t>5. Administration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7 648</w:t>
            </w: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+5,0%</w:t>
            </w: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7 648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+5,0%</w:t>
            </w:r>
          </w:p>
        </w:tc>
        <w:tc>
          <w:tcPr>
            <w:tcW w:w="1417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-102</w:t>
            </w:r>
          </w:p>
        </w:tc>
        <w:tc>
          <w:tcPr>
            <w:tcW w:w="1276" w:type="dxa"/>
          </w:tcPr>
          <w:p w:rsidR="00EE4454" w:rsidRPr="00A6333C" w:rsidRDefault="0096324C" w:rsidP="00FC376B">
            <w:pPr>
              <w:pStyle w:val="Normaltindrag"/>
              <w:ind w:firstLine="0"/>
              <w:jc w:val="right"/>
            </w:pPr>
            <w:r w:rsidRPr="00A6333C">
              <w:t>-102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</w:pPr>
            <w:r w:rsidRPr="00A6333C">
              <w:t>6. Kompensationer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209</w:t>
            </w: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+1,2%</w:t>
            </w: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209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</w:pPr>
            <w:r w:rsidRPr="00A6333C">
              <w:t>+1,2%</w:t>
            </w:r>
          </w:p>
        </w:tc>
        <w:tc>
          <w:tcPr>
            <w:tcW w:w="1417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</w:pPr>
          </w:p>
        </w:tc>
        <w:tc>
          <w:tcPr>
            <w:tcW w:w="1276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</w:pP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4847DE">
            <w:pPr>
              <w:pStyle w:val="Normaltindrag"/>
              <w:ind w:firstLine="0"/>
              <w:rPr>
                <w:b/>
                <w:bCs/>
              </w:rPr>
            </w:pPr>
            <w:r w:rsidRPr="00A6333C">
              <w:rPr>
                <w:b/>
                <w:bCs/>
              </w:rPr>
              <w:t>Totalt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t>134 395</w:t>
            </w: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t>+3,1%</w:t>
            </w:r>
          </w:p>
        </w:tc>
        <w:tc>
          <w:tcPr>
            <w:tcW w:w="993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t>116 736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t>-3,3%</w:t>
            </w:r>
          </w:p>
        </w:tc>
        <w:tc>
          <w:tcPr>
            <w:tcW w:w="1417" w:type="dxa"/>
          </w:tcPr>
          <w:p w:rsidR="00EE4454" w:rsidRPr="00A6333C" w:rsidRDefault="0096324C" w:rsidP="000203F4">
            <w:pPr>
              <w:pStyle w:val="Normaltindrag"/>
              <w:jc w:val="right"/>
              <w:rPr>
                <w:b/>
                <w:bCs/>
              </w:rPr>
            </w:pPr>
            <w:r w:rsidRPr="00A6333C">
              <w:rPr>
                <w:b/>
                <w:bCs/>
              </w:rPr>
              <w:t>-470</w:t>
            </w:r>
          </w:p>
          <w:p w:rsidR="00EE4454" w:rsidRPr="00A6333C" w:rsidRDefault="00EE4454" w:rsidP="00FC376B">
            <w:pPr>
              <w:pStyle w:val="Normaltindrag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EE4454" w:rsidRPr="00A6333C" w:rsidRDefault="0096324C" w:rsidP="000203F4">
            <w:pPr>
              <w:pStyle w:val="Normaltindrag"/>
              <w:jc w:val="right"/>
              <w:rPr>
                <w:b/>
                <w:bCs/>
              </w:rPr>
            </w:pPr>
            <w:r w:rsidRPr="00A6333C">
              <w:rPr>
                <w:b/>
                <w:bCs/>
              </w:rPr>
              <w:t>-1 771</w:t>
            </w: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FC376B">
            <w:pPr>
              <w:pStyle w:val="Normaltindrag"/>
              <w:ind w:firstLine="0"/>
              <w:rPr>
                <w:b/>
                <w:bCs/>
                <w:i/>
              </w:rPr>
            </w:pPr>
            <w:r w:rsidRPr="00A6333C">
              <w:rPr>
                <w:b/>
                <w:bCs/>
                <w:i/>
              </w:rPr>
              <w:t>Budgetramen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t>136 211</w:t>
            </w: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3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t>129 481</w:t>
            </w:r>
          </w:p>
        </w:tc>
        <w:tc>
          <w:tcPr>
            <w:tcW w:w="992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EE4454" w:rsidP="00FC376B">
            <w:pPr>
              <w:pStyle w:val="Normaltindrag"/>
              <w:ind w:firstLine="0"/>
              <w:rPr>
                <w:b/>
                <w:bCs/>
                <w:i/>
              </w:rPr>
            </w:pP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Cs/>
              </w:rPr>
            </w:pPr>
          </w:p>
        </w:tc>
        <w:tc>
          <w:tcPr>
            <w:tcW w:w="1134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3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2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330D70" w:rsidRPr="00A6333C" w:rsidRDefault="00330D70" w:rsidP="00FC376B">
            <w:pPr>
              <w:pStyle w:val="Normaltindrag"/>
              <w:ind w:firstLine="0"/>
              <w:jc w:val="right"/>
              <w:rPr>
                <w:bCs/>
              </w:rPr>
            </w:pPr>
          </w:p>
        </w:tc>
        <w:tc>
          <w:tcPr>
            <w:tcW w:w="1276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Cs/>
              </w:rPr>
            </w:pPr>
          </w:p>
        </w:tc>
      </w:tr>
      <w:tr w:rsidR="00EE4454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EE4454" w:rsidRPr="00A6333C" w:rsidRDefault="0035685B" w:rsidP="00FC376B">
            <w:pPr>
              <w:pStyle w:val="Normaltindrag"/>
              <w:ind w:firstLine="0"/>
              <w:rPr>
                <w:b/>
                <w:bCs/>
                <w:i/>
              </w:rPr>
            </w:pPr>
            <w:r w:rsidRPr="00A6333C">
              <w:rPr>
                <w:b/>
                <w:bCs/>
                <w:i/>
              </w:rPr>
              <w:t>Andel</w:t>
            </w:r>
            <w:r w:rsidR="00EE4454" w:rsidRPr="00A6333C">
              <w:rPr>
                <w:b/>
                <w:bCs/>
                <w:i/>
              </w:rPr>
              <w:t xml:space="preserve"> av BNI</w:t>
            </w:r>
          </w:p>
        </w:tc>
        <w:tc>
          <w:tcPr>
            <w:tcW w:w="992" w:type="dxa"/>
          </w:tcPr>
          <w:p w:rsidR="00EE4454" w:rsidRPr="00A6333C" w:rsidRDefault="00EE4454" w:rsidP="004847DE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t>1,04%</w:t>
            </w:r>
          </w:p>
        </w:tc>
        <w:tc>
          <w:tcPr>
            <w:tcW w:w="1134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3" w:type="dxa"/>
          </w:tcPr>
          <w:p w:rsidR="00EE4454" w:rsidRPr="00A6333C" w:rsidRDefault="00BA1F02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t>0,90</w:t>
            </w:r>
            <w:r w:rsidR="00EE4454" w:rsidRPr="00A6333C">
              <w:t>%</w:t>
            </w:r>
          </w:p>
        </w:tc>
        <w:tc>
          <w:tcPr>
            <w:tcW w:w="992" w:type="dxa"/>
          </w:tcPr>
          <w:p w:rsidR="00EE4454" w:rsidRPr="00A6333C" w:rsidRDefault="00EE445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EE4454" w:rsidRPr="00A6333C" w:rsidRDefault="0035685B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rPr>
                <w:b/>
                <w:bCs/>
              </w:rPr>
              <w:t>1,04%</w:t>
            </w:r>
          </w:p>
        </w:tc>
        <w:tc>
          <w:tcPr>
            <w:tcW w:w="1276" w:type="dxa"/>
          </w:tcPr>
          <w:p w:rsidR="00EE4454" w:rsidRPr="00A6333C" w:rsidRDefault="0035685B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rPr>
                <w:b/>
                <w:bCs/>
              </w:rPr>
              <w:t>0,</w:t>
            </w:r>
            <w:r w:rsidR="00BA1F02" w:rsidRPr="00A6333C">
              <w:rPr>
                <w:b/>
                <w:bCs/>
              </w:rPr>
              <w:t>89</w:t>
            </w:r>
            <w:r w:rsidRPr="00A6333C">
              <w:rPr>
                <w:b/>
                <w:bCs/>
              </w:rPr>
              <w:t>%</w:t>
            </w:r>
          </w:p>
        </w:tc>
      </w:tr>
      <w:tr w:rsidR="0035685B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35685B" w:rsidRPr="00A6333C" w:rsidRDefault="0035685B" w:rsidP="00FC376B">
            <w:pPr>
              <w:pStyle w:val="Normaltindrag"/>
              <w:ind w:firstLine="0"/>
              <w:rPr>
                <w:b/>
                <w:bCs/>
                <w:i/>
              </w:rPr>
            </w:pPr>
          </w:p>
        </w:tc>
        <w:tc>
          <w:tcPr>
            <w:tcW w:w="992" w:type="dxa"/>
          </w:tcPr>
          <w:p w:rsidR="0035685B" w:rsidRPr="00A6333C" w:rsidRDefault="0035685B" w:rsidP="004847DE">
            <w:pPr>
              <w:pStyle w:val="Normaltindrag"/>
              <w:ind w:firstLine="0"/>
              <w:jc w:val="right"/>
            </w:pPr>
          </w:p>
        </w:tc>
        <w:tc>
          <w:tcPr>
            <w:tcW w:w="1134" w:type="dxa"/>
          </w:tcPr>
          <w:p w:rsidR="0035685B" w:rsidRPr="00A6333C" w:rsidRDefault="0035685B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3" w:type="dxa"/>
          </w:tcPr>
          <w:p w:rsidR="0035685B" w:rsidRPr="00A6333C" w:rsidRDefault="0035685B" w:rsidP="00FC376B">
            <w:pPr>
              <w:pStyle w:val="Normaltindrag"/>
              <w:ind w:firstLine="0"/>
              <w:jc w:val="right"/>
            </w:pPr>
          </w:p>
        </w:tc>
        <w:tc>
          <w:tcPr>
            <w:tcW w:w="992" w:type="dxa"/>
          </w:tcPr>
          <w:p w:rsidR="0035685B" w:rsidRPr="00A6333C" w:rsidRDefault="0035685B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35685B" w:rsidRPr="00A6333C" w:rsidRDefault="0035685B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35685B" w:rsidRPr="00A6333C" w:rsidRDefault="0035685B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</w:tr>
      <w:tr w:rsidR="0096324C" w:rsidRPr="00A6333C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96324C" w:rsidRPr="00A6333C" w:rsidRDefault="0096324C" w:rsidP="00FC376B">
            <w:pPr>
              <w:pStyle w:val="Normaltindrag"/>
              <w:ind w:firstLine="0"/>
              <w:rPr>
                <w:b/>
                <w:bCs/>
                <w:i/>
              </w:rPr>
            </w:pPr>
            <w:r w:rsidRPr="00A6333C">
              <w:rPr>
                <w:b/>
                <w:bCs/>
                <w:i/>
              </w:rPr>
              <w:t>2008 års första läsning i % av BNI</w:t>
            </w:r>
          </w:p>
        </w:tc>
        <w:tc>
          <w:tcPr>
            <w:tcW w:w="992" w:type="dxa"/>
          </w:tcPr>
          <w:p w:rsidR="0096324C" w:rsidRPr="00A6333C" w:rsidRDefault="0096324C" w:rsidP="004847DE">
            <w:pPr>
              <w:pStyle w:val="Normaltindrag"/>
              <w:ind w:firstLine="0"/>
              <w:jc w:val="right"/>
            </w:pPr>
          </w:p>
        </w:tc>
        <w:tc>
          <w:tcPr>
            <w:tcW w:w="1134" w:type="dxa"/>
          </w:tcPr>
          <w:p w:rsidR="0096324C" w:rsidRPr="00A6333C" w:rsidRDefault="0096324C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3" w:type="dxa"/>
          </w:tcPr>
          <w:p w:rsidR="0096324C" w:rsidRPr="00A6333C" w:rsidRDefault="0096324C" w:rsidP="00FC376B">
            <w:pPr>
              <w:pStyle w:val="Normaltindrag"/>
              <w:ind w:firstLine="0"/>
              <w:jc w:val="right"/>
            </w:pPr>
          </w:p>
        </w:tc>
        <w:tc>
          <w:tcPr>
            <w:tcW w:w="992" w:type="dxa"/>
          </w:tcPr>
          <w:p w:rsidR="0096324C" w:rsidRPr="00A6333C" w:rsidRDefault="0096324C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96324C" w:rsidRPr="00A6333C" w:rsidRDefault="0096324C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rPr>
                <w:b/>
                <w:bCs/>
              </w:rPr>
              <w:t>1,02%</w:t>
            </w:r>
          </w:p>
        </w:tc>
        <w:tc>
          <w:tcPr>
            <w:tcW w:w="1276" w:type="dxa"/>
          </w:tcPr>
          <w:p w:rsidR="0096324C" w:rsidRPr="00A6333C" w:rsidRDefault="0096324C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A6333C">
              <w:rPr>
                <w:b/>
                <w:bCs/>
              </w:rPr>
              <w:t>0,95%</w:t>
            </w:r>
          </w:p>
        </w:tc>
      </w:tr>
    </w:tbl>
    <w:p w:rsidR="000203F4" w:rsidRPr="00A6333C" w:rsidRDefault="000203F4" w:rsidP="00BA3DF2">
      <w:pPr>
        <w:pStyle w:val="RKnormal"/>
      </w:pPr>
    </w:p>
    <w:sectPr w:rsidR="000203F4" w:rsidRPr="00A6333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189" w:rsidRPr="00A6333C" w:rsidRDefault="00C81189">
      <w:r w:rsidRPr="00A6333C">
        <w:separator/>
      </w:r>
    </w:p>
  </w:endnote>
  <w:endnote w:type="continuationSeparator" w:id="0">
    <w:p w:rsidR="00C81189" w:rsidRPr="00A6333C" w:rsidRDefault="00C81189">
      <w:r w:rsidRPr="00A633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189" w:rsidRPr="00A6333C" w:rsidRDefault="00C81189">
      <w:r w:rsidRPr="00A6333C">
        <w:separator/>
      </w:r>
    </w:p>
  </w:footnote>
  <w:footnote w:type="continuationSeparator" w:id="0">
    <w:p w:rsidR="00C81189" w:rsidRPr="00A6333C" w:rsidRDefault="00C81189">
      <w:r w:rsidRPr="00A633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DB" w:rsidRPr="00A6333C" w:rsidRDefault="00B01CDB">
    <w:pPr>
      <w:pStyle w:val="Sidhuvud"/>
      <w:framePr w:wrap="around" w:vAnchor="text" w:hAnchor="margin" w:xAlign="right" w:y="1"/>
      <w:rPr>
        <w:rStyle w:val="Sidnummer"/>
      </w:rPr>
    </w:pPr>
    <w:r w:rsidRPr="00A6333C">
      <w:rPr>
        <w:rStyle w:val="Sidnummer"/>
      </w:rPr>
      <w:fldChar w:fldCharType="begin" w:fldLock="1"/>
    </w:r>
    <w:r w:rsidRPr="00A6333C">
      <w:rPr>
        <w:rStyle w:val="Sidnummer"/>
      </w:rPr>
      <w:instrText xml:space="preserve">PAGE  </w:instrText>
    </w:r>
    <w:r w:rsidRPr="00A6333C">
      <w:rPr>
        <w:rStyle w:val="Sidnummer"/>
      </w:rPr>
      <w:fldChar w:fldCharType="separate"/>
    </w:r>
    <w:r w:rsidRPr="00A6333C">
      <w:rPr>
        <w:rStyle w:val="Sidnummer"/>
      </w:rPr>
      <w:t>2</w:t>
    </w:r>
    <w:r w:rsidRPr="00A6333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01CDB" w:rsidRPr="00A6333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01CDB" w:rsidRPr="00A6333C" w:rsidRDefault="00B01CD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01CDB" w:rsidRPr="00A6333C" w:rsidRDefault="00B01CDB">
          <w:pPr>
            <w:pStyle w:val="Sidhuvud"/>
            <w:ind w:right="360"/>
          </w:pPr>
        </w:p>
      </w:tc>
      <w:tc>
        <w:tcPr>
          <w:tcW w:w="1525" w:type="dxa"/>
        </w:tcPr>
        <w:p w:rsidR="00B01CDB" w:rsidRPr="00A6333C" w:rsidRDefault="00B01CDB">
          <w:pPr>
            <w:pStyle w:val="Sidhuvud"/>
            <w:ind w:right="360"/>
          </w:pPr>
        </w:p>
      </w:tc>
    </w:tr>
  </w:tbl>
  <w:p w:rsidR="00B01CDB" w:rsidRPr="00A6333C" w:rsidRDefault="00B01CD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DB" w:rsidRPr="00A6333C" w:rsidRDefault="00B01CDB">
    <w:pPr>
      <w:pStyle w:val="Sidhuvud"/>
      <w:framePr w:wrap="around" w:vAnchor="text" w:hAnchor="margin" w:xAlign="right" w:y="1"/>
      <w:rPr>
        <w:rStyle w:val="Sidnummer"/>
      </w:rPr>
    </w:pPr>
    <w:r w:rsidRPr="00A6333C">
      <w:rPr>
        <w:rStyle w:val="Sidnummer"/>
      </w:rPr>
      <w:fldChar w:fldCharType="begin" w:fldLock="1"/>
    </w:r>
    <w:r w:rsidRPr="00A6333C">
      <w:rPr>
        <w:rStyle w:val="Sidnummer"/>
      </w:rPr>
      <w:instrText xml:space="preserve">PAGE  </w:instrText>
    </w:r>
    <w:r w:rsidRPr="00A6333C">
      <w:rPr>
        <w:rStyle w:val="Sidnummer"/>
      </w:rPr>
      <w:fldChar w:fldCharType="separate"/>
    </w:r>
    <w:r w:rsidRPr="00A6333C">
      <w:rPr>
        <w:rStyle w:val="Sidnummer"/>
      </w:rPr>
      <w:t>3</w:t>
    </w:r>
    <w:r w:rsidRPr="00A6333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01CDB" w:rsidRPr="00A6333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01CDB" w:rsidRPr="00A6333C" w:rsidRDefault="00B01CD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01CDB" w:rsidRPr="00A6333C" w:rsidRDefault="00B01CDB">
          <w:pPr>
            <w:pStyle w:val="Sidhuvud"/>
            <w:ind w:right="360"/>
          </w:pPr>
        </w:p>
      </w:tc>
      <w:tc>
        <w:tcPr>
          <w:tcW w:w="1525" w:type="dxa"/>
        </w:tcPr>
        <w:p w:rsidR="00B01CDB" w:rsidRPr="00A6333C" w:rsidRDefault="00B01CDB">
          <w:pPr>
            <w:pStyle w:val="Sidhuvud"/>
            <w:ind w:right="360"/>
          </w:pPr>
        </w:p>
      </w:tc>
    </w:tr>
  </w:tbl>
  <w:p w:rsidR="00B01CDB" w:rsidRPr="00A6333C" w:rsidRDefault="00B01CD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DB" w:rsidRPr="00A6333C" w:rsidRDefault="00A6333C">
    <w:pPr>
      <w:framePr w:w="2948" w:h="1321" w:hRule="exact" w:wrap="notBeside" w:vAnchor="page" w:hAnchor="page" w:x="1362" w:y="653"/>
    </w:pPr>
    <w:r w:rsidRPr="00A6333C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CDB" w:rsidRPr="00A6333C" w:rsidRDefault="00B01CD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01CDB" w:rsidRPr="00A6333C" w:rsidRDefault="00B01CDB">
    <w:pPr>
      <w:rPr>
        <w:rFonts w:ascii="TradeGothic" w:hAnsi="TradeGothic"/>
        <w:b/>
        <w:bCs/>
        <w:spacing w:val="12"/>
        <w:sz w:val="22"/>
      </w:rPr>
    </w:pPr>
  </w:p>
  <w:p w:rsidR="00B01CDB" w:rsidRPr="00A6333C" w:rsidRDefault="00B01CD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01CDB" w:rsidRPr="00A6333C" w:rsidRDefault="00B01CD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480E9C"/>
    <w:lvl w:ilvl="0">
      <w:numFmt w:val="decimal"/>
      <w:lvlText w:val="*"/>
      <w:lvlJc w:val="left"/>
    </w:lvl>
  </w:abstractNum>
  <w:abstractNum w:abstractNumId="1" w15:restartNumberingAfterBreak="0">
    <w:nsid w:val="012E0026"/>
    <w:multiLevelType w:val="hybridMultilevel"/>
    <w:tmpl w:val="57D4EE7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18E8"/>
    <w:multiLevelType w:val="hybridMultilevel"/>
    <w:tmpl w:val="89F2A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5605B"/>
    <w:multiLevelType w:val="hybridMultilevel"/>
    <w:tmpl w:val="F06E5D74"/>
    <w:lvl w:ilvl="0" w:tplc="041D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3872925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42652577">
    <w:abstractNumId w:val="2"/>
  </w:num>
  <w:num w:numId="3" w16cid:durableId="871110908">
    <w:abstractNumId w:val="1"/>
  </w:num>
  <w:num w:numId="4" w16cid:durableId="679351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44175C"/>
    <w:rsid w:val="000007A7"/>
    <w:rsid w:val="00010D9A"/>
    <w:rsid w:val="000203F4"/>
    <w:rsid w:val="00024770"/>
    <w:rsid w:val="000445D8"/>
    <w:rsid w:val="00051E5C"/>
    <w:rsid w:val="000734BA"/>
    <w:rsid w:val="000C3B5C"/>
    <w:rsid w:val="00122169"/>
    <w:rsid w:val="001360AD"/>
    <w:rsid w:val="00136172"/>
    <w:rsid w:val="001379EB"/>
    <w:rsid w:val="0019219E"/>
    <w:rsid w:val="0019768C"/>
    <w:rsid w:val="001F153A"/>
    <w:rsid w:val="002816F4"/>
    <w:rsid w:val="002964CF"/>
    <w:rsid w:val="002D4CA9"/>
    <w:rsid w:val="00330D70"/>
    <w:rsid w:val="0034772B"/>
    <w:rsid w:val="0035685B"/>
    <w:rsid w:val="0037183D"/>
    <w:rsid w:val="003F2822"/>
    <w:rsid w:val="00415A3F"/>
    <w:rsid w:val="004212B7"/>
    <w:rsid w:val="00424A2B"/>
    <w:rsid w:val="004343D0"/>
    <w:rsid w:val="004352D0"/>
    <w:rsid w:val="00440F3A"/>
    <w:rsid w:val="0044175C"/>
    <w:rsid w:val="004573C5"/>
    <w:rsid w:val="004664F4"/>
    <w:rsid w:val="004847DE"/>
    <w:rsid w:val="0049373D"/>
    <w:rsid w:val="004947BB"/>
    <w:rsid w:val="004A3743"/>
    <w:rsid w:val="005079B9"/>
    <w:rsid w:val="005853C1"/>
    <w:rsid w:val="005B632B"/>
    <w:rsid w:val="005C6DA9"/>
    <w:rsid w:val="005D1067"/>
    <w:rsid w:val="005D31BD"/>
    <w:rsid w:val="00620EDC"/>
    <w:rsid w:val="00693297"/>
    <w:rsid w:val="006A712F"/>
    <w:rsid w:val="006B051B"/>
    <w:rsid w:val="0073516E"/>
    <w:rsid w:val="00740C32"/>
    <w:rsid w:val="00764BAE"/>
    <w:rsid w:val="007C33DF"/>
    <w:rsid w:val="007E1CBA"/>
    <w:rsid w:val="007F0EC2"/>
    <w:rsid w:val="00961C66"/>
    <w:rsid w:val="0096324C"/>
    <w:rsid w:val="00A37139"/>
    <w:rsid w:val="00A6333C"/>
    <w:rsid w:val="00A834AB"/>
    <w:rsid w:val="00AC39C8"/>
    <w:rsid w:val="00AC6F64"/>
    <w:rsid w:val="00AF7625"/>
    <w:rsid w:val="00B01CDB"/>
    <w:rsid w:val="00B170BB"/>
    <w:rsid w:val="00B57EB4"/>
    <w:rsid w:val="00BA1F02"/>
    <w:rsid w:val="00BA3DF2"/>
    <w:rsid w:val="00BA712A"/>
    <w:rsid w:val="00BC6F30"/>
    <w:rsid w:val="00BD549C"/>
    <w:rsid w:val="00C35A2C"/>
    <w:rsid w:val="00C81189"/>
    <w:rsid w:val="00C82DF8"/>
    <w:rsid w:val="00C85AFE"/>
    <w:rsid w:val="00C97676"/>
    <w:rsid w:val="00CC56A8"/>
    <w:rsid w:val="00DB2211"/>
    <w:rsid w:val="00DF119E"/>
    <w:rsid w:val="00E77E52"/>
    <w:rsid w:val="00E80416"/>
    <w:rsid w:val="00E847B3"/>
    <w:rsid w:val="00EC219E"/>
    <w:rsid w:val="00EE4454"/>
    <w:rsid w:val="00F108D2"/>
    <w:rsid w:val="00F55309"/>
    <w:rsid w:val="00F628AD"/>
    <w:rsid w:val="00F67CB9"/>
    <w:rsid w:val="00F7049E"/>
    <w:rsid w:val="00F921E4"/>
    <w:rsid w:val="00FC376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7AE0E-1EB1-4645-BA41-B1A5784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Ballongtext">
    <w:name w:val="Balloon Text"/>
    <w:basedOn w:val="Normal"/>
    <w:semiHidden/>
    <w:rsid w:val="000C3B5C"/>
    <w:rPr>
      <w:rFonts w:ascii="Tahoma" w:hAnsi="Tahoma" w:cs="Tahoma"/>
      <w:sz w:val="16"/>
      <w:szCs w:val="16"/>
    </w:rPr>
  </w:style>
  <w:style w:type="character" w:customStyle="1" w:styleId="RKnormalChar">
    <w:name w:val="RKnormal Char"/>
    <w:basedOn w:val="Standardstycketeckensnitt"/>
    <w:link w:val="RKnormal"/>
    <w:rsid w:val="004352D0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690</Words>
  <Characters>3977</Characters>
  <Application>Microsoft Office Word</Application>
  <DocSecurity>4</DocSecurity>
  <Lines>248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Rådets första läsning av EU:s budget för 2006</vt:lpstr>
    </vt:vector>
  </TitlesOfParts>
  <Company>Regeringskansliet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Rådets första läsning av EU:s budget för 2006</dc:title>
  <dc:subject>Rådets första läsning av EU:s budget för 2006</dc:subject>
  <dc:creator>Riksdagen</dc:creator>
  <cp:keywords>Riksdagen</cp:keywords>
  <dc:description/>
  <cp:lastModifiedBy>Lars Brink</cp:lastModifiedBy>
  <cp:revision>2</cp:revision>
  <cp:lastPrinted>2008-07-08T14:57:00Z</cp:lastPrinted>
  <dcterms:created xsi:type="dcterms:W3CDTF">2025-12-17T13:09:00Z</dcterms:created>
  <dcterms:modified xsi:type="dcterms:W3CDTF">2025-12-17T13:09:00Z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