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4710F">
        <w:tblPrEx>
          <w:tblCellMar>
            <w:top w:w="0" w:type="dxa"/>
            <w:left w:w="0" w:type="dxa"/>
            <w:bottom w:w="0" w:type="dxa"/>
            <w:right w:w="0" w:type="dxa"/>
          </w:tblCellMar>
        </w:tblPrEx>
        <w:trPr>
          <w:gridAfter w:val="2"/>
          <w:wAfter w:w="1758" w:type="dxa"/>
          <w:cantSplit/>
          <w:trHeight w:val="1320"/>
        </w:trPr>
        <w:tc>
          <w:tcPr>
            <w:tcW w:w="5897" w:type="dxa"/>
          </w:tcPr>
          <w:p w:rsidR="00F4710F" w:rsidRPr="00F4710F" w:rsidRDefault="00F4710F">
            <w:pPr>
              <w:pStyle w:val="HuvudRubrik"/>
            </w:pPr>
            <w:r w:rsidRPr="00F4710F">
              <w:t>Regeringskansliet</w:t>
            </w:r>
          </w:p>
          <w:p w:rsidR="00F4710F" w:rsidRPr="00F4710F" w:rsidRDefault="00F4710F">
            <w:pPr>
              <w:pStyle w:val="HuvudRubrik"/>
            </w:pPr>
            <w:r w:rsidRPr="00F4710F">
              <w:t>Faktapromemoria  2009/10:FPM39</w:t>
            </w:r>
          </w:p>
        </w:tc>
      </w:tr>
      <w:tr w:rsidR="00000000" w:rsidRPr="00F4710F">
        <w:tblPrEx>
          <w:tblCellMar>
            <w:top w:w="0" w:type="dxa"/>
            <w:left w:w="0" w:type="dxa"/>
            <w:bottom w:w="0" w:type="dxa"/>
            <w:right w:w="0" w:type="dxa"/>
          </w:tblCellMar>
        </w:tblPrEx>
        <w:trPr>
          <w:gridAfter w:val="2"/>
          <w:wAfter w:w="1758" w:type="dxa"/>
          <w:cantSplit/>
          <w:trHeight w:val="240"/>
        </w:trPr>
        <w:tc>
          <w:tcPr>
            <w:tcW w:w="5897" w:type="dxa"/>
          </w:tcPr>
          <w:p w:rsidR="00F4710F" w:rsidRPr="00F4710F" w:rsidRDefault="00F4710F">
            <w:pPr>
              <w:pStyle w:val="HuvudRubrik"/>
              <w:rPr>
                <w:sz w:val="28"/>
              </w:rPr>
            </w:pPr>
            <w:r w:rsidRPr="00F4710F">
              <w:t>Rapport om administrativt samarbete på momsområdet</w:t>
            </w:r>
          </w:p>
        </w:tc>
      </w:tr>
      <w:tr w:rsidR="00000000" w:rsidRPr="00F4710F">
        <w:tblPrEx>
          <w:tblCellMar>
            <w:top w:w="0" w:type="dxa"/>
            <w:left w:w="0" w:type="dxa"/>
            <w:bottom w:w="0" w:type="dxa"/>
            <w:right w:w="0" w:type="dxa"/>
          </w:tblCellMar>
        </w:tblPrEx>
        <w:trPr>
          <w:cantSplit/>
          <w:trHeight w:val="285"/>
        </w:trPr>
        <w:tc>
          <w:tcPr>
            <w:tcW w:w="7655" w:type="dxa"/>
            <w:gridSpan w:val="3"/>
          </w:tcPr>
          <w:p w:rsidR="00F4710F" w:rsidRPr="00F4710F" w:rsidRDefault="00F4710F">
            <w:pPr>
              <w:pStyle w:val="Departement"/>
              <w:rPr>
                <w:sz w:val="28"/>
              </w:rPr>
            </w:pPr>
            <w:r w:rsidRPr="00F4710F">
              <w:t>Finansdepartementet</w:t>
            </w:r>
          </w:p>
        </w:tc>
      </w:tr>
      <w:tr w:rsidR="00000000" w:rsidRPr="00F4710F">
        <w:tblPrEx>
          <w:tblCellMar>
            <w:top w:w="0" w:type="dxa"/>
            <w:left w:w="0" w:type="dxa"/>
            <w:bottom w:w="0" w:type="dxa"/>
            <w:right w:w="0" w:type="dxa"/>
          </w:tblCellMar>
        </w:tblPrEx>
        <w:trPr>
          <w:cantSplit/>
          <w:trHeight w:val="240"/>
        </w:trPr>
        <w:tc>
          <w:tcPr>
            <w:tcW w:w="7655" w:type="dxa"/>
            <w:gridSpan w:val="3"/>
          </w:tcPr>
          <w:p w:rsidR="00F4710F" w:rsidRPr="00F4710F" w:rsidRDefault="00F4710F">
            <w:pPr>
              <w:pStyle w:val="Dokumentdatum"/>
            </w:pPr>
            <w:r w:rsidRPr="00F4710F">
              <w:t>2009-12-14</w:t>
            </w:r>
          </w:p>
        </w:tc>
      </w:tr>
      <w:tr w:rsidR="00000000" w:rsidRPr="00F4710F">
        <w:tblPrEx>
          <w:tblCellMar>
            <w:top w:w="0" w:type="dxa"/>
            <w:left w:w="0" w:type="dxa"/>
            <w:bottom w:w="0" w:type="dxa"/>
            <w:right w:w="0" w:type="dxa"/>
          </w:tblCellMar>
        </w:tblPrEx>
        <w:trPr>
          <w:cantSplit/>
          <w:trHeight w:val="726"/>
        </w:trPr>
        <w:tc>
          <w:tcPr>
            <w:tcW w:w="7655" w:type="dxa"/>
            <w:gridSpan w:val="3"/>
            <w:vAlign w:val="bottom"/>
          </w:tcPr>
          <w:p w:rsidR="00F4710F" w:rsidRPr="00F4710F" w:rsidRDefault="00F4710F">
            <w:pPr>
              <w:pStyle w:val="Dokumentbeteckning"/>
            </w:pPr>
            <w:r w:rsidRPr="00F4710F">
              <w:t>Dokumentbeteckning</w:t>
            </w:r>
          </w:p>
        </w:tc>
      </w:tr>
      <w:tr w:rsidR="00000000" w:rsidRPr="00F4710F">
        <w:tblPrEx>
          <w:tblCellMar>
            <w:top w:w="0" w:type="dxa"/>
            <w:left w:w="0" w:type="dxa"/>
            <w:bottom w:w="0" w:type="dxa"/>
            <w:right w:w="0" w:type="dxa"/>
          </w:tblCellMar>
        </w:tblPrEx>
        <w:trPr>
          <w:gridAfter w:val="1"/>
          <w:wAfter w:w="1560" w:type="dxa"/>
          <w:trHeight w:val="120"/>
        </w:trPr>
        <w:tc>
          <w:tcPr>
            <w:tcW w:w="6095" w:type="dxa"/>
            <w:gridSpan w:val="2"/>
          </w:tcPr>
          <w:p w:rsidR="00F4710F" w:rsidRPr="00F4710F" w:rsidRDefault="00F4710F">
            <w:bookmarkStart w:id="0" w:name="KomNr"/>
            <w:bookmarkEnd w:id="0"/>
            <w:r w:rsidRPr="00F4710F">
              <w:t>KOM(2009) 428</w:t>
            </w:r>
          </w:p>
        </w:tc>
      </w:tr>
      <w:tr w:rsidR="00000000" w:rsidRPr="00F4710F">
        <w:tblPrEx>
          <w:tblCellMar>
            <w:top w:w="0" w:type="dxa"/>
            <w:left w:w="0" w:type="dxa"/>
            <w:bottom w:w="0" w:type="dxa"/>
            <w:right w:w="0" w:type="dxa"/>
          </w:tblCellMar>
        </w:tblPrEx>
        <w:trPr>
          <w:gridAfter w:val="1"/>
          <w:wAfter w:w="1560" w:type="dxa"/>
          <w:trHeight w:val="120"/>
        </w:trPr>
        <w:tc>
          <w:tcPr>
            <w:tcW w:w="6095" w:type="dxa"/>
            <w:gridSpan w:val="2"/>
          </w:tcPr>
          <w:p w:rsidR="00F4710F" w:rsidRPr="00F4710F" w:rsidRDefault="00F4710F">
            <w:pPr>
              <w:pStyle w:val="Dokumentbeteckning-titel"/>
            </w:pPr>
            <w:r w:rsidRPr="00F4710F">
              <w:t>Rapport från kommissionen till rådet och Europaparlamentet om tillämpningen av rådets förordning (EG) nr 1798/2003 om administrativt samarbete i fråga om mervärdesskatt</w:t>
            </w:r>
          </w:p>
        </w:tc>
      </w:tr>
    </w:tbl>
    <w:p w:rsidR="00F4710F" w:rsidRPr="00F4710F" w:rsidRDefault="00F4710F"/>
    <w:p w:rsidR="00F4710F" w:rsidRPr="00F4710F" w:rsidRDefault="00F4710F">
      <w:pPr>
        <w:pStyle w:val="Rubrik1"/>
        <w:numPr>
          <w:ilvl w:val="0"/>
          <w:numId w:val="0"/>
        </w:numPr>
      </w:pPr>
      <w:r w:rsidRPr="00F4710F">
        <w:t>Sammanfattning</w:t>
      </w:r>
    </w:p>
    <w:p w:rsidR="00F4710F" w:rsidRPr="00F4710F" w:rsidRDefault="00F4710F"/>
    <w:p w:rsidR="00F4710F" w:rsidRPr="00F4710F" w:rsidRDefault="00F4710F">
      <w:r w:rsidRPr="00F4710F">
        <w:t>Enligt bestämmelserna i rådets förordning (EG) nr 1798/2003 om administrativt samarbete i fråga om mervärdesskatt (nedan förordningen om administrativt samarbete) ska kommissionen vart tredje år överlämna en rapport till Europaparlamentet och rådet om tillämpningen av förordningen. Den aktuella rapporten är den första efter det att förordningen trädde i kraft den 1 januari 2004. I rapporten har kommissionen utvärderat hur det administrativa samarbetet, som syftar till att bekämpa skatteundandragande, har fu</w:t>
      </w:r>
      <w:r w:rsidRPr="00F4710F">
        <w:t xml:space="preserve">ngerat inom det nuvarande regelverket och det analyseras särskilt hur samarbetsmekanismerna har använts. Vidare har kommissionen bedömt hur det administrativa samarbetet behöver förbättras. Kommissionens slutsats är att nivån på det administrativa samarbetet inte är tillfredsställande och att medlemsstaterna inte i tillräcklig utsträckning använder de möjligheter till samarbete som regelverket erbjuder. Det administrativa samarbetet behöver enligt kommissionen förbättras i flera avseenden.   </w:t>
      </w:r>
    </w:p>
    <w:p w:rsidR="00F4710F" w:rsidRPr="00F4710F" w:rsidRDefault="00F4710F"/>
    <w:p w:rsidR="00F4710F" w:rsidRPr="00F4710F" w:rsidRDefault="00F4710F">
      <w:r w:rsidRPr="00F4710F">
        <w:t xml:space="preserve">Regeringen välkomnar kommissionens rapport och är generellt sett positiv till ett ökat administrativt samarbete och informationsutbyte mellan medlemsstaterna.  </w:t>
      </w:r>
    </w:p>
    <w:p w:rsidR="00F4710F" w:rsidRPr="00F4710F" w:rsidRDefault="00F4710F">
      <w:pPr>
        <w:pStyle w:val="Rubrik1"/>
      </w:pPr>
      <w:r w:rsidRPr="00F4710F">
        <w:lastRenderedPageBreak/>
        <w:t>Förslaget</w:t>
      </w:r>
    </w:p>
    <w:p w:rsidR="00F4710F" w:rsidRPr="00F4710F" w:rsidRDefault="00F4710F">
      <w:pPr>
        <w:pStyle w:val="Rubrik2"/>
      </w:pPr>
      <w:r w:rsidRPr="00F4710F">
        <w:t>Ärendets bakgrund</w:t>
      </w:r>
    </w:p>
    <w:p w:rsidR="00F4710F" w:rsidRPr="00F4710F" w:rsidRDefault="00F4710F">
      <w:r w:rsidRPr="00F4710F">
        <w:t xml:space="preserve">I faktapromemoria 2007/08:87 finns en utförlig bakgrundsbeskrivning av arbetet inom EU för att bekämpa momsbedrägerier och skatteundandragande. </w:t>
      </w:r>
    </w:p>
    <w:p w:rsidR="00F4710F" w:rsidRPr="00F4710F" w:rsidRDefault="00F4710F">
      <w:r w:rsidRPr="00F4710F">
        <w:t>Kommissionen lämnade den 1 december 2008 ett meddelande om en samordnad strategi för att förbättra bekämpningen av skatteundandragande i EU, vilket beskrivs i faktapromemoria 2008/09:65. Vidare lämnade kommissionen samma datum ett förslag, som syftar till att bekämpa skatteundandragande, rörande reglerna för momsfrihet vid import och gränsöverskridande solidariskt betalningsansvar, se faktapromemoria 2008/09:64. Förslaget avseende reglerna om momsfrihet vid import antogs av rådet i juni 2009. Medlemsstater</w:t>
      </w:r>
      <w:r w:rsidRPr="00F4710F">
        <w:t>na är dock ännu inte överens om förslaget rörande gränsöverskridande solidariskt betalningsansvar.</w:t>
      </w:r>
    </w:p>
    <w:p w:rsidR="00F4710F" w:rsidRPr="00F4710F" w:rsidRDefault="00F4710F">
      <w:r w:rsidRPr="00F4710F">
        <w:t xml:space="preserve">Kommissionen presenterade den 18 augusti 2009 den rapport som beskrivs i denna faktapromemoria. Samtidigt presenterade kommissionen ett förslag till ändring av förordningen om administrativt samarbete, vilket beskrivs i faktapromemoria 2009/10:XX.  </w:t>
      </w:r>
    </w:p>
    <w:p w:rsidR="00F4710F" w:rsidRPr="00F4710F" w:rsidRDefault="00F4710F">
      <w:pPr>
        <w:pStyle w:val="Rubrik2"/>
      </w:pPr>
      <w:r w:rsidRPr="00F4710F">
        <w:t>Förslagets innehåll</w:t>
      </w:r>
    </w:p>
    <w:p w:rsidR="00F4710F" w:rsidRPr="00F4710F" w:rsidRDefault="00F4710F">
      <w:r w:rsidRPr="00F4710F">
        <w:t>Enligt bestämmelserna i förordningen om administrativt samarbete ska kommissionen vart tredje år överlämna en rapport till Europaparlamentet och rådet om tillämpningen av förordningen. I den aktuella rapporten bedöms hur det administrativa samarbetet, som syftar till att bekämpa skatteundandragande, har fungerat inom det nuvarande regelverket och det analyseras särskilt hur samarbetsmekanismerna har använts. Vidare har kommissionen bedömt hur det administrativa samarbetet behöver förbättras.</w:t>
      </w:r>
    </w:p>
    <w:p w:rsidR="00F4710F" w:rsidRPr="00F4710F" w:rsidRDefault="00F4710F"/>
    <w:p w:rsidR="00F4710F" w:rsidRPr="00F4710F" w:rsidRDefault="00F4710F">
      <w:r w:rsidRPr="00F4710F">
        <w:t xml:space="preserve">Resultatet av kommissionens utvärdering är i huvudsak följande. </w:t>
      </w:r>
    </w:p>
    <w:p w:rsidR="00F4710F" w:rsidRPr="00F4710F" w:rsidRDefault="00F4710F"/>
    <w:p w:rsidR="00F4710F" w:rsidRPr="00F4710F" w:rsidRDefault="00F4710F">
      <w:r w:rsidRPr="00F4710F">
        <w:t>Utbyte av information på begäran</w:t>
      </w:r>
    </w:p>
    <w:p w:rsidR="00F4710F" w:rsidRPr="00F4710F" w:rsidRDefault="00F4710F"/>
    <w:p w:rsidR="00F4710F" w:rsidRPr="00F4710F" w:rsidRDefault="00F4710F">
      <w:r w:rsidRPr="00F4710F">
        <w:t xml:space="preserve">En av huvudfaktorerna för att informationsutbytet ska fungera smidigt är att medlemsstaterna har solida och effektiva interna system och förfaranden. Om detta saknas uppstår problem, exempelvis sena svar på begäran om information, felaktig användning av standardformulär och dålig kvalitet på frågor respektive svar. </w:t>
      </w:r>
    </w:p>
    <w:p w:rsidR="00F4710F" w:rsidRPr="00F4710F" w:rsidRDefault="00F4710F"/>
    <w:p w:rsidR="00F4710F" w:rsidRPr="00F4710F" w:rsidRDefault="00F4710F">
      <w:r w:rsidRPr="00F4710F">
        <w:t xml:space="preserve">Ett stort problem är den tid som det tar att få svar. Fördröjningen av svaren beror på ett antal interna faktorer, t.ex. att informationsutbytet inte anses vara prioriterat, avsaknad av personal och språkliga problem. </w:t>
      </w:r>
    </w:p>
    <w:p w:rsidR="00F4710F" w:rsidRPr="00F4710F" w:rsidRDefault="00F4710F"/>
    <w:p w:rsidR="00F4710F" w:rsidRPr="00F4710F" w:rsidRDefault="00F4710F"/>
    <w:p w:rsidR="00F4710F" w:rsidRPr="00F4710F" w:rsidRDefault="00F4710F"/>
    <w:p w:rsidR="00F4710F" w:rsidRPr="00F4710F" w:rsidRDefault="00F4710F">
      <w:r w:rsidRPr="00F4710F">
        <w:t>Utbyte av information utan föregående begäran</w:t>
      </w:r>
    </w:p>
    <w:p w:rsidR="00F4710F" w:rsidRPr="00F4710F" w:rsidRDefault="00F4710F"/>
    <w:p w:rsidR="00F4710F" w:rsidRPr="00F4710F" w:rsidRDefault="00F4710F">
      <w:r w:rsidRPr="00F4710F">
        <w:t xml:space="preserve">Endast ett fåtal medlemsstater deltar i samtliga kategorier av informationsutbyte. </w:t>
      </w:r>
    </w:p>
    <w:p w:rsidR="00F4710F" w:rsidRPr="00F4710F" w:rsidRDefault="00F4710F"/>
    <w:p w:rsidR="00F4710F" w:rsidRPr="00F4710F" w:rsidRDefault="00F4710F">
      <w:r w:rsidRPr="00F4710F">
        <w:t>Mekanism för återkoppling</w:t>
      </w:r>
    </w:p>
    <w:p w:rsidR="00F4710F" w:rsidRPr="00F4710F" w:rsidRDefault="00F4710F"/>
    <w:p w:rsidR="00F4710F" w:rsidRPr="00F4710F" w:rsidRDefault="00F4710F">
      <w:r w:rsidRPr="00F4710F">
        <w:t xml:space="preserve">De flesta av medlemsstaterna har inget system för återkoppling och kan således inte lämna synpunkter på huruvida överförd information har använts ändamålsenligt. </w:t>
      </w:r>
    </w:p>
    <w:p w:rsidR="00F4710F" w:rsidRPr="00F4710F" w:rsidRDefault="00F4710F"/>
    <w:p w:rsidR="00F4710F" w:rsidRPr="00F4710F" w:rsidRDefault="00F4710F">
      <w:r w:rsidRPr="00F4710F">
        <w:t>Förbättring av databassystemet för utbyte av information om mervärdesskatt (VIES)</w:t>
      </w:r>
    </w:p>
    <w:p w:rsidR="00F4710F" w:rsidRPr="00F4710F" w:rsidRDefault="00F4710F"/>
    <w:p w:rsidR="00F4710F" w:rsidRPr="00F4710F" w:rsidRDefault="00F4710F">
      <w:r w:rsidRPr="00F4710F">
        <w:t xml:space="preserve">Att registreringsnummer för mervärdesskatt inte är giltiga och att korrigeringar av uppgifter fördröjs är problem som finns i VIES-databasen, och detta minskar förtroendet för själva databasen. </w:t>
      </w:r>
    </w:p>
    <w:p w:rsidR="00F4710F" w:rsidRPr="00F4710F" w:rsidRDefault="00F4710F"/>
    <w:p w:rsidR="00F4710F" w:rsidRPr="00F4710F" w:rsidRDefault="00F4710F">
      <w:r w:rsidRPr="00F4710F">
        <w:t xml:space="preserve">Tjänstemäns närvaro vid administrativa myndigheter och medverkan i administrativa utredningar i en annan medlemsstat </w:t>
      </w:r>
    </w:p>
    <w:p w:rsidR="00F4710F" w:rsidRPr="00F4710F" w:rsidRDefault="00F4710F"/>
    <w:p w:rsidR="00F4710F" w:rsidRPr="00F4710F" w:rsidRDefault="00F4710F">
      <w:r w:rsidRPr="00F4710F">
        <w:t xml:space="preserve">Möjligheten att låta tjänstemän från en annan medlemsstat närvara vid en utredning används endast i begränsad utsträckning, även om det betraktas som användbart i gränsregioner. </w:t>
      </w:r>
    </w:p>
    <w:p w:rsidR="00F4710F" w:rsidRPr="00F4710F" w:rsidRDefault="00F4710F"/>
    <w:p w:rsidR="00F4710F" w:rsidRPr="00F4710F" w:rsidRDefault="00F4710F">
      <w:r w:rsidRPr="00F4710F">
        <w:t xml:space="preserve">Samtidiga kontroller – multilaterala kontroller </w:t>
      </w:r>
    </w:p>
    <w:p w:rsidR="00F4710F" w:rsidRPr="00F4710F" w:rsidRDefault="00F4710F"/>
    <w:p w:rsidR="00F4710F" w:rsidRPr="00F4710F" w:rsidRDefault="00F4710F">
      <w:r w:rsidRPr="00F4710F">
        <w:t xml:space="preserve">Medlemsstaterna erkänner mervärdet av kontroller som utförs samtidigt i två eller flera medlemsstater. Ett antal flaskhalsar fördröjer dock förfarandet: bristande tid och resurser, språkkunskaper, bristande erfarenhet, inga direkta kontakter på lokal nivå och det faktum att behöriga myndigheter inte delegerar uppgifter till ansvariga skattetjänstemän. </w:t>
      </w:r>
    </w:p>
    <w:p w:rsidR="00F4710F" w:rsidRPr="00F4710F" w:rsidRDefault="00F4710F"/>
    <w:p w:rsidR="00F4710F" w:rsidRPr="00F4710F" w:rsidRDefault="00F4710F">
      <w:r w:rsidRPr="00F4710F">
        <w:t xml:space="preserve">Särskild ordning för icke-etablerade beskattningsbara personer som tillhandahåller elektroniska tjänster till icke-beskattningsbara personer </w:t>
      </w:r>
    </w:p>
    <w:p w:rsidR="00F4710F" w:rsidRPr="00F4710F" w:rsidRDefault="00F4710F"/>
    <w:p w:rsidR="00F4710F" w:rsidRPr="00F4710F" w:rsidRDefault="00F4710F">
      <w:r w:rsidRPr="00F4710F">
        <w:t xml:space="preserve">Förvaltningen av denna särskilda ordning har inte stött på några större problem, eftersom det inte rör sig om särskilt många icke-etablerade beskattningsbara personer och skattebeloppen inte är särskilt höga. </w:t>
      </w:r>
    </w:p>
    <w:p w:rsidR="00F4710F" w:rsidRPr="00F4710F" w:rsidRDefault="00F4710F"/>
    <w:p w:rsidR="00F4710F" w:rsidRPr="00F4710F" w:rsidRDefault="00F4710F">
      <w:r w:rsidRPr="00F4710F">
        <w:t>Ordningar för nationell utvärdering</w:t>
      </w:r>
    </w:p>
    <w:p w:rsidR="00F4710F" w:rsidRPr="00F4710F" w:rsidRDefault="00F4710F"/>
    <w:p w:rsidR="00F4710F" w:rsidRPr="00F4710F" w:rsidRDefault="00F4710F">
      <w:r w:rsidRPr="00F4710F">
        <w:t>I förordningen om administrativt samarbete anges att medlemsstaterna ska undersöka och utvärdera hur ordningen för administrativt samarbete fungerar. I praktiken visar det sig att en stor majoritet av medlemsstaterna inte systematiskt utför interna utvärderingar .</w:t>
      </w:r>
    </w:p>
    <w:p w:rsidR="00F4710F" w:rsidRPr="00F4710F" w:rsidRDefault="00F4710F"/>
    <w:p w:rsidR="00F4710F" w:rsidRPr="00F4710F" w:rsidRDefault="00F4710F">
      <w:r w:rsidRPr="00F4710F">
        <w:t>Det centrala kontaktkontoret</w:t>
      </w:r>
    </w:p>
    <w:p w:rsidR="00F4710F" w:rsidRPr="00F4710F" w:rsidRDefault="00F4710F"/>
    <w:p w:rsidR="00F4710F" w:rsidRPr="00F4710F" w:rsidRDefault="00F4710F">
      <w:r w:rsidRPr="00F4710F">
        <w:t xml:space="preserve">Det centrala kontaktkontoret utgör kontaktstället för förfrågningar om information i en stor majoritet av medlemsstaterna. Alla medlemsstater anger att de har ett system för att följa upp handläggningen av förfrågningar. Det centrala kontaktkontoret anger interna tidsfrister för att svara, men dessa tycks inte hållas eftersom det inte finns några incitament för att få det ansvariga kontoret på fältet att svara i tid eller förklara varför det inte går. Olika språk fördröjer också förfarandet. </w:t>
      </w:r>
    </w:p>
    <w:p w:rsidR="00F4710F" w:rsidRPr="00F4710F" w:rsidRDefault="00F4710F"/>
    <w:p w:rsidR="00F4710F" w:rsidRPr="00F4710F" w:rsidRDefault="00F4710F">
      <w:r w:rsidRPr="00F4710F">
        <w:t xml:space="preserve">Kommissionens slutsatser </w:t>
      </w:r>
    </w:p>
    <w:p w:rsidR="00F4710F" w:rsidRPr="00F4710F" w:rsidRDefault="00F4710F"/>
    <w:p w:rsidR="00F4710F" w:rsidRPr="00F4710F" w:rsidRDefault="00F4710F">
      <w:r w:rsidRPr="00F4710F">
        <w:t>Kommissionens slutsats är att nivån på det administrativa samarbetet inte är tillfredsställande och att medlemsstaterna inte i tillräcklig utsträckning använder de möjligheter till samarbete som regelverket erbjuder.</w:t>
      </w:r>
    </w:p>
    <w:p w:rsidR="00F4710F" w:rsidRPr="00F4710F" w:rsidRDefault="00F4710F"/>
    <w:p w:rsidR="00F4710F" w:rsidRPr="00F4710F" w:rsidRDefault="00F4710F">
      <w:r w:rsidRPr="00F4710F">
        <w:t xml:space="preserve">När det gäller den praktiska tillämpningen bör enligt kommissionen viljan att förbättra användningen av ordningen för administrativt samarbete återspeglas i skatteförvaltningarnas ledning och organisation. </w:t>
      </w:r>
    </w:p>
    <w:p w:rsidR="00F4710F" w:rsidRPr="00F4710F" w:rsidRDefault="00F4710F"/>
    <w:p w:rsidR="00F4710F" w:rsidRPr="00F4710F" w:rsidRDefault="00F4710F">
      <w:r w:rsidRPr="00F4710F">
        <w:t xml:space="preserve">Det är också enligt kommissionen viktigt att stärka det administrativa samarbetet genom ett förändrat regelverk. Kommissionen hänvisar i detta sammanhang till sitt förslag till ändring av förordningen om administrativt samarbete, se faktapromemoria 2009/10:XX.  </w:t>
      </w:r>
    </w:p>
    <w:p w:rsidR="00F4710F" w:rsidRPr="00F4710F" w:rsidRDefault="00F4710F">
      <w:pPr>
        <w:pStyle w:val="Rubrik2"/>
      </w:pPr>
      <w:r w:rsidRPr="00F4710F">
        <w:t>Gällande svenska regler och förslagets effekt på dessa</w:t>
      </w:r>
    </w:p>
    <w:p w:rsidR="00F4710F" w:rsidRPr="00F4710F" w:rsidRDefault="00F4710F">
      <w:r w:rsidRPr="00F4710F">
        <w:t xml:space="preserve">Det är endast fråga om en rapport som inte innehåller några konkreta förslag. Rapporten har inte någon effekt på svenska regler. </w:t>
      </w:r>
    </w:p>
    <w:p w:rsidR="00F4710F" w:rsidRPr="00F4710F" w:rsidRDefault="00F4710F">
      <w:pPr>
        <w:pStyle w:val="Rubrik2"/>
      </w:pPr>
      <w:r w:rsidRPr="00F4710F">
        <w:t>Budgetära konsekvenser / Konsekvensanalys</w:t>
      </w:r>
    </w:p>
    <w:p w:rsidR="00F4710F" w:rsidRPr="00F4710F" w:rsidRDefault="00F4710F">
      <w:r w:rsidRPr="00F4710F">
        <w:t xml:space="preserve">Det är endast fråga om en rapport som inte innehåller några konkreta förslag. Rapporten innebär inte några budgetära konsekvenser. </w:t>
      </w:r>
    </w:p>
    <w:p w:rsidR="00F4710F" w:rsidRPr="00F4710F" w:rsidRDefault="00F4710F">
      <w:pPr>
        <w:pStyle w:val="Rubrik1"/>
      </w:pPr>
      <w:r w:rsidRPr="00F4710F">
        <w:t>Ståndpunkter</w:t>
      </w:r>
    </w:p>
    <w:p w:rsidR="00F4710F" w:rsidRPr="00F4710F" w:rsidRDefault="00F4710F">
      <w:pPr>
        <w:pStyle w:val="Rubrik2"/>
      </w:pPr>
      <w:r w:rsidRPr="00F4710F">
        <w:t>Preliminär svensk ståndpunkt</w:t>
      </w:r>
    </w:p>
    <w:p w:rsidR="00F4710F" w:rsidRPr="00F4710F" w:rsidRDefault="00F4710F">
      <w:r w:rsidRPr="00F4710F">
        <w:t>Regeringen, som välkomnar kommissionens rapport, anser att kampen mot skatteundandragande är angelägen och är generellt sett positiv till ett ökat administrativt samarbete och informationsutbyte mellan medlemsstaterna. Rapporten innehåller inte några konkreta förslag och någon närmare ståndpunkt kan därför inte anges.</w:t>
      </w:r>
    </w:p>
    <w:p w:rsidR="00F4710F" w:rsidRPr="00F4710F" w:rsidRDefault="00F4710F">
      <w:pPr>
        <w:pStyle w:val="Rubrik2"/>
      </w:pPr>
      <w:r w:rsidRPr="00F4710F">
        <w:t>Medlemsstaternas ståndpunkter</w:t>
      </w:r>
    </w:p>
    <w:p w:rsidR="00F4710F" w:rsidRPr="00F4710F" w:rsidRDefault="00F4710F">
      <w:r w:rsidRPr="00F4710F">
        <w:t xml:space="preserve">Generellt sett är övriga medlemsstater positiva till att vidta åtgärder för att bekämpa skatteundandragande. </w:t>
      </w:r>
    </w:p>
    <w:p w:rsidR="00F4710F" w:rsidRPr="00F4710F" w:rsidRDefault="00F4710F">
      <w:pPr>
        <w:pStyle w:val="Rubrik2"/>
      </w:pPr>
      <w:r w:rsidRPr="00F4710F">
        <w:t>Institutionernas ståndpunkter</w:t>
      </w:r>
    </w:p>
    <w:p w:rsidR="00F4710F" w:rsidRPr="00F4710F" w:rsidRDefault="00F4710F">
      <w:r w:rsidRPr="00F4710F">
        <w:t>Institutionernas ståndpunkter är inte kända.</w:t>
      </w:r>
    </w:p>
    <w:p w:rsidR="00F4710F" w:rsidRPr="00F4710F" w:rsidRDefault="00F4710F">
      <w:pPr>
        <w:pStyle w:val="Rubrik2"/>
      </w:pPr>
      <w:r w:rsidRPr="00F4710F">
        <w:t>Remissinstansernas ståndpunkter</w:t>
      </w:r>
    </w:p>
    <w:p w:rsidR="00F4710F" w:rsidRPr="00F4710F" w:rsidRDefault="00F4710F">
      <w:r w:rsidRPr="00F4710F">
        <w:t>Rapporten har inte sänts på remiss.</w:t>
      </w:r>
    </w:p>
    <w:p w:rsidR="00F4710F" w:rsidRPr="00F4710F" w:rsidRDefault="00F4710F">
      <w:pPr>
        <w:pStyle w:val="Rubrik1"/>
      </w:pPr>
      <w:r w:rsidRPr="00F4710F">
        <w:t>Förslagets förutsättningar</w:t>
      </w:r>
    </w:p>
    <w:p w:rsidR="00F4710F" w:rsidRPr="00F4710F" w:rsidRDefault="00F4710F">
      <w:pPr>
        <w:pStyle w:val="Rubrik2"/>
      </w:pPr>
      <w:r w:rsidRPr="00F4710F">
        <w:t>Rättslig grund och beslutsförfarande</w:t>
      </w:r>
    </w:p>
    <w:p w:rsidR="00F4710F" w:rsidRPr="00F4710F" w:rsidRDefault="00F4710F">
      <w:r w:rsidRPr="00F4710F">
        <w:t>Inte aktuellt då det inte rör sig om ett förslag till beslut.</w:t>
      </w:r>
    </w:p>
    <w:p w:rsidR="00F4710F" w:rsidRPr="00F4710F" w:rsidRDefault="00F4710F">
      <w:pPr>
        <w:pStyle w:val="Rubrik2"/>
      </w:pPr>
      <w:r w:rsidRPr="00F4710F">
        <w:t>Subsidiaritets- och proportionalitetsprincipen</w:t>
      </w:r>
    </w:p>
    <w:p w:rsidR="00F4710F" w:rsidRPr="00F4710F" w:rsidRDefault="00F4710F">
      <w:r w:rsidRPr="00F4710F">
        <w:t>Inte aktuellt då det inte rör sig om ett förslag till beslut.</w:t>
      </w:r>
    </w:p>
    <w:p w:rsidR="00F4710F" w:rsidRPr="00F4710F" w:rsidRDefault="00F4710F">
      <w:pPr>
        <w:pStyle w:val="Rubrik1"/>
      </w:pPr>
      <w:r w:rsidRPr="00F4710F">
        <w:t>Övrigt</w:t>
      </w:r>
    </w:p>
    <w:p w:rsidR="00F4710F" w:rsidRPr="00F4710F" w:rsidRDefault="00F4710F">
      <w:pPr>
        <w:pStyle w:val="Rubrik2"/>
      </w:pPr>
      <w:r w:rsidRPr="00F4710F">
        <w:t>Fortsatt behandling av ärendet</w:t>
      </w:r>
    </w:p>
    <w:p w:rsidR="00F4710F" w:rsidRPr="00F4710F" w:rsidRDefault="00F4710F">
      <w:r w:rsidRPr="00F4710F">
        <w:t xml:space="preserve">Rapporten behandlades i rådets arbetsgrupp för skattefrågor vid ett möte den 25 september 2009. </w:t>
      </w:r>
    </w:p>
    <w:p w:rsidR="00F4710F" w:rsidRPr="00F4710F" w:rsidRDefault="00F4710F">
      <w:pPr>
        <w:pStyle w:val="Rubrik2"/>
      </w:pPr>
      <w:r w:rsidRPr="00F4710F">
        <w:t>Fackuttryck/termer</w:t>
      </w:r>
    </w:p>
    <w:p w:rsidR="00F4710F" w:rsidRPr="00F4710F" w:rsidRDefault="00F4710F">
      <w:r w:rsidRPr="00F4710F">
        <w:t>-</w:t>
      </w:r>
    </w:p>
    <w:p w:rsidR="00F4710F" w:rsidRPr="00F4710F" w:rsidRDefault="00F4710F"/>
    <w:sectPr w:rsidR="00000000" w:rsidRPr="00F4710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710F" w:rsidRPr="00F4710F" w:rsidRDefault="00F4710F">
      <w:r w:rsidRPr="00F4710F">
        <w:separator/>
      </w:r>
    </w:p>
  </w:endnote>
  <w:endnote w:type="continuationSeparator" w:id="0">
    <w:p w:rsidR="00F4710F" w:rsidRPr="00F4710F" w:rsidRDefault="00F4710F">
      <w:r w:rsidRPr="00F471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10F" w:rsidRPr="00F4710F" w:rsidRDefault="00F4710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10F" w:rsidRPr="00F4710F" w:rsidRDefault="00F4710F">
    <w:pPr>
      <w:pStyle w:val="SidfotH"/>
      <w:framePr w:wrap="around"/>
    </w:pPr>
    <w:r w:rsidRPr="00F4710F">
      <w:t>6</w:t>
    </w:r>
  </w:p>
  <w:p w:rsidR="00F4710F" w:rsidRPr="00F4710F" w:rsidRDefault="00F4710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10F" w:rsidRPr="00F4710F" w:rsidRDefault="00F4710F">
    <w:pPr>
      <w:pStyle w:val="SidfotH"/>
      <w:framePr w:wrap="around"/>
    </w:pPr>
    <w:r w:rsidRPr="00F4710F">
      <w:t>1</w:t>
    </w:r>
  </w:p>
  <w:p w:rsidR="00F4710F" w:rsidRPr="00F4710F" w:rsidRDefault="00F471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710F" w:rsidRPr="00F4710F" w:rsidRDefault="00F4710F">
      <w:r w:rsidRPr="00F4710F">
        <w:separator/>
      </w:r>
    </w:p>
  </w:footnote>
  <w:footnote w:type="continuationSeparator" w:id="0">
    <w:p w:rsidR="00F4710F" w:rsidRPr="00F4710F" w:rsidRDefault="00F4710F">
      <w:r w:rsidRPr="00F471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10F" w:rsidRPr="00F4710F" w:rsidRDefault="00F4710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10F" w:rsidRPr="00F4710F" w:rsidRDefault="00F4710F">
    <w:pPr>
      <w:pStyle w:val="Kantrubrik"/>
      <w:framePr w:h="1157" w:hRule="exact" w:wrap="around" w:y="738"/>
    </w:pPr>
    <w:r w:rsidRPr="00F4710F">
      <w:t>2009/10:FPM39</w:t>
    </w:r>
  </w:p>
  <w:p w:rsidR="00F4710F" w:rsidRPr="00F4710F" w:rsidRDefault="00F4710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10F" w:rsidRPr="00F4710F" w:rsidRDefault="00F4710F">
    <w:pPr>
      <w:pStyle w:val="Sidhuvud"/>
    </w:pPr>
    <w:r w:rsidRPr="00F4710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8625307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710F" w:rsidRDefault="00F4710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36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4710F" w:rsidRDefault="00F4710F">
                    <w:pPr>
                      <w:pStyle w:val="Logo"/>
                    </w:pPr>
                    <w:r>
                      <w:object w:dxaOrig="840" w:dyaOrig="1545">
                        <v:shape id="_x0000_i1025" type="#_x0000_t75" style="width:42pt;height:77.5pt" filled="t">
                          <v:imagedata r:id="rId1" o:title=""/>
                        </v:shape>
                        <o:OLEObject Type="Embed" ProgID="Word.Picture.8" ShapeID="_x0000_i1025" DrawAspect="Content" ObjectID="_182753036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97073781">
    <w:abstractNumId w:val="4"/>
  </w:num>
  <w:num w:numId="2" w16cid:durableId="1951165340">
    <w:abstractNumId w:val="1"/>
  </w:num>
  <w:num w:numId="3" w16cid:durableId="434250648">
    <w:abstractNumId w:val="2"/>
  </w:num>
  <w:num w:numId="4" w16cid:durableId="604269230">
    <w:abstractNumId w:val="3"/>
  </w:num>
  <w:num w:numId="5" w16cid:durableId="1605768172">
    <w:abstractNumId w:val="5"/>
  </w:num>
  <w:num w:numId="6" w16cid:durableId="54285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12-14"/>
    <w:docVar w:name="Ar" w:val="2009/10"/>
    <w:docVar w:name="Dep" w:val="Finansdepartementet"/>
    <w:docVar w:name="DepWeb" w:val="Finansdepartementet"/>
    <w:docVar w:name="GDB1" w:val="KOM(2009) 42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Rapport från kommissionen till rådet och Europaparlamentet om tillämpningen av rådets förordning (EG) nr 1798/2003 om administrativt samarbete i fråga om mervärdesskat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9) 428"/>
    <w:docVar w:name="Nr" w:val="39"/>
    <w:docVar w:name="RD_APPVERSION" w:val="3.00"/>
    <w:docVar w:name="Rub" w:val="Rapport om administrativt samarbete på momsområdet"/>
    <w:docVar w:name="UppDat" w:val="2009-12-14"/>
    <w:docVar w:name="Utsk" w:val="Skatteutskottet"/>
  </w:docVars>
  <w:rsids>
    <w:rsidRoot w:val="00E825DC"/>
    <w:rsid w:val="00E825DC"/>
    <w:rsid w:val="00F4710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E1C3D43-49D8-4A2E-BF3E-7954038A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1070</Words>
  <Characters>7256</Characters>
  <Application>Microsoft Office Word</Application>
  <DocSecurity>4</DocSecurity>
  <Lines>176</Lines>
  <Paragraphs>74</Paragraphs>
  <ScaleCrop>false</ScaleCrop>
  <HeadingPairs>
    <vt:vector size="2" baseType="variant">
      <vt:variant>
        <vt:lpstr>Rubrik</vt:lpstr>
      </vt:variant>
      <vt:variant>
        <vt:i4>1</vt:i4>
      </vt:variant>
    </vt:vector>
  </HeadingPairs>
  <TitlesOfParts>
    <vt:vector size="1" baseType="lpstr">
      <vt:lpstr>FPM_200910__39</vt:lpstr>
    </vt:vector>
  </TitlesOfParts>
  <Company>RD-DTSL</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FPM_200910__39</dc:title>
  <dc:subject>FPM_200910__39</dc:subject>
  <dc:creator>Riksdagen</dc:creator>
  <cp:keywords>Riksdagen</cp:keywords>
  <dc:description>KP2004-version.  Ändringarna påverkar enbart användningen inom Riksdagen. 050429 nya departement DTSL.</dc:description>
  <cp:lastModifiedBy>Lars Brink</cp:lastModifiedBy>
  <cp:revision>2</cp:revision>
  <cp:lastPrinted>2009-12-15T09:32:00Z</cp:lastPrinted>
  <dcterms:created xsi:type="dcterms:W3CDTF">2025-12-17T23:20:00Z</dcterms:created>
  <dcterms:modified xsi:type="dcterms:W3CDTF">2025-12-17T23:20:00Z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39</vt:lpwstr>
  </property>
  <property fmtid="{D5CDD505-2E9C-101B-9397-08002B2CF9AE}" pid="4" name="GDB1">
    <vt:lpwstr>KOM(2009) 428</vt:lpwstr>
  </property>
  <property fmtid="{D5CDD505-2E9C-101B-9397-08002B2CF9AE}" pid="5" name="GDT1">
    <vt:lpwstr> </vt:lpwstr>
  </property>
  <property fmtid="{D5CDD505-2E9C-101B-9397-08002B2CF9AE}" pid="6" name="Dep">
    <vt:lpwstr>Finansdepartementet</vt:lpwstr>
  </property>
  <property fmtid="{D5CDD505-2E9C-101B-9397-08002B2CF9AE}" pid="7" name="Rub">
    <vt:lpwstr>Rapport om administrativt samarbete på momsområdet</vt:lpwstr>
  </property>
  <property fmtid="{D5CDD505-2E9C-101B-9397-08002B2CF9AE}" pid="8" name="UppDat">
    <vt:lpwstr>2009-12-14</vt:lpwstr>
  </property>
  <property fmtid="{D5CDD505-2E9C-101B-9397-08002B2CF9AE}" pid="9" name="AnkDat">
    <vt:lpwstr>2009-12-14</vt:lpwstr>
  </property>
  <property fmtid="{D5CDD505-2E9C-101B-9397-08002B2CF9AE}" pid="10" name="Utsk">
    <vt:lpwstr>Skatteutskottet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6;0;0;264</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