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7729D" w:rsidTr="00F51824">
        <w:tc>
          <w:tcPr>
            <w:tcW w:w="2268" w:type="dxa"/>
          </w:tcPr>
          <w:p w:rsidR="0037729D" w:rsidRDefault="0037729D"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37729D" w:rsidRPr="005E38B4" w:rsidRDefault="0037729D" w:rsidP="005E38B4">
            <w:pPr>
              <w:framePr w:w="5035" w:h="1644" w:wrap="notBeside" w:vAnchor="page" w:hAnchor="page" w:x="6573" w:y="721"/>
              <w:jc w:val="center"/>
              <w:rPr>
                <w:rFonts w:ascii="TradeGothic" w:hAnsi="TradeGothic"/>
                <w:sz w:val="18"/>
              </w:rPr>
            </w:pPr>
          </w:p>
        </w:tc>
      </w:tr>
      <w:tr w:rsidR="0037729D" w:rsidTr="00F51824">
        <w:tc>
          <w:tcPr>
            <w:tcW w:w="5267" w:type="dxa"/>
            <w:gridSpan w:val="3"/>
          </w:tcPr>
          <w:p w:rsidR="0037729D" w:rsidRDefault="0037729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37729D" w:rsidTr="00F51824">
        <w:tc>
          <w:tcPr>
            <w:tcW w:w="3402" w:type="dxa"/>
            <w:gridSpan w:val="2"/>
          </w:tcPr>
          <w:p w:rsidR="0037729D" w:rsidRDefault="0037729D" w:rsidP="007242A3">
            <w:pPr>
              <w:framePr w:w="5035" w:h="1644" w:wrap="notBeside" w:vAnchor="page" w:hAnchor="page" w:x="6573" w:y="721"/>
            </w:pPr>
          </w:p>
        </w:tc>
        <w:tc>
          <w:tcPr>
            <w:tcW w:w="1865" w:type="dxa"/>
          </w:tcPr>
          <w:p w:rsidR="0037729D" w:rsidRDefault="0037729D" w:rsidP="007242A3">
            <w:pPr>
              <w:framePr w:w="5035" w:h="1644" w:wrap="notBeside" w:vAnchor="page" w:hAnchor="page" w:x="6573" w:y="721"/>
            </w:pPr>
          </w:p>
        </w:tc>
      </w:tr>
      <w:tr w:rsidR="0037729D" w:rsidTr="00F51824">
        <w:tc>
          <w:tcPr>
            <w:tcW w:w="2268" w:type="dxa"/>
          </w:tcPr>
          <w:p w:rsidR="0037729D" w:rsidRDefault="0037729D" w:rsidP="007242A3">
            <w:pPr>
              <w:framePr w:w="5035" w:h="1644" w:wrap="notBeside" w:vAnchor="page" w:hAnchor="page" w:x="6573" w:y="721"/>
            </w:pPr>
            <w:r>
              <w:t>2013-02-06</w:t>
            </w:r>
          </w:p>
        </w:tc>
        <w:tc>
          <w:tcPr>
            <w:tcW w:w="2999" w:type="dxa"/>
            <w:gridSpan w:val="2"/>
          </w:tcPr>
          <w:p w:rsidR="0037729D" w:rsidRPr="00ED583F" w:rsidRDefault="0037729D" w:rsidP="007242A3">
            <w:pPr>
              <w:framePr w:w="5035" w:h="1644" w:wrap="notBeside" w:vAnchor="page" w:hAnchor="page" w:x="6573" w:y="721"/>
              <w:rPr>
                <w:sz w:val="20"/>
              </w:rPr>
            </w:pPr>
          </w:p>
        </w:tc>
      </w:tr>
      <w:tr w:rsidR="0037729D" w:rsidTr="00F51824">
        <w:tc>
          <w:tcPr>
            <w:tcW w:w="2268" w:type="dxa"/>
          </w:tcPr>
          <w:p w:rsidR="0037729D" w:rsidRDefault="0037729D" w:rsidP="007242A3">
            <w:pPr>
              <w:framePr w:w="5035" w:h="1644" w:wrap="notBeside" w:vAnchor="page" w:hAnchor="page" w:x="6573" w:y="721"/>
            </w:pPr>
          </w:p>
        </w:tc>
        <w:tc>
          <w:tcPr>
            <w:tcW w:w="2999" w:type="dxa"/>
            <w:gridSpan w:val="2"/>
          </w:tcPr>
          <w:p w:rsidR="0037729D" w:rsidRDefault="0037729D" w:rsidP="007242A3">
            <w:pPr>
              <w:framePr w:w="5035" w:h="1644" w:wrap="notBeside" w:vAnchor="page" w:hAnchor="page" w:x="6573" w:y="721"/>
            </w:pPr>
          </w:p>
        </w:tc>
      </w:tr>
    </w:tbl>
    <w:tbl>
      <w:tblPr>
        <w:tblW w:w="0" w:type="auto"/>
        <w:tblLayout w:type="fixed"/>
        <w:tblLook w:val="0000"/>
      </w:tblPr>
      <w:tblGrid>
        <w:gridCol w:w="4911"/>
      </w:tblGrid>
      <w:tr w:rsidR="0037729D">
        <w:trPr>
          <w:trHeight w:val="284"/>
        </w:trPr>
        <w:tc>
          <w:tcPr>
            <w:tcW w:w="4911" w:type="dxa"/>
          </w:tcPr>
          <w:p w:rsidR="0037729D" w:rsidRDefault="0037729D">
            <w:pPr>
              <w:pStyle w:val="Avsndare"/>
              <w:framePr w:h="2483" w:wrap="notBeside" w:x="1504"/>
              <w:rPr>
                <w:b/>
                <w:i w:val="0"/>
                <w:sz w:val="22"/>
              </w:rPr>
            </w:pPr>
            <w:r>
              <w:rPr>
                <w:b/>
                <w:i w:val="0"/>
                <w:sz w:val="22"/>
              </w:rPr>
              <w:t>Näringsdepartementet</w:t>
            </w: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r>
              <w:rPr>
                <w:bCs/>
                <w:iCs/>
              </w:rPr>
              <w:t>Energi</w:t>
            </w: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p>
        </w:tc>
      </w:tr>
      <w:tr w:rsidR="0037729D">
        <w:trPr>
          <w:trHeight w:val="284"/>
        </w:trPr>
        <w:tc>
          <w:tcPr>
            <w:tcW w:w="4911" w:type="dxa"/>
          </w:tcPr>
          <w:p w:rsidR="0037729D" w:rsidRDefault="0037729D">
            <w:pPr>
              <w:pStyle w:val="Avsndare"/>
              <w:framePr w:h="2483" w:wrap="notBeside" w:x="1504"/>
              <w:rPr>
                <w:bCs/>
                <w:iCs/>
              </w:rPr>
            </w:pPr>
          </w:p>
        </w:tc>
      </w:tr>
    </w:tbl>
    <w:p w:rsidR="0037729D" w:rsidRPr="00F51824" w:rsidRDefault="0037729D">
      <w:pPr>
        <w:framePr w:w="4400" w:h="2523" w:wrap="notBeside" w:vAnchor="page" w:hAnchor="page" w:x="6453" w:y="2445"/>
        <w:ind w:left="142"/>
        <w:rPr>
          <w:b/>
        </w:rPr>
      </w:pPr>
    </w:p>
    <w:p w:rsidR="0037729D" w:rsidRDefault="0037729D">
      <w:pPr>
        <w:pStyle w:val="RKrubrik"/>
        <w:pBdr>
          <w:bottom w:val="single" w:sz="6" w:space="1" w:color="auto"/>
        </w:pBdr>
      </w:pPr>
      <w:bookmarkStart w:id="1" w:name="bRubrik"/>
      <w:bookmarkEnd w:id="1"/>
      <w:r>
        <w:t xml:space="preserve">Rådets möte </w:t>
      </w:r>
      <w:r w:rsidRPr="00124FB5">
        <w:t xml:space="preserve">TTE (energi) den </w:t>
      </w:r>
      <w:r>
        <w:t>22</w:t>
      </w:r>
      <w:r w:rsidRPr="00124FB5">
        <w:t xml:space="preserve"> </w:t>
      </w:r>
      <w:r>
        <w:t>februari 2013</w:t>
      </w:r>
    </w:p>
    <w:p w:rsidR="0037729D" w:rsidRDefault="0037729D">
      <w:pPr>
        <w:pStyle w:val="RKnormal"/>
      </w:pPr>
    </w:p>
    <w:p w:rsidR="0037729D" w:rsidRDefault="0037729D">
      <w:pPr>
        <w:pStyle w:val="RKnormal"/>
      </w:pPr>
      <w:r>
        <w:t>Dagordningspunkt ILUC</w:t>
      </w:r>
    </w:p>
    <w:p w:rsidR="0037729D" w:rsidRDefault="0037729D">
      <w:pPr>
        <w:pStyle w:val="RKnormal"/>
      </w:pPr>
    </w:p>
    <w:p w:rsidR="0037729D" w:rsidRDefault="0037729D">
      <w:pPr>
        <w:pStyle w:val="RKnormal"/>
      </w:pPr>
      <w:r>
        <w:t xml:space="preserve">Rubrik: </w:t>
      </w:r>
    </w:p>
    <w:p w:rsidR="0037729D" w:rsidRDefault="0037729D" w:rsidP="00F51824">
      <w:pPr>
        <w:pStyle w:val="RKnormal"/>
        <w:ind w:left="709"/>
      </w:pPr>
      <w:r w:rsidRPr="00F51824">
        <w:t>Förslag till Europaparlamentets och rådets direktiv om ändring av direktiv 98/70/EG om kvaliteten på bensin och dieselbränslen och om ändring av direktiv2009/28/EG om främjande av användningen av energi från förnybara energikällor</w:t>
      </w:r>
    </w:p>
    <w:p w:rsidR="0037729D" w:rsidRPr="00F51824" w:rsidRDefault="0037729D" w:rsidP="00F51824">
      <w:pPr>
        <w:pStyle w:val="RKnormal"/>
        <w:numPr>
          <w:ilvl w:val="0"/>
          <w:numId w:val="1"/>
        </w:numPr>
      </w:pPr>
      <w:r>
        <w:t>Orienteringsdebatt</w:t>
      </w:r>
    </w:p>
    <w:p w:rsidR="0037729D" w:rsidRDefault="0037729D">
      <w:pPr>
        <w:pStyle w:val="RKnormal"/>
      </w:pPr>
    </w:p>
    <w:p w:rsidR="0037729D" w:rsidRPr="00F51824" w:rsidRDefault="0037729D" w:rsidP="00F51824">
      <w:pPr>
        <w:pStyle w:val="Normal1"/>
        <w:spacing w:before="0" w:after="0" w:line="225" w:lineRule="atLeast"/>
        <w:rPr>
          <w:rFonts w:ascii="OrigGarmnd BT" w:hAnsi="OrigGarmnd BT"/>
          <w:szCs w:val="20"/>
        </w:rPr>
      </w:pPr>
      <w:r>
        <w:t xml:space="preserve">Dokument: </w:t>
      </w:r>
      <w:r w:rsidRPr="00F51824">
        <w:rPr>
          <w:rFonts w:ascii="OrigGarmnd BT" w:hAnsi="OrigGarmnd BT"/>
          <w:szCs w:val="20"/>
        </w:rPr>
        <w:t>KOM(2012) 595</w:t>
      </w:r>
    </w:p>
    <w:p w:rsidR="0037729D" w:rsidRDefault="0037729D">
      <w:pPr>
        <w:pStyle w:val="RKnormal"/>
      </w:pPr>
    </w:p>
    <w:p w:rsidR="0037729D" w:rsidRPr="00F51824" w:rsidRDefault="0037729D" w:rsidP="00F51824">
      <w:pPr>
        <w:pStyle w:val="departement"/>
        <w:spacing w:line="225" w:lineRule="atLeast"/>
      </w:pPr>
      <w:r>
        <w:t xml:space="preserve">Tidigare dokument: Fakta-PM </w:t>
      </w:r>
      <w:r w:rsidRPr="00F51824">
        <w:t>2012/13:FPM40</w:t>
      </w:r>
      <w:r>
        <w:t xml:space="preserve"> </w:t>
      </w:r>
      <w:r w:rsidRPr="00F51824">
        <w:t>Miljödepartementet, Näringsdepartementet</w:t>
      </w:r>
    </w:p>
    <w:p w:rsidR="0037729D" w:rsidRDefault="0037729D">
      <w:pPr>
        <w:pStyle w:val="RKnormal"/>
      </w:pPr>
    </w:p>
    <w:p w:rsidR="0037729D" w:rsidRDefault="0037729D">
      <w:pPr>
        <w:pStyle w:val="RKrubrik"/>
      </w:pPr>
      <w:r>
        <w:t>Bakgrund</w:t>
      </w:r>
    </w:p>
    <w:p w:rsidR="0037729D" w:rsidRPr="00F51824" w:rsidRDefault="0037729D" w:rsidP="001A12DA">
      <w:pPr>
        <w:pStyle w:val="RKnormal"/>
      </w:pPr>
      <w:r w:rsidRPr="00F51824">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37729D" w:rsidRPr="00F51824" w:rsidRDefault="0037729D" w:rsidP="001A12DA">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rsidR="0037729D" w:rsidRPr="00F51824" w:rsidRDefault="0037729D" w:rsidP="001A12DA">
      <w:pPr>
        <w:pStyle w:val="RKnormal"/>
      </w:pPr>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har nu presenterat sina förslag inom detta område. </w:t>
      </w:r>
    </w:p>
    <w:p w:rsidR="0037729D" w:rsidRDefault="0037729D">
      <w:pPr>
        <w:pStyle w:val="RKrubrik"/>
      </w:pPr>
      <w:r>
        <w:t>Rättslig grund och beslutsförfarande’</w:t>
      </w:r>
    </w:p>
    <w:p w:rsidR="0037729D" w:rsidRPr="00F51824" w:rsidRDefault="0037729D" w:rsidP="001A12DA">
      <w:pPr>
        <w:pStyle w:val="RKnormal"/>
      </w:pPr>
      <w:r w:rsidRPr="00F51824">
        <w:t>Förslaget syftar till att skydda miljön och till en fungerande inre marknad. Förslaget baseras därmed på artiklarna 192(1) and 114 av Fördraget om Europeiska unionens funktionssätt.</w:t>
      </w:r>
    </w:p>
    <w:p w:rsidR="0037729D" w:rsidRDefault="0037729D">
      <w:pPr>
        <w:pStyle w:val="RKrubrik"/>
        <w:rPr>
          <w:i/>
          <w:iCs/>
        </w:rPr>
      </w:pPr>
      <w:r>
        <w:rPr>
          <w:i/>
          <w:iCs/>
        </w:rPr>
        <w:t>Svensk ståndpunkt</w:t>
      </w:r>
    </w:p>
    <w:p w:rsidR="0037729D" w:rsidRDefault="0037729D" w:rsidP="00C4021A">
      <w:pPr>
        <w:pStyle w:val="RKnormal"/>
      </w:pPr>
      <w:r>
        <w:t xml:space="preserve">Regeringen instämmer i förslagens huvudsakliga syfte att förbättra befintliga biodrivmedels miljöprestanda och samtidigt främja mer avancerade biodrivmedel. </w:t>
      </w:r>
    </w:p>
    <w:p w:rsidR="0037729D" w:rsidRDefault="0037729D" w:rsidP="00C4021A">
      <w:pPr>
        <w:pStyle w:val="RKnormal"/>
      </w:pPr>
    </w:p>
    <w:p w:rsidR="0037729D" w:rsidRDefault="0037729D" w:rsidP="00C4021A">
      <w:pPr>
        <w:pStyle w:val="RKnormal"/>
      </w:pPr>
      <w:r>
        <w:t xml:space="preserve">Regeringen välkomnar mot denna bakgrund den föreslagna tidigareläggningen av den succesiva ökningen av de krav som ställs på de utsläpp av klimatgaser som är förknippade med produktionen av biodrivmedel. </w:t>
      </w:r>
    </w:p>
    <w:p w:rsidR="0037729D" w:rsidRDefault="0037729D" w:rsidP="00C4021A">
      <w:pPr>
        <w:pStyle w:val="RKnormal"/>
      </w:pPr>
    </w:p>
    <w:p w:rsidR="0037729D" w:rsidRDefault="0037729D" w:rsidP="00C4021A">
      <w:pPr>
        <w:pStyle w:val="RKnormal"/>
      </w:pPr>
      <w:r>
        <w:t>Regeringen anser dock att det föreslagna taket för konventionella drivmedel riskerar att begränsa användningen även av biodrivmedel med mycket god miljöprestanda, vilket är olyckligt. Ett alternativ till kommissionens förslag är därför ett mycket restriktivt tak för</w:t>
      </w:r>
      <w:r w:rsidRPr="001E3F2E">
        <w:t xml:space="preserve"> de biodrivmedel som enligt kommissionens analys har de största indirekta utsläppen, dvs konventionell biodiesel baserad på oljeväxter som kan användas som livsmedel eller foder.</w:t>
      </w:r>
      <w:r>
        <w:t xml:space="preserve"> Bioetanol bör då inte omfattas av taket eftersom dess miljöprestanda säkerställs av befintliga hållbarhetskriterier och då ILUC-utsläppen enligt kommissionens analys är låga.</w:t>
      </w:r>
    </w:p>
    <w:p w:rsidR="0037729D" w:rsidRDefault="0037729D">
      <w:pPr>
        <w:pStyle w:val="RKrubrik"/>
      </w:pPr>
      <w:r>
        <w:t>Europaparlamentets inställning</w:t>
      </w:r>
    </w:p>
    <w:p w:rsidR="0037729D" w:rsidRPr="00F51824" w:rsidRDefault="0037729D" w:rsidP="00F51824">
      <w:pPr>
        <w:pStyle w:val="RKnormal"/>
      </w:pPr>
      <w:r>
        <w:t>Europaparlamentets ståndpunkt är ännu inte känd.</w:t>
      </w:r>
    </w:p>
    <w:p w:rsidR="0037729D" w:rsidRDefault="0037729D">
      <w:pPr>
        <w:pStyle w:val="RKnormal"/>
      </w:pPr>
    </w:p>
    <w:p w:rsidR="0037729D" w:rsidRDefault="0037729D">
      <w:pPr>
        <w:pStyle w:val="RKrubrik"/>
        <w:rPr>
          <w:i/>
          <w:iCs/>
        </w:rPr>
      </w:pPr>
      <w:r>
        <w:rPr>
          <w:i/>
          <w:iCs/>
        </w:rPr>
        <w:t>Förslaget</w:t>
      </w:r>
    </w:p>
    <w:p w:rsidR="0037729D" w:rsidRDefault="0037729D" w:rsidP="00C4021A">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rsidR="0037729D" w:rsidRPr="00C4021A" w:rsidRDefault="0037729D" w:rsidP="00C4021A">
      <w:pPr>
        <w:pStyle w:val="RKnormal"/>
      </w:pPr>
    </w:p>
    <w:p w:rsidR="0037729D" w:rsidRDefault="0037729D" w:rsidP="00C4021A">
      <w:pPr>
        <w:pStyle w:val="RKnormal"/>
      </w:pPr>
      <w:r w:rsidRPr="00C4021A">
        <w:t>Kommissionens analys visar att det finns ett antal osäkerheter och begränsningar kopplade till de modeller som används för att kvantifiera utsläpp orsakade av indirekt förändrad markanvändning. Samtidigt konstateras att utsläpp som en följd av indirekt ändrad markanvändning enligt de använda beräkningsmodellerna i vissa fall kan vara så stora att de mer än eliminerar de minskningar av klimatgaser som användningen av dessa biodrivmedel ger då de ersätter fossila bränslen, men att effekten är mindre påtaglig för andra bränslen. Då EU enligt kommissionens bedömning bör agera enligt försiktighetsprincipen föreslås, trots de osäkerheter som är förknippade med de modeller som analysen bygger på, åtgärder som syftar till att minimera de befarade ILUC-effekterna.</w:t>
      </w:r>
    </w:p>
    <w:p w:rsidR="0037729D" w:rsidRPr="00C4021A" w:rsidRDefault="0037729D" w:rsidP="00C4021A">
      <w:pPr>
        <w:pStyle w:val="RKnormal"/>
      </w:pPr>
    </w:p>
    <w:p w:rsidR="0037729D" w:rsidRPr="00C4021A" w:rsidRDefault="0037729D" w:rsidP="00C4021A">
      <w:pPr>
        <w:pStyle w:val="RKnormal"/>
      </w:pPr>
      <w:r w:rsidRPr="00C4021A">
        <w:t xml:space="preserve">I kommissionens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rsidR="0037729D" w:rsidRDefault="0037729D" w:rsidP="00C4021A">
      <w:pPr>
        <w:pStyle w:val="RKnormal"/>
      </w:pPr>
      <w:r w:rsidRPr="00C4021A">
        <w:t xml:space="preserve">Kommissionen föreslår ett tak för den andel konventionella biodrivmedel som får användas i medlemsländernas redovisning av måluppfyllelsen avseende målen för andel förnybar energi. Bidraget från de i direktivförslaget utpekade biodrivmedlen får inte vara mer än fem procent av energianvändningen i transportsektorn år 2020. </w:t>
      </w:r>
    </w:p>
    <w:p w:rsidR="0037729D" w:rsidRDefault="0037729D" w:rsidP="00C4021A">
      <w:pPr>
        <w:pStyle w:val="RKnormal"/>
      </w:pPr>
    </w:p>
    <w:p w:rsidR="0037729D" w:rsidRDefault="0037729D" w:rsidP="00C4021A">
      <w:pPr>
        <w:pStyle w:val="RKnormal"/>
      </w:pPr>
      <w:r w:rsidRPr="00C4021A">
        <w:t>Kommissionen gör också bedömningen att dessa drivmedel inte bör subventioneras efter 2020 eftersom endast mer avancerade bränslen bör främjas på längre sikt</w:t>
      </w:r>
      <w:r>
        <w:t>.</w:t>
      </w:r>
    </w:p>
    <w:p w:rsidR="0037729D" w:rsidRPr="00C4021A" w:rsidRDefault="0037729D" w:rsidP="00C4021A">
      <w:pPr>
        <w:pStyle w:val="RKnormal"/>
      </w:pPr>
      <w:r w:rsidRPr="00C4021A">
        <w:t xml:space="preserve"> </w:t>
      </w:r>
    </w:p>
    <w:p w:rsidR="0037729D" w:rsidRDefault="0037729D" w:rsidP="00C4021A">
      <w:pPr>
        <w:pStyle w:val="RKnormal"/>
      </w:pPr>
      <w:r w:rsidRPr="00C4021A">
        <w:t>För att främja mer avancerade bränslen som inte beräknas orsaka indirekta utsläpp såsom beskrivits ovan föreslås att dessa får räknas dubbelt eller fyrfalt i medlemsstaternas måluppfyllelse. Det lämnas dock till medlemsstaterna att utforma styrmedel för att utnyttja omräkningsmöjligheterna.</w:t>
      </w:r>
    </w:p>
    <w:p w:rsidR="0037729D" w:rsidRPr="00C4021A" w:rsidRDefault="0037729D" w:rsidP="00C4021A">
      <w:pPr>
        <w:pStyle w:val="RKnormal"/>
      </w:pPr>
    </w:p>
    <w:p w:rsidR="0037729D" w:rsidRPr="00C4021A" w:rsidRDefault="0037729D" w:rsidP="00C4021A">
      <w:pPr>
        <w:pStyle w:val="RKnormal"/>
      </w:pPr>
      <w:r w:rsidRPr="00C4021A">
        <w:t xml:space="preserve">Kommissionen föreslår även en tidigareläggning av den redan tidigare fastställda succesiva ökningen av de krav som ställs på de utsläpp av klimatgaser som är förknippade med produktionen av biodrivmedel. </w:t>
      </w:r>
    </w:p>
    <w:p w:rsidR="0037729D" w:rsidRPr="00C4021A" w:rsidRDefault="0037729D" w:rsidP="00C4021A">
      <w:pPr>
        <w:pStyle w:val="RKnormal"/>
      </w:pPr>
      <w:r w:rsidRPr="00C4021A">
        <w:t>Vidare innehåller förslaget ett stort antal bestämmelser av mer teknisk karaktär.</w:t>
      </w:r>
    </w:p>
    <w:p w:rsidR="0037729D" w:rsidRDefault="0037729D">
      <w:pPr>
        <w:pStyle w:val="RKnormal"/>
      </w:pPr>
    </w:p>
    <w:p w:rsidR="0037729D" w:rsidRDefault="0037729D">
      <w:pPr>
        <w:pStyle w:val="RKrubrik"/>
        <w:rPr>
          <w:i/>
          <w:iCs/>
        </w:rPr>
      </w:pPr>
      <w:r>
        <w:rPr>
          <w:i/>
          <w:iCs/>
        </w:rPr>
        <w:t>Gällande svenska regler och förslagets effekter på dessa</w:t>
      </w:r>
    </w:p>
    <w:p w:rsidR="0037729D" w:rsidRDefault="0037729D" w:rsidP="00C4021A">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rsidR="0037729D" w:rsidRPr="00C4021A" w:rsidRDefault="0037729D" w:rsidP="00C4021A">
      <w:pPr>
        <w:pStyle w:val="RKnormal"/>
      </w:pPr>
    </w:p>
    <w:p w:rsidR="0037729D" w:rsidRDefault="0037729D" w:rsidP="00C4021A">
      <w:pPr>
        <w:pStyle w:val="RKnormal"/>
        <w:rPr>
          <w:rFonts w:ascii="Verdana" w:hAnsi="Verdana"/>
          <w:sz w:val="18"/>
          <w:szCs w:val="18"/>
        </w:rPr>
      </w:pPr>
      <w:r w:rsidRPr="00C4021A">
        <w:t>Förslaget kan även få betydelse för utformningen av ett sådant kvotpliktsystem för förnybara drivmedel som regeringen aviserat i 2012 års ekonomiska vårproposition</w:t>
      </w:r>
      <w:r>
        <w:rPr>
          <w:rFonts w:ascii="Verdana" w:hAnsi="Verdana"/>
          <w:sz w:val="18"/>
          <w:szCs w:val="18"/>
        </w:rPr>
        <w:t>.</w:t>
      </w:r>
    </w:p>
    <w:p w:rsidR="0037729D" w:rsidRDefault="0037729D">
      <w:pPr>
        <w:pStyle w:val="RKnormal"/>
      </w:pPr>
    </w:p>
    <w:p w:rsidR="0037729D" w:rsidRDefault="0037729D">
      <w:pPr>
        <w:pStyle w:val="RKrubrik"/>
      </w:pPr>
      <w:r>
        <w:t>Ekonomiska konsekvenser</w:t>
      </w:r>
    </w:p>
    <w:p w:rsidR="0037729D" w:rsidRDefault="0037729D">
      <w:pPr>
        <w:pStyle w:val="RKnormal"/>
      </w:pPr>
      <w:r w:rsidRPr="00C4021A">
        <w:t>Förslaget kommer att få konsekvenser för investerare på biodrivmedelsmarknaderna och kan också komma att påverka statsbudgeten både på intäkts- och utgiftssidan. Förslagets eventuella konsekvenser är under utredning i Regeringskansliet.</w:t>
      </w:r>
    </w:p>
    <w:p w:rsidR="0037729D" w:rsidRDefault="0037729D">
      <w:pPr>
        <w:pStyle w:val="RKrubrik"/>
      </w:pPr>
      <w:r>
        <w:t>Övrigt</w:t>
      </w:r>
    </w:p>
    <w:p w:rsidR="0037729D" w:rsidRDefault="0037729D">
      <w:pPr>
        <w:pStyle w:val="RKnormal"/>
      </w:pPr>
    </w:p>
    <w:p w:rsidR="0037729D" w:rsidRDefault="0037729D">
      <w:pPr>
        <w:pStyle w:val="RKnormal"/>
        <w:rPr>
          <w:i/>
          <w:iCs/>
        </w:rPr>
      </w:pPr>
    </w:p>
    <w:p w:rsidR="0037729D" w:rsidRDefault="0037729D">
      <w:pPr>
        <w:pStyle w:val="RKnormal"/>
        <w:ind w:left="-1134"/>
      </w:pPr>
    </w:p>
    <w:p w:rsidR="0037729D" w:rsidRDefault="0037729D">
      <w:pPr>
        <w:pStyle w:val="RKrubrik"/>
        <w:spacing w:before="0" w:after="0"/>
      </w:pPr>
    </w:p>
    <w:p w:rsidR="0037729D" w:rsidRDefault="0037729D">
      <w:pPr>
        <w:pStyle w:val="RKnormal"/>
      </w:pPr>
    </w:p>
    <w:sectPr w:rsidR="0037729D" w:rsidSect="005E3C5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29D" w:rsidRDefault="0037729D">
      <w:r>
        <w:separator/>
      </w:r>
    </w:p>
  </w:endnote>
  <w:endnote w:type="continuationSeparator" w:id="0">
    <w:p w:rsidR="0037729D" w:rsidRDefault="0037729D">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29D" w:rsidRDefault="0037729D">
      <w:r>
        <w:separator/>
      </w:r>
    </w:p>
  </w:footnote>
  <w:footnote w:type="continuationSeparator" w:id="0">
    <w:p w:rsidR="0037729D" w:rsidRDefault="00377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9D" w:rsidRDefault="003772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7729D">
      <w:trPr>
        <w:cantSplit/>
      </w:trPr>
      <w:tc>
        <w:tcPr>
          <w:tcW w:w="3119" w:type="dxa"/>
        </w:tcPr>
        <w:p w:rsidR="0037729D" w:rsidRDefault="0037729D">
          <w:pPr>
            <w:pStyle w:val="Header"/>
            <w:spacing w:line="200" w:lineRule="atLeast"/>
            <w:ind w:right="357"/>
            <w:rPr>
              <w:rFonts w:ascii="TradeGothic" w:hAnsi="TradeGothic"/>
              <w:b/>
              <w:bCs/>
              <w:sz w:val="16"/>
            </w:rPr>
          </w:pPr>
        </w:p>
      </w:tc>
      <w:tc>
        <w:tcPr>
          <w:tcW w:w="4111" w:type="dxa"/>
          <w:tcMar>
            <w:left w:w="567" w:type="dxa"/>
          </w:tcMar>
        </w:tcPr>
        <w:p w:rsidR="0037729D" w:rsidRDefault="0037729D">
          <w:pPr>
            <w:pStyle w:val="Header"/>
            <w:ind w:right="360"/>
          </w:pPr>
        </w:p>
      </w:tc>
      <w:tc>
        <w:tcPr>
          <w:tcW w:w="1525" w:type="dxa"/>
        </w:tcPr>
        <w:p w:rsidR="0037729D" w:rsidRDefault="0037729D">
          <w:pPr>
            <w:pStyle w:val="Header"/>
            <w:ind w:right="360"/>
          </w:pPr>
        </w:p>
      </w:tc>
    </w:tr>
  </w:tbl>
  <w:p w:rsidR="0037729D" w:rsidRDefault="0037729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9D" w:rsidRDefault="003772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37729D">
      <w:trPr>
        <w:cantSplit/>
      </w:trPr>
      <w:tc>
        <w:tcPr>
          <w:tcW w:w="3119" w:type="dxa"/>
        </w:tcPr>
        <w:p w:rsidR="0037729D" w:rsidRDefault="0037729D">
          <w:pPr>
            <w:pStyle w:val="Header"/>
            <w:spacing w:line="200" w:lineRule="atLeast"/>
            <w:ind w:right="357"/>
            <w:rPr>
              <w:rFonts w:ascii="TradeGothic" w:hAnsi="TradeGothic"/>
              <w:b/>
              <w:bCs/>
              <w:sz w:val="16"/>
            </w:rPr>
          </w:pPr>
        </w:p>
      </w:tc>
      <w:tc>
        <w:tcPr>
          <w:tcW w:w="4111" w:type="dxa"/>
          <w:tcMar>
            <w:left w:w="567" w:type="dxa"/>
          </w:tcMar>
        </w:tcPr>
        <w:p w:rsidR="0037729D" w:rsidRDefault="0037729D">
          <w:pPr>
            <w:pStyle w:val="Header"/>
            <w:ind w:right="360"/>
          </w:pPr>
        </w:p>
      </w:tc>
      <w:tc>
        <w:tcPr>
          <w:tcW w:w="1525" w:type="dxa"/>
        </w:tcPr>
        <w:p w:rsidR="0037729D" w:rsidRDefault="0037729D">
          <w:pPr>
            <w:pStyle w:val="Header"/>
            <w:ind w:right="360"/>
          </w:pPr>
        </w:p>
      </w:tc>
    </w:tr>
  </w:tbl>
  <w:p w:rsidR="0037729D" w:rsidRDefault="0037729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9D" w:rsidRDefault="0037729D">
    <w:pPr>
      <w:framePr w:w="2948" w:h="1321" w:hRule="exact" w:wrap="notBeside" w:vAnchor="page" w:hAnchor="page" w:x="1362" w:y="653"/>
    </w:pPr>
    <w:r w:rsidRPr="003D77F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7729D" w:rsidRDefault="0037729D">
    <w:pPr>
      <w:pStyle w:val="RKrubrik"/>
      <w:keepNext w:val="0"/>
      <w:tabs>
        <w:tab w:val="clear" w:pos="1134"/>
        <w:tab w:val="clear" w:pos="2835"/>
      </w:tabs>
      <w:spacing w:before="0" w:after="0" w:line="320" w:lineRule="atLeast"/>
      <w:rPr>
        <w:bCs/>
      </w:rPr>
    </w:pPr>
  </w:p>
  <w:p w:rsidR="0037729D" w:rsidRDefault="0037729D">
    <w:pPr>
      <w:rPr>
        <w:rFonts w:ascii="TradeGothic" w:hAnsi="TradeGothic"/>
        <w:b/>
        <w:bCs/>
        <w:spacing w:val="12"/>
        <w:sz w:val="22"/>
      </w:rPr>
    </w:pPr>
  </w:p>
  <w:p w:rsidR="0037729D" w:rsidRDefault="0037729D">
    <w:pPr>
      <w:pStyle w:val="RKrubrik"/>
      <w:keepNext w:val="0"/>
      <w:tabs>
        <w:tab w:val="clear" w:pos="1134"/>
        <w:tab w:val="clear" w:pos="2835"/>
      </w:tabs>
      <w:spacing w:before="0" w:after="0" w:line="320" w:lineRule="atLeast"/>
      <w:rPr>
        <w:bCs/>
      </w:rPr>
    </w:pPr>
  </w:p>
  <w:p w:rsidR="0037729D" w:rsidRDefault="0037729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8169B"/>
    <w:multiLevelType w:val="hybridMultilevel"/>
    <w:tmpl w:val="D672779E"/>
    <w:lvl w:ilvl="0" w:tplc="6A90AB0E">
      <w:numFmt w:val="bullet"/>
      <w:lvlText w:val="-"/>
      <w:lvlJc w:val="left"/>
      <w:pPr>
        <w:ind w:left="1069" w:hanging="360"/>
      </w:pPr>
      <w:rPr>
        <w:rFonts w:ascii="OrigGarmnd BT" w:eastAsia="Times New Roman" w:hAnsi="OrigGarmnd BT"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F51824"/>
    <w:rsid w:val="0008748C"/>
    <w:rsid w:val="00124FB5"/>
    <w:rsid w:val="00150384"/>
    <w:rsid w:val="00160901"/>
    <w:rsid w:val="001805B7"/>
    <w:rsid w:val="001A12DA"/>
    <w:rsid w:val="001E3F2E"/>
    <w:rsid w:val="00367B1C"/>
    <w:rsid w:val="0037729D"/>
    <w:rsid w:val="003D77F6"/>
    <w:rsid w:val="004A328D"/>
    <w:rsid w:val="0058762B"/>
    <w:rsid w:val="005A261A"/>
    <w:rsid w:val="005E38B4"/>
    <w:rsid w:val="005E3C5E"/>
    <w:rsid w:val="006E4E11"/>
    <w:rsid w:val="007242A3"/>
    <w:rsid w:val="007A6855"/>
    <w:rsid w:val="007D223D"/>
    <w:rsid w:val="008175C9"/>
    <w:rsid w:val="008B516C"/>
    <w:rsid w:val="0092027A"/>
    <w:rsid w:val="00955E31"/>
    <w:rsid w:val="00992E72"/>
    <w:rsid w:val="009E74A8"/>
    <w:rsid w:val="00AF26D1"/>
    <w:rsid w:val="00C4021A"/>
    <w:rsid w:val="00D133D7"/>
    <w:rsid w:val="00E80146"/>
    <w:rsid w:val="00E904D0"/>
    <w:rsid w:val="00E926F6"/>
    <w:rsid w:val="00EB7A2E"/>
    <w:rsid w:val="00EC25F9"/>
    <w:rsid w:val="00ED583F"/>
    <w:rsid w:val="00F5182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5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E3C5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E3C5E"/>
    <w:pPr>
      <w:spacing w:before="360"/>
      <w:outlineLvl w:val="1"/>
    </w:pPr>
  </w:style>
  <w:style w:type="paragraph" w:styleId="Heading3">
    <w:name w:val="heading 3"/>
    <w:basedOn w:val="Heading2"/>
    <w:next w:val="RKnormal"/>
    <w:link w:val="Heading3Char"/>
    <w:uiPriority w:val="99"/>
    <w:qFormat/>
    <w:rsid w:val="005E3C5E"/>
    <w:pPr>
      <w:spacing w:after="120" w:line="240" w:lineRule="atLeast"/>
      <w:outlineLvl w:val="2"/>
    </w:pPr>
    <w:rPr>
      <w:b w:val="0"/>
    </w:rPr>
  </w:style>
  <w:style w:type="paragraph" w:styleId="Heading4">
    <w:name w:val="heading 4"/>
    <w:basedOn w:val="Heading3"/>
    <w:next w:val="RKnormal"/>
    <w:link w:val="Heading4Char"/>
    <w:uiPriority w:val="99"/>
    <w:qFormat/>
    <w:rsid w:val="005E3C5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3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A623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A623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A623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E3C5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E3C5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A623C"/>
    <w:rPr>
      <w:rFonts w:ascii="OrigGarmnd BT" w:hAnsi="OrigGarmnd BT"/>
      <w:sz w:val="24"/>
      <w:szCs w:val="20"/>
      <w:lang w:eastAsia="en-US"/>
    </w:rPr>
  </w:style>
  <w:style w:type="paragraph" w:styleId="Header">
    <w:name w:val="header"/>
    <w:basedOn w:val="Normal"/>
    <w:link w:val="HeaderChar"/>
    <w:uiPriority w:val="99"/>
    <w:rsid w:val="005E3C5E"/>
    <w:pPr>
      <w:tabs>
        <w:tab w:val="center" w:pos="4153"/>
        <w:tab w:val="right" w:pos="8306"/>
      </w:tabs>
    </w:pPr>
  </w:style>
  <w:style w:type="character" w:customStyle="1" w:styleId="HeaderChar">
    <w:name w:val="Header Char"/>
    <w:basedOn w:val="DefaultParagraphFont"/>
    <w:link w:val="Header"/>
    <w:uiPriority w:val="99"/>
    <w:semiHidden/>
    <w:rsid w:val="00AA623C"/>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E3C5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E3C5E"/>
    <w:rPr>
      <w:rFonts w:cs="Times New Roman"/>
    </w:rPr>
  </w:style>
  <w:style w:type="paragraph" w:customStyle="1" w:styleId="dokumentbeteckning">
    <w:name w:val="dokumentbeteckning"/>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Normal1">
    <w:name w:val="Normal1"/>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departement">
    <w:name w:val="departement"/>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onText">
    <w:name w:val="Balloon Text"/>
    <w:basedOn w:val="Normal"/>
    <w:link w:val="BalloonTextChar"/>
    <w:uiPriority w:val="99"/>
    <w:rsid w:val="008B51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516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95495649">
      <w:marLeft w:val="0"/>
      <w:marRight w:val="0"/>
      <w:marTop w:val="0"/>
      <w:marBottom w:val="0"/>
      <w:divBdr>
        <w:top w:val="none" w:sz="0" w:space="0" w:color="auto"/>
        <w:left w:val="none" w:sz="0" w:space="0" w:color="auto"/>
        <w:bottom w:val="none" w:sz="0" w:space="0" w:color="auto"/>
        <w:right w:val="none" w:sz="0" w:space="0" w:color="auto"/>
      </w:divBdr>
      <w:divsChild>
        <w:div w:id="1695495644">
          <w:marLeft w:val="0"/>
          <w:marRight w:val="0"/>
          <w:marTop w:val="0"/>
          <w:marBottom w:val="0"/>
          <w:divBdr>
            <w:top w:val="none" w:sz="0" w:space="0" w:color="auto"/>
            <w:left w:val="none" w:sz="0" w:space="0" w:color="auto"/>
            <w:bottom w:val="none" w:sz="0" w:space="0" w:color="auto"/>
            <w:right w:val="none" w:sz="0" w:space="0" w:color="auto"/>
          </w:divBdr>
          <w:divsChild>
            <w:div w:id="1695495647">
              <w:marLeft w:val="195"/>
              <w:marRight w:val="180"/>
              <w:marTop w:val="0"/>
              <w:marBottom w:val="0"/>
              <w:divBdr>
                <w:top w:val="none" w:sz="0" w:space="0" w:color="auto"/>
                <w:left w:val="none" w:sz="0" w:space="0" w:color="auto"/>
                <w:bottom w:val="none" w:sz="0" w:space="0" w:color="auto"/>
                <w:right w:val="none" w:sz="0" w:space="0" w:color="auto"/>
              </w:divBdr>
              <w:divsChild>
                <w:div w:id="1695495668">
                  <w:marLeft w:val="195"/>
                  <w:marRight w:val="180"/>
                  <w:marTop w:val="0"/>
                  <w:marBottom w:val="0"/>
                  <w:divBdr>
                    <w:top w:val="none" w:sz="0" w:space="0" w:color="auto"/>
                    <w:left w:val="none" w:sz="0" w:space="0" w:color="auto"/>
                    <w:bottom w:val="none" w:sz="0" w:space="0" w:color="auto"/>
                    <w:right w:val="none" w:sz="0" w:space="0" w:color="auto"/>
                  </w:divBdr>
                  <w:divsChild>
                    <w:div w:id="1695495677">
                      <w:marLeft w:val="195"/>
                      <w:marRight w:val="180"/>
                      <w:marTop w:val="0"/>
                      <w:marBottom w:val="0"/>
                      <w:divBdr>
                        <w:top w:val="none" w:sz="0" w:space="0" w:color="auto"/>
                        <w:left w:val="none" w:sz="0" w:space="0" w:color="auto"/>
                        <w:bottom w:val="none" w:sz="0" w:space="0" w:color="auto"/>
                        <w:right w:val="none" w:sz="0" w:space="0" w:color="auto"/>
                      </w:divBdr>
                      <w:divsChild>
                        <w:div w:id="1695495654">
                          <w:marLeft w:val="0"/>
                          <w:marRight w:val="0"/>
                          <w:marTop w:val="0"/>
                          <w:marBottom w:val="0"/>
                          <w:divBdr>
                            <w:top w:val="none" w:sz="0" w:space="0" w:color="auto"/>
                            <w:left w:val="none" w:sz="0" w:space="0" w:color="auto"/>
                            <w:bottom w:val="none" w:sz="0" w:space="0" w:color="auto"/>
                            <w:right w:val="none" w:sz="0" w:space="0" w:color="auto"/>
                          </w:divBdr>
                          <w:divsChild>
                            <w:div w:id="1695495646">
                              <w:marLeft w:val="195"/>
                              <w:marRight w:val="180"/>
                              <w:marTop w:val="0"/>
                              <w:marBottom w:val="0"/>
                              <w:divBdr>
                                <w:top w:val="none" w:sz="0" w:space="0" w:color="auto"/>
                                <w:left w:val="none" w:sz="0" w:space="0" w:color="auto"/>
                                <w:bottom w:val="none" w:sz="0" w:space="0" w:color="auto"/>
                                <w:right w:val="none" w:sz="0" w:space="0" w:color="auto"/>
                              </w:divBdr>
                              <w:divsChild>
                                <w:div w:id="1695495657">
                                  <w:marLeft w:val="195"/>
                                  <w:marRight w:val="180"/>
                                  <w:marTop w:val="0"/>
                                  <w:marBottom w:val="0"/>
                                  <w:divBdr>
                                    <w:top w:val="none" w:sz="0" w:space="0" w:color="auto"/>
                                    <w:left w:val="none" w:sz="0" w:space="0" w:color="auto"/>
                                    <w:bottom w:val="none" w:sz="0" w:space="0" w:color="auto"/>
                                    <w:right w:val="none" w:sz="0" w:space="0" w:color="auto"/>
                                  </w:divBdr>
                                  <w:divsChild>
                                    <w:div w:id="1695495666">
                                      <w:marLeft w:val="195"/>
                                      <w:marRight w:val="180"/>
                                      <w:marTop w:val="0"/>
                                      <w:marBottom w:val="0"/>
                                      <w:divBdr>
                                        <w:top w:val="none" w:sz="0" w:space="0" w:color="auto"/>
                                        <w:left w:val="none" w:sz="0" w:space="0" w:color="auto"/>
                                        <w:bottom w:val="none" w:sz="0" w:space="0" w:color="auto"/>
                                        <w:right w:val="none" w:sz="0" w:space="0" w:color="auto"/>
                                      </w:divBdr>
                                      <w:divsChild>
                                        <w:div w:id="1695495660">
                                          <w:marLeft w:val="195"/>
                                          <w:marRight w:val="180"/>
                                          <w:marTop w:val="0"/>
                                          <w:marBottom w:val="0"/>
                                          <w:divBdr>
                                            <w:top w:val="none" w:sz="0" w:space="0" w:color="auto"/>
                                            <w:left w:val="none" w:sz="0" w:space="0" w:color="auto"/>
                                            <w:bottom w:val="none" w:sz="0" w:space="0" w:color="auto"/>
                                            <w:right w:val="none" w:sz="0" w:space="0" w:color="auto"/>
                                          </w:divBdr>
                                          <w:divsChild>
                                            <w:div w:id="1695495663">
                                              <w:marLeft w:val="0"/>
                                              <w:marRight w:val="0"/>
                                              <w:marTop w:val="0"/>
                                              <w:marBottom w:val="0"/>
                                              <w:divBdr>
                                                <w:top w:val="none" w:sz="0" w:space="0" w:color="auto"/>
                                                <w:left w:val="none" w:sz="0" w:space="0" w:color="auto"/>
                                                <w:bottom w:val="none" w:sz="0" w:space="0" w:color="auto"/>
                                                <w:right w:val="none" w:sz="0" w:space="0" w:color="auto"/>
                                              </w:divBdr>
                                              <w:divsChild>
                                                <w:div w:id="1695495659">
                                                  <w:marLeft w:val="195"/>
                                                  <w:marRight w:val="180"/>
                                                  <w:marTop w:val="0"/>
                                                  <w:marBottom w:val="0"/>
                                                  <w:divBdr>
                                                    <w:top w:val="none" w:sz="0" w:space="0" w:color="auto"/>
                                                    <w:left w:val="none" w:sz="0" w:space="0" w:color="auto"/>
                                                    <w:bottom w:val="none" w:sz="0" w:space="0" w:color="auto"/>
                                                    <w:right w:val="none" w:sz="0" w:space="0" w:color="auto"/>
                                                  </w:divBdr>
                                                  <w:divsChild>
                                                    <w:div w:id="169549564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495669">
      <w:marLeft w:val="0"/>
      <w:marRight w:val="0"/>
      <w:marTop w:val="0"/>
      <w:marBottom w:val="0"/>
      <w:divBdr>
        <w:top w:val="none" w:sz="0" w:space="0" w:color="auto"/>
        <w:left w:val="none" w:sz="0" w:space="0" w:color="auto"/>
        <w:bottom w:val="none" w:sz="0" w:space="0" w:color="auto"/>
        <w:right w:val="none" w:sz="0" w:space="0" w:color="auto"/>
      </w:divBdr>
      <w:divsChild>
        <w:div w:id="1695495673">
          <w:marLeft w:val="0"/>
          <w:marRight w:val="0"/>
          <w:marTop w:val="0"/>
          <w:marBottom w:val="0"/>
          <w:divBdr>
            <w:top w:val="none" w:sz="0" w:space="0" w:color="auto"/>
            <w:left w:val="none" w:sz="0" w:space="0" w:color="auto"/>
            <w:bottom w:val="none" w:sz="0" w:space="0" w:color="auto"/>
            <w:right w:val="none" w:sz="0" w:space="0" w:color="auto"/>
          </w:divBdr>
          <w:divsChild>
            <w:div w:id="1695495672">
              <w:marLeft w:val="195"/>
              <w:marRight w:val="180"/>
              <w:marTop w:val="0"/>
              <w:marBottom w:val="0"/>
              <w:divBdr>
                <w:top w:val="none" w:sz="0" w:space="0" w:color="auto"/>
                <w:left w:val="none" w:sz="0" w:space="0" w:color="auto"/>
                <w:bottom w:val="none" w:sz="0" w:space="0" w:color="auto"/>
                <w:right w:val="none" w:sz="0" w:space="0" w:color="auto"/>
              </w:divBdr>
              <w:divsChild>
                <w:div w:id="1695495671">
                  <w:marLeft w:val="195"/>
                  <w:marRight w:val="180"/>
                  <w:marTop w:val="0"/>
                  <w:marBottom w:val="0"/>
                  <w:divBdr>
                    <w:top w:val="none" w:sz="0" w:space="0" w:color="auto"/>
                    <w:left w:val="none" w:sz="0" w:space="0" w:color="auto"/>
                    <w:bottom w:val="none" w:sz="0" w:space="0" w:color="auto"/>
                    <w:right w:val="none" w:sz="0" w:space="0" w:color="auto"/>
                  </w:divBdr>
                  <w:divsChild>
                    <w:div w:id="1695495681">
                      <w:marLeft w:val="195"/>
                      <w:marRight w:val="180"/>
                      <w:marTop w:val="0"/>
                      <w:marBottom w:val="0"/>
                      <w:divBdr>
                        <w:top w:val="none" w:sz="0" w:space="0" w:color="auto"/>
                        <w:left w:val="none" w:sz="0" w:space="0" w:color="auto"/>
                        <w:bottom w:val="none" w:sz="0" w:space="0" w:color="auto"/>
                        <w:right w:val="none" w:sz="0" w:space="0" w:color="auto"/>
                      </w:divBdr>
                      <w:divsChild>
                        <w:div w:id="1695495653">
                          <w:marLeft w:val="0"/>
                          <w:marRight w:val="0"/>
                          <w:marTop w:val="0"/>
                          <w:marBottom w:val="0"/>
                          <w:divBdr>
                            <w:top w:val="none" w:sz="0" w:space="0" w:color="auto"/>
                            <w:left w:val="none" w:sz="0" w:space="0" w:color="auto"/>
                            <w:bottom w:val="none" w:sz="0" w:space="0" w:color="auto"/>
                            <w:right w:val="none" w:sz="0" w:space="0" w:color="auto"/>
                          </w:divBdr>
                          <w:divsChild>
                            <w:div w:id="1695495645">
                              <w:marLeft w:val="195"/>
                              <w:marRight w:val="180"/>
                              <w:marTop w:val="0"/>
                              <w:marBottom w:val="0"/>
                              <w:divBdr>
                                <w:top w:val="none" w:sz="0" w:space="0" w:color="auto"/>
                                <w:left w:val="none" w:sz="0" w:space="0" w:color="auto"/>
                                <w:bottom w:val="none" w:sz="0" w:space="0" w:color="auto"/>
                                <w:right w:val="none" w:sz="0" w:space="0" w:color="auto"/>
                              </w:divBdr>
                              <w:divsChild>
                                <w:div w:id="1695495651">
                                  <w:marLeft w:val="195"/>
                                  <w:marRight w:val="180"/>
                                  <w:marTop w:val="0"/>
                                  <w:marBottom w:val="0"/>
                                  <w:divBdr>
                                    <w:top w:val="none" w:sz="0" w:space="0" w:color="auto"/>
                                    <w:left w:val="none" w:sz="0" w:space="0" w:color="auto"/>
                                    <w:bottom w:val="none" w:sz="0" w:space="0" w:color="auto"/>
                                    <w:right w:val="none" w:sz="0" w:space="0" w:color="auto"/>
                                  </w:divBdr>
                                  <w:divsChild>
                                    <w:div w:id="1695495670">
                                      <w:marLeft w:val="195"/>
                                      <w:marRight w:val="180"/>
                                      <w:marTop w:val="0"/>
                                      <w:marBottom w:val="0"/>
                                      <w:divBdr>
                                        <w:top w:val="none" w:sz="0" w:space="0" w:color="auto"/>
                                        <w:left w:val="none" w:sz="0" w:space="0" w:color="auto"/>
                                        <w:bottom w:val="none" w:sz="0" w:space="0" w:color="auto"/>
                                        <w:right w:val="none" w:sz="0" w:space="0" w:color="auto"/>
                                      </w:divBdr>
                                      <w:divsChild>
                                        <w:div w:id="1695495667">
                                          <w:marLeft w:val="195"/>
                                          <w:marRight w:val="180"/>
                                          <w:marTop w:val="0"/>
                                          <w:marBottom w:val="0"/>
                                          <w:divBdr>
                                            <w:top w:val="none" w:sz="0" w:space="0" w:color="auto"/>
                                            <w:left w:val="none" w:sz="0" w:space="0" w:color="auto"/>
                                            <w:bottom w:val="none" w:sz="0" w:space="0" w:color="auto"/>
                                            <w:right w:val="none" w:sz="0" w:space="0" w:color="auto"/>
                                          </w:divBdr>
                                          <w:divsChild>
                                            <w:div w:id="1695495655">
                                              <w:marLeft w:val="0"/>
                                              <w:marRight w:val="0"/>
                                              <w:marTop w:val="0"/>
                                              <w:marBottom w:val="0"/>
                                              <w:divBdr>
                                                <w:top w:val="none" w:sz="0" w:space="0" w:color="auto"/>
                                                <w:left w:val="none" w:sz="0" w:space="0" w:color="auto"/>
                                                <w:bottom w:val="none" w:sz="0" w:space="0" w:color="auto"/>
                                                <w:right w:val="none" w:sz="0" w:space="0" w:color="auto"/>
                                              </w:divBdr>
                                              <w:divsChild>
                                                <w:div w:id="1695495664">
                                                  <w:marLeft w:val="195"/>
                                                  <w:marRight w:val="180"/>
                                                  <w:marTop w:val="0"/>
                                                  <w:marBottom w:val="0"/>
                                                  <w:divBdr>
                                                    <w:top w:val="none" w:sz="0" w:space="0" w:color="auto"/>
                                                    <w:left w:val="none" w:sz="0" w:space="0" w:color="auto"/>
                                                    <w:bottom w:val="none" w:sz="0" w:space="0" w:color="auto"/>
                                                    <w:right w:val="none" w:sz="0" w:space="0" w:color="auto"/>
                                                  </w:divBdr>
                                                  <w:divsChild>
                                                    <w:div w:id="169549566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495674">
      <w:marLeft w:val="0"/>
      <w:marRight w:val="0"/>
      <w:marTop w:val="0"/>
      <w:marBottom w:val="0"/>
      <w:divBdr>
        <w:top w:val="none" w:sz="0" w:space="0" w:color="auto"/>
        <w:left w:val="none" w:sz="0" w:space="0" w:color="auto"/>
        <w:bottom w:val="none" w:sz="0" w:space="0" w:color="auto"/>
        <w:right w:val="none" w:sz="0" w:space="0" w:color="auto"/>
      </w:divBdr>
      <w:divsChild>
        <w:div w:id="1695495658">
          <w:marLeft w:val="0"/>
          <w:marRight w:val="0"/>
          <w:marTop w:val="0"/>
          <w:marBottom w:val="0"/>
          <w:divBdr>
            <w:top w:val="none" w:sz="0" w:space="0" w:color="auto"/>
            <w:left w:val="none" w:sz="0" w:space="0" w:color="auto"/>
            <w:bottom w:val="none" w:sz="0" w:space="0" w:color="auto"/>
            <w:right w:val="none" w:sz="0" w:space="0" w:color="auto"/>
          </w:divBdr>
          <w:divsChild>
            <w:div w:id="1695495678">
              <w:marLeft w:val="195"/>
              <w:marRight w:val="180"/>
              <w:marTop w:val="0"/>
              <w:marBottom w:val="0"/>
              <w:divBdr>
                <w:top w:val="none" w:sz="0" w:space="0" w:color="auto"/>
                <w:left w:val="none" w:sz="0" w:space="0" w:color="auto"/>
                <w:bottom w:val="none" w:sz="0" w:space="0" w:color="auto"/>
                <w:right w:val="none" w:sz="0" w:space="0" w:color="auto"/>
              </w:divBdr>
              <w:divsChild>
                <w:div w:id="1695495656">
                  <w:marLeft w:val="195"/>
                  <w:marRight w:val="180"/>
                  <w:marTop w:val="0"/>
                  <w:marBottom w:val="0"/>
                  <w:divBdr>
                    <w:top w:val="none" w:sz="0" w:space="0" w:color="auto"/>
                    <w:left w:val="none" w:sz="0" w:space="0" w:color="auto"/>
                    <w:bottom w:val="none" w:sz="0" w:space="0" w:color="auto"/>
                    <w:right w:val="none" w:sz="0" w:space="0" w:color="auto"/>
                  </w:divBdr>
                  <w:divsChild>
                    <w:div w:id="1695495643">
                      <w:marLeft w:val="195"/>
                      <w:marRight w:val="180"/>
                      <w:marTop w:val="0"/>
                      <w:marBottom w:val="0"/>
                      <w:divBdr>
                        <w:top w:val="none" w:sz="0" w:space="0" w:color="auto"/>
                        <w:left w:val="none" w:sz="0" w:space="0" w:color="auto"/>
                        <w:bottom w:val="none" w:sz="0" w:space="0" w:color="auto"/>
                        <w:right w:val="none" w:sz="0" w:space="0" w:color="auto"/>
                      </w:divBdr>
                      <w:divsChild>
                        <w:div w:id="1695495652">
                          <w:marLeft w:val="0"/>
                          <w:marRight w:val="0"/>
                          <w:marTop w:val="0"/>
                          <w:marBottom w:val="0"/>
                          <w:divBdr>
                            <w:top w:val="none" w:sz="0" w:space="0" w:color="auto"/>
                            <w:left w:val="none" w:sz="0" w:space="0" w:color="auto"/>
                            <w:bottom w:val="none" w:sz="0" w:space="0" w:color="auto"/>
                            <w:right w:val="none" w:sz="0" w:space="0" w:color="auto"/>
                          </w:divBdr>
                          <w:divsChild>
                            <w:div w:id="1695495679">
                              <w:marLeft w:val="195"/>
                              <w:marRight w:val="180"/>
                              <w:marTop w:val="0"/>
                              <w:marBottom w:val="0"/>
                              <w:divBdr>
                                <w:top w:val="none" w:sz="0" w:space="0" w:color="auto"/>
                                <w:left w:val="none" w:sz="0" w:space="0" w:color="auto"/>
                                <w:bottom w:val="none" w:sz="0" w:space="0" w:color="auto"/>
                                <w:right w:val="none" w:sz="0" w:space="0" w:color="auto"/>
                              </w:divBdr>
                              <w:divsChild>
                                <w:div w:id="1695495661">
                                  <w:marLeft w:val="195"/>
                                  <w:marRight w:val="180"/>
                                  <w:marTop w:val="0"/>
                                  <w:marBottom w:val="0"/>
                                  <w:divBdr>
                                    <w:top w:val="none" w:sz="0" w:space="0" w:color="auto"/>
                                    <w:left w:val="none" w:sz="0" w:space="0" w:color="auto"/>
                                    <w:bottom w:val="none" w:sz="0" w:space="0" w:color="auto"/>
                                    <w:right w:val="none" w:sz="0" w:space="0" w:color="auto"/>
                                  </w:divBdr>
                                  <w:divsChild>
                                    <w:div w:id="1695495680">
                                      <w:marLeft w:val="195"/>
                                      <w:marRight w:val="180"/>
                                      <w:marTop w:val="0"/>
                                      <w:marBottom w:val="0"/>
                                      <w:divBdr>
                                        <w:top w:val="none" w:sz="0" w:space="0" w:color="auto"/>
                                        <w:left w:val="none" w:sz="0" w:space="0" w:color="auto"/>
                                        <w:bottom w:val="none" w:sz="0" w:space="0" w:color="auto"/>
                                        <w:right w:val="none" w:sz="0" w:space="0" w:color="auto"/>
                                      </w:divBdr>
                                      <w:divsChild>
                                        <w:div w:id="1695495650">
                                          <w:marLeft w:val="195"/>
                                          <w:marRight w:val="180"/>
                                          <w:marTop w:val="0"/>
                                          <w:marBottom w:val="0"/>
                                          <w:divBdr>
                                            <w:top w:val="none" w:sz="0" w:space="0" w:color="auto"/>
                                            <w:left w:val="none" w:sz="0" w:space="0" w:color="auto"/>
                                            <w:bottom w:val="none" w:sz="0" w:space="0" w:color="auto"/>
                                            <w:right w:val="none" w:sz="0" w:space="0" w:color="auto"/>
                                          </w:divBdr>
                                          <w:divsChild>
                                            <w:div w:id="1695495675">
                                              <w:marLeft w:val="0"/>
                                              <w:marRight w:val="0"/>
                                              <w:marTop w:val="0"/>
                                              <w:marBottom w:val="0"/>
                                              <w:divBdr>
                                                <w:top w:val="none" w:sz="0" w:space="0" w:color="auto"/>
                                                <w:left w:val="none" w:sz="0" w:space="0" w:color="auto"/>
                                                <w:bottom w:val="none" w:sz="0" w:space="0" w:color="auto"/>
                                                <w:right w:val="none" w:sz="0" w:space="0" w:color="auto"/>
                                              </w:divBdr>
                                              <w:divsChild>
                                                <w:div w:id="1695495665">
                                                  <w:marLeft w:val="195"/>
                                                  <w:marRight w:val="180"/>
                                                  <w:marTop w:val="0"/>
                                                  <w:marBottom w:val="0"/>
                                                  <w:divBdr>
                                                    <w:top w:val="none" w:sz="0" w:space="0" w:color="auto"/>
                                                    <w:left w:val="none" w:sz="0" w:space="0" w:color="auto"/>
                                                    <w:bottom w:val="none" w:sz="0" w:space="0" w:color="auto"/>
                                                    <w:right w:val="none" w:sz="0" w:space="0" w:color="auto"/>
                                                  </w:divBdr>
                                                  <w:divsChild>
                                                    <w:div w:id="16954956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923</Words>
  <Characters>6069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Martin Palm</dc:creator>
  <cp:keywords/>
  <dc:description/>
  <cp:lastModifiedBy>jb0525aa</cp:lastModifiedBy>
  <cp:revision>2</cp:revision>
  <cp:lastPrinted>2013-02-11T11:50:00Z</cp:lastPrinted>
  <dcterms:created xsi:type="dcterms:W3CDTF">2013-02-11T11:51:00Z</dcterms:created>
  <dcterms:modified xsi:type="dcterms:W3CDTF">2013-02-11T11:51:00Z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1caf67d3-6186-43d4-bc4e-3a5fb3aaa2a9</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FRC5JTHSKSRT-7-16566</vt:lpwstr>
  </property>
  <property fmtid="{D5CDD505-2E9C-101B-9397-08002B2CF9AE}" pid="16" name="_dlc_DocIdUrl">
    <vt:lpwstr>http://rkdhs-n/enhet/e/_layouts/DocIdRedir.aspx?ID=FRC5JTHSKSRT-7-16566, FRC5JTHSKSRT-7-16566</vt:lpwstr>
  </property>
</Properties>
</file>