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25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 Torsdagen den 13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2022/23:302 av Hanna Westerén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justerad skattesats för fåmansföretag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2022/23:306 av Hanna Westerén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Kapitalbeskattning vid utflyttning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2022/23:311 av Elin Söderberg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LULUCF-förordningen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2022/23:FPM76 Kommissionens rekommendation om ömsesidigt erkännande av beslut om återvändande och påskyndande av återvändanden </w:t>
            </w:r>
            <w:r>
              <w:rPr>
                <w:i/>
                <w:iCs/>
                <w:rtl w:val="0"/>
              </w:rPr>
              <w:t>C(2023) 1763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2022/23:FPM77 Europeiska kritiska råmaterialakten </w:t>
            </w:r>
            <w:r>
              <w:rPr>
                <w:i/>
                <w:iCs/>
                <w:rtl w:val="0"/>
              </w:rPr>
              <w:t>COM(2023) 160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2022/23:FPM78 Förordning om nettonollindustrin </w:t>
            </w:r>
            <w:r>
              <w:rPr>
                <w:i/>
                <w:iCs/>
                <w:rtl w:val="0"/>
              </w:rPr>
              <w:t>COM(2023) 161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2022/23:NU9 Genomförande av elmarknadsdirektivet när det gäller leverans av el och aggregeringstjänster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2022/23:KU24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2022/23:KU30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2022/23:FiU23 Riksbankens årsredovisning och förvaltning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2022/23:FiU37 Ett likviditetsverktyg för fonder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2022/23:KrU9 Frågor om public service och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2022/23:KrU11 Idrott- och friluftslivsfrågor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2022/23:UbU9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2022/23:AU8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2022/23:AU9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2022/23:281 av Malcolm Momodou Jallow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Ansvar för hyresgäster för brottslighet som begåtts av andra 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2022/23:287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hantering av felaktiga utbetalningar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2022/23:298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stöd till räddningstjänster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2022/23:294 av Alireza Akhondi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fler bostäder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2022/23:295 av Alireza Akhondi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Bostäder och stambanor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25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2023-04-25</SAFIR_Sammantradesdatum_Doc>
    <SAFIR_SammantradeID xmlns="C07A1A6C-0B19-41D9-BDF8-F523BA3921EB">9bb95e9b-cb0d-4aac-aea9-fc05cec72ce7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7BA68-EC59-477F-9D0C-C6964655A6E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