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B71F20" w:rsidRPr="00184CDE" w:rsidTr="00B71F20">
        <w:tblPrEx>
          <w:tblCellMar>
            <w:top w:w="0" w:type="dxa"/>
            <w:bottom w:w="0" w:type="dxa"/>
          </w:tblCellMar>
        </w:tblPrEx>
        <w:tc>
          <w:tcPr>
            <w:tcW w:w="3368" w:type="dxa"/>
          </w:tcPr>
          <w:p w:rsidR="00B71F20" w:rsidRPr="00184CDE" w:rsidRDefault="00B71F20" w:rsidP="00B71F20">
            <w:pPr>
              <w:framePr w:w="4400" w:h="1644" w:wrap="notBeside" w:vAnchor="page" w:hAnchor="page" w:x="6573" w:y="721"/>
              <w:rPr>
                <w:rFonts w:ascii="TradeGothic" w:hAnsi="TradeGothic"/>
                <w:i/>
                <w:sz w:val="18"/>
              </w:rPr>
            </w:pPr>
          </w:p>
        </w:tc>
        <w:tc>
          <w:tcPr>
            <w:tcW w:w="2347" w:type="dxa"/>
            <w:gridSpan w:val="2"/>
          </w:tcPr>
          <w:p w:rsidR="00B71F20" w:rsidRPr="00184CDE" w:rsidRDefault="00B71F20" w:rsidP="00B71F20">
            <w:pPr>
              <w:framePr w:w="4400" w:h="1644" w:wrap="notBeside" w:vAnchor="page" w:hAnchor="page" w:x="6573" w:y="721"/>
              <w:rPr>
                <w:rFonts w:ascii="TradeGothic" w:hAnsi="TradeGothic"/>
                <w:i/>
                <w:sz w:val="18"/>
              </w:rPr>
            </w:pPr>
          </w:p>
        </w:tc>
      </w:tr>
      <w:tr w:rsidR="00B71F20" w:rsidRPr="00184CDE" w:rsidTr="00B71F20">
        <w:tblPrEx>
          <w:tblCellMar>
            <w:top w:w="0" w:type="dxa"/>
            <w:bottom w:w="0" w:type="dxa"/>
          </w:tblCellMar>
        </w:tblPrEx>
        <w:tc>
          <w:tcPr>
            <w:tcW w:w="3368" w:type="dxa"/>
          </w:tcPr>
          <w:p w:rsidR="00B71F20" w:rsidRPr="00184CDE" w:rsidRDefault="00B71F20" w:rsidP="00B71F20">
            <w:pPr>
              <w:framePr w:w="4400" w:h="1644" w:wrap="notBeside" w:vAnchor="page" w:hAnchor="page" w:x="6573" w:y="721"/>
              <w:rPr>
                <w:rFonts w:ascii="TradeGothic" w:hAnsi="TradeGothic"/>
                <w:b/>
                <w:sz w:val="22"/>
              </w:rPr>
            </w:pPr>
            <w:r w:rsidRPr="00184CDE">
              <w:rPr>
                <w:rFonts w:ascii="TradeGothic" w:hAnsi="TradeGothic"/>
                <w:b/>
                <w:sz w:val="22"/>
              </w:rPr>
              <w:t>Promemoria</w:t>
            </w:r>
          </w:p>
        </w:tc>
        <w:tc>
          <w:tcPr>
            <w:tcW w:w="2347" w:type="dxa"/>
            <w:gridSpan w:val="2"/>
          </w:tcPr>
          <w:p w:rsidR="00B71F20" w:rsidRPr="00184CDE" w:rsidRDefault="00B71F20" w:rsidP="00B71F20">
            <w:pPr>
              <w:framePr w:w="4400" w:h="1644" w:wrap="notBeside" w:vAnchor="page" w:hAnchor="page" w:x="6573" w:y="721"/>
              <w:rPr>
                <w:rFonts w:ascii="TradeGothic" w:hAnsi="TradeGothic"/>
                <w:b/>
                <w:sz w:val="22"/>
              </w:rPr>
            </w:pPr>
          </w:p>
        </w:tc>
      </w:tr>
      <w:tr w:rsidR="00B71F20" w:rsidRPr="00184CDE" w:rsidTr="00B71F20">
        <w:tblPrEx>
          <w:tblCellMar>
            <w:top w:w="0" w:type="dxa"/>
            <w:bottom w:w="0" w:type="dxa"/>
          </w:tblCellMar>
        </w:tblPrEx>
        <w:tc>
          <w:tcPr>
            <w:tcW w:w="4502" w:type="dxa"/>
            <w:gridSpan w:val="2"/>
          </w:tcPr>
          <w:p w:rsidR="00B71F20" w:rsidRPr="00184CDE" w:rsidRDefault="00B71F20" w:rsidP="00B71F20">
            <w:pPr>
              <w:framePr w:w="4400" w:h="1644" w:wrap="notBeside" w:vAnchor="page" w:hAnchor="page" w:x="6573" w:y="721"/>
            </w:pPr>
          </w:p>
        </w:tc>
        <w:tc>
          <w:tcPr>
            <w:tcW w:w="1213" w:type="dxa"/>
          </w:tcPr>
          <w:p w:rsidR="00B71F20" w:rsidRPr="00184CDE" w:rsidRDefault="00B71F20" w:rsidP="00B71F20">
            <w:pPr>
              <w:framePr w:w="4400" w:h="1644" w:wrap="notBeside" w:vAnchor="page" w:hAnchor="page" w:x="6573" w:y="721"/>
            </w:pPr>
          </w:p>
        </w:tc>
      </w:tr>
      <w:tr w:rsidR="00B71F20" w:rsidRPr="00184CDE" w:rsidTr="00B71F20">
        <w:tblPrEx>
          <w:tblCellMar>
            <w:top w:w="0" w:type="dxa"/>
            <w:bottom w:w="0" w:type="dxa"/>
          </w:tblCellMar>
        </w:tblPrEx>
        <w:tc>
          <w:tcPr>
            <w:tcW w:w="3368" w:type="dxa"/>
          </w:tcPr>
          <w:p w:rsidR="00B71F20" w:rsidRPr="00184CDE" w:rsidRDefault="009677BC" w:rsidP="00B71F20">
            <w:pPr>
              <w:framePr w:w="4400" w:h="1644" w:wrap="notBeside" w:vAnchor="page" w:hAnchor="page" w:x="6573" w:y="721"/>
            </w:pPr>
            <w:r w:rsidRPr="00184CDE">
              <w:t>2008-06-04</w:t>
            </w:r>
          </w:p>
          <w:p w:rsidR="00B71F20" w:rsidRPr="00184CDE" w:rsidRDefault="00B71F20" w:rsidP="00B71F20">
            <w:pPr>
              <w:framePr w:w="4400" w:h="1644" w:wrap="notBeside" w:vAnchor="page" w:hAnchor="page" w:x="6573" w:y="721"/>
            </w:pPr>
          </w:p>
        </w:tc>
        <w:tc>
          <w:tcPr>
            <w:tcW w:w="2347" w:type="dxa"/>
            <w:gridSpan w:val="2"/>
          </w:tcPr>
          <w:p w:rsidR="00B71F20" w:rsidRPr="00184CDE" w:rsidRDefault="00B71F20" w:rsidP="00B71F20">
            <w:pPr>
              <w:framePr w:w="4400" w:h="1644" w:wrap="notBeside" w:vAnchor="page" w:hAnchor="page" w:x="6573" w:y="721"/>
            </w:pPr>
          </w:p>
        </w:tc>
      </w:tr>
      <w:tr w:rsidR="00B71F20" w:rsidRPr="00184CDE" w:rsidTr="00B71F20">
        <w:tblPrEx>
          <w:tblCellMar>
            <w:top w:w="0" w:type="dxa"/>
            <w:bottom w:w="0" w:type="dxa"/>
          </w:tblCellMar>
        </w:tblPrEx>
        <w:tc>
          <w:tcPr>
            <w:tcW w:w="3368" w:type="dxa"/>
          </w:tcPr>
          <w:p w:rsidR="00B71F20" w:rsidRPr="00184CDE" w:rsidRDefault="00B71F20" w:rsidP="00B71F20">
            <w:pPr>
              <w:framePr w:w="4400" w:h="1644" w:wrap="notBeside" w:vAnchor="page" w:hAnchor="page" w:x="6573" w:y="721"/>
            </w:pPr>
            <w:r w:rsidRPr="00184CDE">
              <w:t>Delges: UD-EU</w:t>
            </w:r>
          </w:p>
        </w:tc>
        <w:tc>
          <w:tcPr>
            <w:tcW w:w="2347" w:type="dxa"/>
            <w:gridSpan w:val="2"/>
          </w:tcPr>
          <w:p w:rsidR="00B71F20" w:rsidRPr="00184CDE" w:rsidRDefault="00B71F20" w:rsidP="00B71F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71F20" w:rsidRPr="00184CDE" w:rsidTr="00B71F20">
        <w:tblPrEx>
          <w:tblCellMar>
            <w:top w:w="0" w:type="dxa"/>
            <w:bottom w:w="0" w:type="dxa"/>
          </w:tblCellMar>
        </w:tblPrEx>
        <w:trPr>
          <w:trHeight w:val="284"/>
        </w:trPr>
        <w:tc>
          <w:tcPr>
            <w:tcW w:w="4911" w:type="dxa"/>
          </w:tcPr>
          <w:p w:rsidR="00B71F20" w:rsidRPr="00184CDE" w:rsidRDefault="00B71F20" w:rsidP="00B71F20">
            <w:pPr>
              <w:pStyle w:val="Avsndare"/>
              <w:framePr w:h="2483" w:wrap="notBeside" w:x="1504"/>
              <w:rPr>
                <w:b/>
                <w:i w:val="0"/>
                <w:sz w:val="22"/>
              </w:rPr>
            </w:pPr>
            <w:r w:rsidRPr="00184CDE">
              <w:rPr>
                <w:b/>
                <w:i w:val="0"/>
                <w:sz w:val="22"/>
              </w:rPr>
              <w:t>Statsrådsberedningen</w:t>
            </w:r>
          </w:p>
        </w:tc>
      </w:tr>
      <w:tr w:rsidR="00B71F20" w:rsidRPr="00184CDE" w:rsidTr="00B71F20">
        <w:tblPrEx>
          <w:tblCellMar>
            <w:top w:w="0" w:type="dxa"/>
            <w:bottom w:w="0" w:type="dxa"/>
          </w:tblCellMar>
        </w:tblPrEx>
        <w:trPr>
          <w:trHeight w:val="284"/>
        </w:trPr>
        <w:tc>
          <w:tcPr>
            <w:tcW w:w="4911" w:type="dxa"/>
          </w:tcPr>
          <w:p w:rsidR="00B71F20" w:rsidRPr="00184CDE" w:rsidRDefault="00B71F20" w:rsidP="00B71F20">
            <w:pPr>
              <w:pStyle w:val="Avsndare"/>
              <w:framePr w:h="2483" w:wrap="notBeside" w:x="1504"/>
              <w:rPr>
                <w:bCs/>
                <w:iCs/>
              </w:rPr>
            </w:pPr>
          </w:p>
        </w:tc>
      </w:tr>
      <w:tr w:rsidR="00B71F20" w:rsidRPr="00184CDE" w:rsidTr="00B71F20">
        <w:tblPrEx>
          <w:tblCellMar>
            <w:top w:w="0" w:type="dxa"/>
            <w:bottom w:w="0" w:type="dxa"/>
          </w:tblCellMar>
        </w:tblPrEx>
        <w:trPr>
          <w:trHeight w:val="284"/>
        </w:trPr>
        <w:tc>
          <w:tcPr>
            <w:tcW w:w="4911" w:type="dxa"/>
          </w:tcPr>
          <w:p w:rsidR="00B71F20" w:rsidRPr="00184CDE" w:rsidRDefault="00B71F20" w:rsidP="00B71F20">
            <w:pPr>
              <w:pStyle w:val="Avsndare"/>
              <w:framePr w:h="2483" w:wrap="notBeside" w:x="1504"/>
              <w:rPr>
                <w:bCs/>
                <w:iCs/>
              </w:rPr>
            </w:pPr>
            <w:r w:rsidRPr="00184CDE">
              <w:rPr>
                <w:bCs/>
                <w:iCs/>
              </w:rPr>
              <w:t>EU-kansliet</w:t>
            </w:r>
          </w:p>
        </w:tc>
      </w:tr>
      <w:tr w:rsidR="00B71F20" w:rsidRPr="00184CDE" w:rsidTr="00B71F20">
        <w:tblPrEx>
          <w:tblCellMar>
            <w:top w:w="0" w:type="dxa"/>
            <w:bottom w:w="0" w:type="dxa"/>
          </w:tblCellMar>
        </w:tblPrEx>
        <w:trPr>
          <w:trHeight w:val="284"/>
        </w:trPr>
        <w:tc>
          <w:tcPr>
            <w:tcW w:w="4911" w:type="dxa"/>
          </w:tcPr>
          <w:p w:rsidR="00B71F20" w:rsidRPr="00184CDE" w:rsidRDefault="00B71F20" w:rsidP="00B71F20">
            <w:pPr>
              <w:pStyle w:val="Avsndare"/>
              <w:framePr w:h="2483" w:wrap="notBeside" w:x="1504"/>
              <w:rPr>
                <w:bCs/>
                <w:iCs/>
              </w:rPr>
            </w:pPr>
            <w:r w:rsidRPr="00184CDE">
              <w:rPr>
                <w:bCs/>
                <w:iCs/>
              </w:rPr>
              <w:t>Frida Unenge</w:t>
            </w:r>
          </w:p>
        </w:tc>
      </w:tr>
      <w:tr w:rsidR="00B71F20" w:rsidRPr="00184CDE" w:rsidTr="00B71F20">
        <w:tblPrEx>
          <w:tblCellMar>
            <w:top w:w="0" w:type="dxa"/>
            <w:bottom w:w="0" w:type="dxa"/>
          </w:tblCellMar>
        </w:tblPrEx>
        <w:trPr>
          <w:trHeight w:val="284"/>
        </w:trPr>
        <w:tc>
          <w:tcPr>
            <w:tcW w:w="4911" w:type="dxa"/>
          </w:tcPr>
          <w:p w:rsidR="00B71F20" w:rsidRPr="00184CDE" w:rsidRDefault="00B71F20" w:rsidP="00B71F20">
            <w:pPr>
              <w:pStyle w:val="Avsndare"/>
              <w:framePr w:h="2483" w:wrap="notBeside" w:x="1504"/>
              <w:rPr>
                <w:bCs/>
                <w:iCs/>
              </w:rPr>
            </w:pPr>
          </w:p>
        </w:tc>
      </w:tr>
      <w:tr w:rsidR="00B71F20" w:rsidRPr="00184CDE" w:rsidTr="00B71F20">
        <w:tblPrEx>
          <w:tblCellMar>
            <w:top w:w="0" w:type="dxa"/>
            <w:bottom w:w="0" w:type="dxa"/>
          </w:tblCellMar>
        </w:tblPrEx>
        <w:trPr>
          <w:trHeight w:val="284"/>
        </w:trPr>
        <w:tc>
          <w:tcPr>
            <w:tcW w:w="4911" w:type="dxa"/>
          </w:tcPr>
          <w:p w:rsidR="00B71F20" w:rsidRPr="00184CDE" w:rsidRDefault="00B71F20" w:rsidP="00B71F20">
            <w:pPr>
              <w:pStyle w:val="Avsndare"/>
              <w:framePr w:h="2483" w:wrap="notBeside" w:x="1504"/>
              <w:rPr>
                <w:bCs/>
                <w:iCs/>
              </w:rPr>
            </w:pPr>
          </w:p>
        </w:tc>
      </w:tr>
    </w:tbl>
    <w:p w:rsidR="00B71F20" w:rsidRPr="00184CDE" w:rsidRDefault="00B71F20" w:rsidP="00B71F20">
      <w:pPr>
        <w:framePr w:w="4400" w:h="2523" w:wrap="notBeside" w:vAnchor="page" w:hAnchor="page" w:x="6382" w:y="2465"/>
        <w:ind w:left="142"/>
      </w:pPr>
    </w:p>
    <w:p w:rsidR="00B71F20" w:rsidRPr="00184CDE" w:rsidRDefault="00B71F20" w:rsidP="00B71F20">
      <w:pPr>
        <w:pStyle w:val="RKrubrik"/>
        <w:pBdr>
          <w:bottom w:val="single" w:sz="4" w:space="1" w:color="000000"/>
        </w:pBdr>
        <w:spacing w:before="0" w:after="0"/>
      </w:pPr>
      <w:r w:rsidRPr="00184CDE">
        <w:t>Underlag för information till EU-nämnden den 13 juni 2008</w:t>
      </w:r>
      <w:r w:rsidR="008556A6" w:rsidRPr="00184CDE">
        <w:t xml:space="preserve"> </w:t>
      </w:r>
      <w:r w:rsidRPr="00184CDE">
        <w:t xml:space="preserve">Antagna resolutioner i Europaparlamentet under perioden 21-23 maj 2008 </w:t>
      </w:r>
    </w:p>
    <w:p w:rsidR="00B71F20" w:rsidRPr="00184CDE" w:rsidRDefault="00B71F20" w:rsidP="00B71F20">
      <w:r w:rsidRPr="00184CDE">
        <w:t>Under maj 2008 antog Europaparlamentet bl.a. nedanstående resolutioner. Dessutom antogs ett antal lagstiftningsresolutioner som redovisas i sedvanlig ordning inför behandling i respektive rådskonstellation.</w:t>
      </w:r>
    </w:p>
    <w:p w:rsidR="00B71F20" w:rsidRPr="00184CDE" w:rsidRDefault="00B71F20" w:rsidP="00B71F20"/>
    <w:p w:rsidR="00B71F20" w:rsidRPr="00184CDE" w:rsidRDefault="00B71F20" w:rsidP="00B71F20">
      <w:pPr>
        <w:pStyle w:val="RKnormal"/>
        <w:rPr>
          <w:b/>
        </w:rPr>
      </w:pPr>
    </w:p>
    <w:p w:rsidR="00B71F20" w:rsidRPr="00184CDE" w:rsidRDefault="00B71F20" w:rsidP="00B71F20">
      <w:pPr>
        <w:pStyle w:val="RKnormal"/>
      </w:pPr>
      <w:r w:rsidRPr="00184CDE">
        <w:rPr>
          <w:b/>
        </w:rPr>
        <w:t xml:space="preserve">1. </w:t>
      </w:r>
      <w:bookmarkStart w:id="0" w:name="_Toc196819305"/>
      <w:bookmarkStart w:id="1" w:name="_Toc196821160"/>
      <w:r w:rsidRPr="00184CDE">
        <w:rPr>
          <w:b/>
        </w:rPr>
        <w:t xml:space="preserve"> 2007 års framstegsrapport om Turkiet</w:t>
      </w:r>
    </w:p>
    <w:p w:rsidR="00B71F20" w:rsidRPr="00184CDE" w:rsidRDefault="00B71F20" w:rsidP="00B71F20">
      <w:pPr>
        <w:pStyle w:val="RKnormal"/>
      </w:pPr>
    </w:p>
    <w:p w:rsidR="001C1E57" w:rsidRPr="00184CDE" w:rsidRDefault="001C1E57" w:rsidP="00B71F20">
      <w:pPr>
        <w:pStyle w:val="RKnormal"/>
      </w:pPr>
      <w:r w:rsidRPr="00184CDE">
        <w:t>Europaparlamentet välkomnar premiärminister Tayip Erdogans åtagande om att 2008 kommer att bli ett år av reformer. Parlamentet uppmanar med kraft den turkiska regeringen att</w:t>
      </w:r>
      <w:r w:rsidRPr="00184CDE">
        <w:rPr>
          <w:b/>
          <w:i/>
        </w:rPr>
        <w:t xml:space="preserve"> </w:t>
      </w:r>
      <w:r w:rsidRPr="00184CDE">
        <w:t>utnyttja sin stora majoritet i parlamentet för att genomföra reformer som är avgörande för Turkiets omvandling till en modern</w:t>
      </w:r>
      <w:r w:rsidRPr="00184CDE">
        <w:rPr>
          <w:b/>
          <w:i/>
        </w:rPr>
        <w:t xml:space="preserve"> </w:t>
      </w:r>
      <w:r w:rsidRPr="00184CDE">
        <w:t>demokrati baserad på en sekulär stat och ett pluralistiskt</w:t>
      </w:r>
      <w:r w:rsidRPr="00184CDE">
        <w:rPr>
          <w:b/>
          <w:i/>
        </w:rPr>
        <w:t xml:space="preserve"> </w:t>
      </w:r>
      <w:r w:rsidRPr="00184CDE">
        <w:t>samhälle.</w:t>
      </w:r>
      <w:r w:rsidR="00B1706E" w:rsidRPr="00184CDE">
        <w:t xml:space="preserve"> </w:t>
      </w:r>
    </w:p>
    <w:p w:rsidR="001C1E57" w:rsidRPr="00184CDE" w:rsidRDefault="001C1E57" w:rsidP="00B71F20">
      <w:pPr>
        <w:pStyle w:val="RKnormal"/>
        <w:rPr>
          <w:szCs w:val="24"/>
        </w:rPr>
      </w:pPr>
    </w:p>
    <w:p w:rsidR="001C1E57" w:rsidRPr="00184CDE" w:rsidRDefault="001C1E57" w:rsidP="001C1E57">
      <w:pPr>
        <w:pStyle w:val="RKnormal"/>
        <w:rPr>
          <w:szCs w:val="24"/>
        </w:rPr>
      </w:pPr>
      <w:r w:rsidRPr="00184CDE">
        <w:rPr>
          <w:szCs w:val="24"/>
        </w:rPr>
        <w:t xml:space="preserve">Europaparlamentet berömmer Turkiet för den positiva ekonomiska utvecklingen i landet. Europaparlamentet är dock bekymrat över de stora skillnaderna i utveckling mellan de turkiska regionerna och även mellan landsbygdsområden och tätortsområden. Den turkiska regeringen uppmanas att utarbeta en omfattande strategi för att ta itu med dessa skillnader Europaparlamentet erkänner Turkiets roll som viktig partner till EU när det gäller att förverkliga EU:s utrikespolitiska mål för Svartahavsregionen, Centralasien och Mellanöstern i stort. </w:t>
      </w:r>
    </w:p>
    <w:p w:rsidR="00B71F20" w:rsidRPr="00184CDE" w:rsidRDefault="00B71F20" w:rsidP="00B71F20">
      <w:pPr>
        <w:pStyle w:val="RKnormal"/>
        <w:rPr>
          <w:b/>
        </w:rPr>
      </w:pPr>
    </w:p>
    <w:p w:rsidR="00164DF3" w:rsidRPr="00184CDE" w:rsidRDefault="00164DF3" w:rsidP="00B71F20">
      <w:pPr>
        <w:pStyle w:val="RKnormal"/>
        <w:rPr>
          <w:b/>
        </w:rPr>
      </w:pPr>
    </w:p>
    <w:p w:rsidR="00B71F20" w:rsidRPr="00184CDE" w:rsidRDefault="00B71F20" w:rsidP="00B71F20">
      <w:pPr>
        <w:pStyle w:val="RKnormal"/>
        <w:rPr>
          <w:b/>
        </w:rPr>
      </w:pPr>
      <w:r w:rsidRPr="00184CDE">
        <w:rPr>
          <w:b/>
        </w:rPr>
        <w:t xml:space="preserve">2. </w:t>
      </w:r>
      <w:bookmarkEnd w:id="0"/>
      <w:bookmarkEnd w:id="1"/>
      <w:r w:rsidRPr="00184CDE">
        <w:rPr>
          <w:b/>
        </w:rPr>
        <w:t>Libanon</w:t>
      </w:r>
    </w:p>
    <w:p w:rsidR="00B71F20" w:rsidRPr="00184CDE" w:rsidRDefault="00B71F20" w:rsidP="00B71F20">
      <w:pPr>
        <w:pStyle w:val="RKnormal"/>
      </w:pPr>
    </w:p>
    <w:p w:rsidR="00F85614" w:rsidRPr="00184CDE" w:rsidRDefault="00F85614" w:rsidP="00B71F20">
      <w:pPr>
        <w:pStyle w:val="RKnormal"/>
        <w:rPr>
          <w:szCs w:val="24"/>
        </w:rPr>
      </w:pPr>
      <w:r w:rsidRPr="00184CDE">
        <w:rPr>
          <w:szCs w:val="24"/>
        </w:rPr>
        <w:t xml:space="preserve">Europaparlamentet välkomnar det avtal som slutits i Doha när det gäller valet under de närmaste dagarna av general Michel Sleiman till president i Libanon, inrättandet av en ny nationell samlingsregering och antagandet av vallagen. Parlamentet uppmanar parterna till avtalet att fullt ut genomföra detta avtal. </w:t>
      </w:r>
    </w:p>
    <w:p w:rsidR="006C67DF" w:rsidRPr="00184CDE" w:rsidRDefault="006C67DF" w:rsidP="00B71F20">
      <w:pPr>
        <w:pStyle w:val="RKnormal"/>
        <w:rPr>
          <w:szCs w:val="24"/>
        </w:rPr>
      </w:pPr>
    </w:p>
    <w:p w:rsidR="006C67DF" w:rsidRPr="00184CDE" w:rsidRDefault="006C67DF" w:rsidP="006C67DF">
      <w:pPr>
        <w:pStyle w:val="RKnormal"/>
      </w:pPr>
      <w:r w:rsidRPr="00184CDE">
        <w:t>Europaparlamentet upprepar sitt stöd för Europeiska unionen insatser för att bistå Libanon i landets ekonomiska omstrukturering. Parlamentet uppmanar rådet och kommissionen att fortsätta sina insatser till stöd för återuppbyggnaden och den ekonomiska återhämtningen i Libanon, och inrätta ett när</w:t>
      </w:r>
      <w:r w:rsidRPr="00184CDE">
        <w:lastRenderedPageBreak/>
        <w:t xml:space="preserve">mare samarbete med civilsamhället i landet för att ytterligare främja Libanons demokratisering. </w:t>
      </w:r>
    </w:p>
    <w:p w:rsidR="006C67DF" w:rsidRPr="00184CDE" w:rsidRDefault="006C67DF" w:rsidP="00B71F20">
      <w:pPr>
        <w:pStyle w:val="RKnormal"/>
      </w:pPr>
    </w:p>
    <w:p w:rsidR="00B71F20" w:rsidRPr="00184CDE" w:rsidRDefault="00B71F20" w:rsidP="00B71F20">
      <w:pPr>
        <w:pStyle w:val="RKnormal"/>
        <w:rPr>
          <w:b/>
        </w:rPr>
      </w:pPr>
    </w:p>
    <w:p w:rsidR="00B71F20" w:rsidRPr="00184CDE" w:rsidRDefault="00B71F20" w:rsidP="00B71F20">
      <w:pPr>
        <w:pStyle w:val="RKnormal"/>
        <w:rPr>
          <w:b/>
        </w:rPr>
      </w:pPr>
      <w:r w:rsidRPr="00184CDE">
        <w:rPr>
          <w:b/>
        </w:rPr>
        <w:t>3. Viseringsundantag</w:t>
      </w:r>
    </w:p>
    <w:p w:rsidR="00B71F20" w:rsidRPr="00184CDE" w:rsidRDefault="00B71F20" w:rsidP="00B71F20">
      <w:pPr>
        <w:pStyle w:val="RKnormal"/>
        <w:rPr>
          <w:b/>
        </w:rPr>
      </w:pPr>
    </w:p>
    <w:p w:rsidR="001C1E57" w:rsidRPr="00184CDE" w:rsidRDefault="001C1E57" w:rsidP="001C1E57">
      <w:pPr>
        <w:pStyle w:val="RKnormal"/>
      </w:pPr>
      <w:r w:rsidRPr="00184CDE">
        <w:t>Europaparlamentet anser att all direkt eller indirekt diskriminering mellan EU</w:t>
      </w:r>
      <w:r w:rsidRPr="00184CDE">
        <w:noBreakHyphen/>
        <w:t>medborgare, inklusive på grund av deras nationalitet, bör förbjudas inte bara inom EU i enlighet med artikel 12 i EG</w:t>
      </w:r>
      <w:r w:rsidRPr="00184CDE">
        <w:noBreakHyphen/>
        <w:t>fördraget utan också utanför EU, särskilt när diskrimineringen är en följd av bristande samordning mellan EU</w:t>
      </w:r>
      <w:r w:rsidRPr="00184CDE">
        <w:noBreakHyphen/>
        <w:t xml:space="preserve">institutionerna och medlemsstaterna när det gäller internationella förhandlingar. </w:t>
      </w:r>
    </w:p>
    <w:p w:rsidR="001C1E57" w:rsidRPr="00184CDE" w:rsidRDefault="001C1E57" w:rsidP="001C1E57">
      <w:pPr>
        <w:pStyle w:val="RKnormal"/>
      </w:pPr>
    </w:p>
    <w:p w:rsidR="001C1E57" w:rsidRPr="00184CDE" w:rsidRDefault="001C1E57" w:rsidP="001C1E57">
      <w:pPr>
        <w:pStyle w:val="RKnormal"/>
      </w:pPr>
      <w:r w:rsidRPr="00184CDE">
        <w:t>Europaparlamentet stöder rådets uppdrag till kommissionen att förhandla fram ett avtal som ska ge viseringsfrihet för alla EU-medborgare som reser in i Förenta staterna.</w:t>
      </w:r>
      <w:r w:rsidR="00164DF3" w:rsidRPr="00184CDE">
        <w:t xml:space="preserve"> Viseringsfrihet gäller redan för alla amerikanska medborgare som reser in i EU. Europaparlamentet anser att förhandlingarna bör slutföras före juni 2009 och att ingen diskriminering då ska förekomma mellan EU-medborgare.</w:t>
      </w:r>
    </w:p>
    <w:p w:rsidR="00B71F20" w:rsidRPr="00184CDE" w:rsidRDefault="00B71F20" w:rsidP="00B71F20">
      <w:pPr>
        <w:pStyle w:val="RKnormal"/>
      </w:pPr>
    </w:p>
    <w:p w:rsidR="00B71F20" w:rsidRPr="00184CDE" w:rsidRDefault="00B71F20" w:rsidP="00B71F20">
      <w:pPr>
        <w:pStyle w:val="RKnormal"/>
      </w:pPr>
    </w:p>
    <w:p w:rsidR="00B71F20" w:rsidRPr="00184CDE" w:rsidRDefault="00B71F20" w:rsidP="00B71F20">
      <w:pPr>
        <w:pStyle w:val="RKnormal"/>
        <w:rPr>
          <w:b/>
          <w:bCs/>
        </w:rPr>
      </w:pPr>
      <w:r w:rsidRPr="00184CDE">
        <w:rPr>
          <w:b/>
        </w:rPr>
        <w:t xml:space="preserve">4. </w:t>
      </w:r>
      <w:r w:rsidRPr="00184CDE">
        <w:rPr>
          <w:b/>
          <w:bCs/>
        </w:rPr>
        <w:t>Burma</w:t>
      </w:r>
    </w:p>
    <w:p w:rsidR="00B71F20" w:rsidRPr="00184CDE" w:rsidRDefault="00B71F20" w:rsidP="00555E9E">
      <w:pPr>
        <w:pStyle w:val="RKnormal"/>
      </w:pPr>
    </w:p>
    <w:p w:rsidR="00555E9E" w:rsidRPr="00184CDE" w:rsidRDefault="00555E9E" w:rsidP="00555E9E">
      <w:pPr>
        <w:pStyle w:val="RKnormal"/>
      </w:pPr>
      <w:r w:rsidRPr="00184CDE">
        <w:t xml:space="preserve">Europaparlamentet uppmanar i skarpa ordalag den burmesiska regeringen att låta människors liv gå före </w:t>
      </w:r>
      <w:r w:rsidR="00C238EE" w:rsidRPr="00184CDE">
        <w:t xml:space="preserve">statens suveränitet </w:t>
      </w:r>
      <w:r w:rsidRPr="00184CDE">
        <w:t xml:space="preserve">och öppna de områden som drabbats av cyklonen för internationell biståndsverksamhet, omedelbart utfärda visum för biståndsarbetare, ge FN och internationella humanitära organ tillåtelse att distribuera hjälp direkt till dem som är i nöd samt tillåta närliggande länder att leverera bistånd luft- och sjövägen till offer som annars inte kan nås tillräckligt snabbt. </w:t>
      </w:r>
    </w:p>
    <w:p w:rsidR="00555E9E" w:rsidRPr="00184CDE" w:rsidRDefault="00555E9E" w:rsidP="00555E9E">
      <w:pPr>
        <w:pStyle w:val="RKnormal"/>
      </w:pPr>
    </w:p>
    <w:p w:rsidR="001E45A2" w:rsidRPr="00184CDE" w:rsidRDefault="001E45A2" w:rsidP="001E45A2">
      <w:pPr>
        <w:pStyle w:val="RKnormal"/>
      </w:pPr>
      <w:r w:rsidRPr="00184CDE">
        <w:t>Parlamentet uppmanar regeringen för Förenade kungariket, som leder FN:s säkerhetsråd i maj, att vidta brådskande åtgärder för att föra upp Burma på säkerhetsrådets agenda och uppmanar säkerhetsrådet att utreda huruvida biståndsförsändelser till Burma kan auktoriseras utan den burmesiska militärjuntans samtycke.</w:t>
      </w:r>
    </w:p>
    <w:p w:rsidR="00555E9E" w:rsidRPr="00184CDE" w:rsidRDefault="00555E9E" w:rsidP="00555E9E">
      <w:pPr>
        <w:pStyle w:val="RKnormal"/>
      </w:pPr>
    </w:p>
    <w:p w:rsidR="0051493C" w:rsidRPr="00184CDE" w:rsidRDefault="001E45A2" w:rsidP="00B71F20">
      <w:pPr>
        <w:pStyle w:val="RKnormal"/>
        <w:rPr>
          <w:rFonts w:ascii="Arial" w:hAnsi="Arial" w:cs="Arial"/>
          <w:color w:val="666666"/>
          <w:sz w:val="18"/>
          <w:szCs w:val="18"/>
        </w:rPr>
      </w:pPr>
      <w:r w:rsidRPr="00184CDE">
        <w:rPr>
          <w:szCs w:val="24"/>
        </w:rPr>
        <w:t xml:space="preserve">Europaparlamentet anser att de burmesiska myndigheterna, om de fortsätter att hindra att hjälp når fram till de nödlidande, i så fall ska ställas till svars för brott mot mänskligheten inför Internationella brottmålsdomstolen (ICC). </w:t>
      </w:r>
    </w:p>
    <w:p w:rsidR="00B71F20" w:rsidRPr="00184CDE" w:rsidRDefault="00B71F20" w:rsidP="00B71F20">
      <w:pPr>
        <w:pStyle w:val="RKnormal"/>
      </w:pPr>
    </w:p>
    <w:p w:rsidR="008D4228" w:rsidRPr="00184CDE" w:rsidRDefault="008D4228" w:rsidP="00B71F20">
      <w:pPr>
        <w:pStyle w:val="RKnormal"/>
      </w:pPr>
    </w:p>
    <w:p w:rsidR="00B71F20" w:rsidRPr="00184CDE" w:rsidRDefault="00B71F20" w:rsidP="00B71F20">
      <w:pPr>
        <w:pStyle w:val="RKnormal"/>
        <w:rPr>
          <w:b/>
          <w:bCs/>
        </w:rPr>
      </w:pPr>
      <w:r w:rsidRPr="00184CDE">
        <w:rPr>
          <w:b/>
          <w:bCs/>
        </w:rPr>
        <w:t>5. Naturkatastrof i Kina</w:t>
      </w:r>
    </w:p>
    <w:p w:rsidR="00B71F20" w:rsidRPr="00184CDE" w:rsidRDefault="00B71F20" w:rsidP="0051493C">
      <w:pPr>
        <w:pStyle w:val="RKnormal"/>
      </w:pPr>
    </w:p>
    <w:p w:rsidR="0051493C" w:rsidRPr="00184CDE" w:rsidRDefault="0051493C" w:rsidP="0051493C">
      <w:pPr>
        <w:pStyle w:val="RKnormal"/>
      </w:pPr>
      <w:r w:rsidRPr="00184CDE">
        <w:t>Europaparlamentet uppmanar rådet och kommissionen att erbjuda det drabbade området akut hjälp, tekniskt stöd och stöd till återuppbyggnad.</w:t>
      </w:r>
    </w:p>
    <w:p w:rsidR="0051493C" w:rsidRPr="00184CDE" w:rsidRDefault="0051493C" w:rsidP="0051493C">
      <w:pPr>
        <w:pStyle w:val="RKnormal"/>
      </w:pPr>
      <w:r w:rsidRPr="00184CDE">
        <w:t xml:space="preserve">Europaparlamentet välkomnar </w:t>
      </w:r>
      <w:r w:rsidR="0035730C" w:rsidRPr="00184CDE">
        <w:t xml:space="preserve">även </w:t>
      </w:r>
      <w:r w:rsidRPr="00184CDE">
        <w:t>det faktum att kinesiska och utländska medier tillåts ge detaljerade och korrekta rapporter om katastrofen.</w:t>
      </w:r>
    </w:p>
    <w:p w:rsidR="0051493C" w:rsidRPr="00184CDE" w:rsidRDefault="0051493C" w:rsidP="0051493C">
      <w:pPr>
        <w:pStyle w:val="RKnormal"/>
      </w:pPr>
    </w:p>
    <w:p w:rsidR="0051493C" w:rsidRPr="00184CDE" w:rsidRDefault="0051493C" w:rsidP="0051493C">
      <w:pPr>
        <w:pStyle w:val="RKnormal"/>
      </w:pPr>
      <w:r w:rsidRPr="00184CDE">
        <w:t>Parlamentet efterlyser en utveckling av tekniken för övergripande och effektiva tidiga varningssystem som förbereder befolkningen för jordbävningar och andra naturkatastrofer.</w:t>
      </w:r>
      <w:r w:rsidR="0035730C" w:rsidRPr="00184CDE">
        <w:t xml:space="preserve"> </w:t>
      </w:r>
      <w:r w:rsidRPr="00184CDE">
        <w:t xml:space="preserve">Europaparlamentet välkomnar det internationella samfundets insatser att göra sina bästa metoder för katastrofhjälp i civila nödsituationer tillgängliga för att hjälpa Kina och dess befolkning som drabbats av jordbävningen. </w:t>
      </w:r>
    </w:p>
    <w:p w:rsidR="00B71F20" w:rsidRPr="00184CDE" w:rsidRDefault="00B71F20" w:rsidP="00B71F20">
      <w:pPr>
        <w:pStyle w:val="RKnormal"/>
      </w:pPr>
    </w:p>
    <w:p w:rsidR="008D4228" w:rsidRPr="00184CDE" w:rsidRDefault="008D4228" w:rsidP="00B71F20">
      <w:pPr>
        <w:pStyle w:val="RKnormal"/>
      </w:pPr>
    </w:p>
    <w:p w:rsidR="00B71F20" w:rsidRPr="00184CDE" w:rsidRDefault="00B71F20" w:rsidP="00B71F20">
      <w:pPr>
        <w:pStyle w:val="RKnormal"/>
        <w:rPr>
          <w:b/>
        </w:rPr>
      </w:pPr>
      <w:r w:rsidRPr="00184CDE">
        <w:rPr>
          <w:b/>
          <w:bCs/>
        </w:rPr>
        <w:t xml:space="preserve">6. </w:t>
      </w:r>
      <w:r w:rsidRPr="00184CDE">
        <w:rPr>
          <w:b/>
        </w:rPr>
        <w:t>Sudan och den internationella brottmålsdomstolen</w:t>
      </w:r>
    </w:p>
    <w:p w:rsidR="00B71F20" w:rsidRPr="00184CDE" w:rsidRDefault="00B71F20" w:rsidP="00B71F20">
      <w:pPr>
        <w:pStyle w:val="RKnormal"/>
      </w:pPr>
    </w:p>
    <w:p w:rsidR="007F067D" w:rsidRPr="00184CDE" w:rsidRDefault="007F067D" w:rsidP="007F067D">
      <w:pPr>
        <w:pStyle w:val="RKnormal"/>
        <w:rPr>
          <w:szCs w:val="24"/>
        </w:rPr>
      </w:pPr>
      <w:r w:rsidRPr="00184CDE">
        <w:rPr>
          <w:szCs w:val="24"/>
        </w:rPr>
        <w:t>Europaparlamentet vädjar till den sudanesiska regeringen att ratificera ICC-stadgan, hörsamma säkerhetsrådets resolution 1593 (2005), samarbeta villkorslöst med ICC och på ett grundligt och effektivt sätt utreda och väcka åtal beträffande</w:t>
      </w:r>
      <w:r w:rsidRPr="00184CDE">
        <w:rPr>
          <w:rFonts w:ascii="Times New Roman" w:hAnsi="Times New Roman"/>
          <w:snapToGrid w:val="0"/>
          <w:szCs w:val="24"/>
          <w:lang w:eastAsia="en-GB"/>
        </w:rPr>
        <w:t xml:space="preserve"> </w:t>
      </w:r>
      <w:r w:rsidRPr="00184CDE">
        <w:rPr>
          <w:szCs w:val="24"/>
        </w:rPr>
        <w:t>de krigsförbrytelser och brott mot mänskligheten som begåtts i Darfurregionen.</w:t>
      </w:r>
    </w:p>
    <w:p w:rsidR="007F067D" w:rsidRPr="00184CDE" w:rsidRDefault="007F067D" w:rsidP="00B71F20">
      <w:pPr>
        <w:pStyle w:val="RKnormal"/>
      </w:pPr>
    </w:p>
    <w:p w:rsidR="00B71F20" w:rsidRPr="00184CDE" w:rsidRDefault="005D2E66" w:rsidP="00B71F20">
      <w:pPr>
        <w:pStyle w:val="RKnormal"/>
        <w:rPr>
          <w:szCs w:val="24"/>
        </w:rPr>
      </w:pPr>
      <w:r w:rsidRPr="00184CDE">
        <w:rPr>
          <w:szCs w:val="24"/>
        </w:rPr>
        <w:t>Europaparlamentet uppmanar</w:t>
      </w:r>
      <w:r w:rsidR="0035730C" w:rsidRPr="00184CDE">
        <w:rPr>
          <w:szCs w:val="24"/>
        </w:rPr>
        <w:t xml:space="preserve"> därefter</w:t>
      </w:r>
      <w:r w:rsidRPr="00184CDE">
        <w:rPr>
          <w:szCs w:val="24"/>
        </w:rPr>
        <w:t xml:space="preserve"> EU och övriga internationella aktörer att vidta lämpliga åtgärder mot våldsverkare som bryter mot eldupphöravtal och som attackerar civila, fredsbevarare eller humanitära insatser samt att vidta alla nödvändiga åtgärder för att få ett slut på straffriheten</w:t>
      </w:r>
      <w:r w:rsidR="0035730C" w:rsidRPr="00184CDE">
        <w:rPr>
          <w:szCs w:val="24"/>
        </w:rPr>
        <w:t>.</w:t>
      </w:r>
    </w:p>
    <w:p w:rsidR="0035730C" w:rsidRPr="00184CDE" w:rsidRDefault="0035730C" w:rsidP="00B71F20">
      <w:pPr>
        <w:pStyle w:val="RKnormal"/>
        <w:rPr>
          <w:szCs w:val="24"/>
        </w:rPr>
      </w:pPr>
    </w:p>
    <w:p w:rsidR="0035730C" w:rsidRPr="00184CDE" w:rsidRDefault="0035730C" w:rsidP="00B71F20">
      <w:pPr>
        <w:pStyle w:val="RKnormal"/>
      </w:pPr>
    </w:p>
    <w:p w:rsidR="00B71F20" w:rsidRPr="00184CDE" w:rsidRDefault="00B71F20" w:rsidP="00B71F20">
      <w:pPr>
        <w:pStyle w:val="RKnormal"/>
        <w:rPr>
          <w:b/>
        </w:rPr>
      </w:pPr>
      <w:r w:rsidRPr="00184CDE">
        <w:rPr>
          <w:b/>
        </w:rPr>
        <w:t>7. Gripandet av politiska meningsmotståndare i Vitryssland</w:t>
      </w:r>
    </w:p>
    <w:p w:rsidR="00B71F20" w:rsidRPr="00184CDE" w:rsidRDefault="00B71F20" w:rsidP="00B71F20">
      <w:pPr>
        <w:pStyle w:val="RKnormal"/>
        <w:rPr>
          <w:b/>
        </w:rPr>
      </w:pPr>
    </w:p>
    <w:p w:rsidR="00CC4861" w:rsidRPr="00184CDE" w:rsidRDefault="00CC4861" w:rsidP="00CC4861">
      <w:pPr>
        <w:pStyle w:val="RKnormal"/>
      </w:pPr>
      <w:r w:rsidRPr="00184CDE">
        <w:t>Europaparlamentet beklagar djupt att det inte sker någon förbättring av situationen för demokrati, rättsstat och mänskliga rättigheter i Vitryssland. Parlamentet påpekar att de fortsatta godtyckliga gripandena av medlemmar av det civila samhället och av aktivister inom opposi</w:t>
      </w:r>
      <w:r w:rsidR="0035730C" w:rsidRPr="00184CDE">
        <w:t xml:space="preserve">tionen </w:t>
      </w:r>
      <w:r w:rsidRPr="00184CDE">
        <w:t>tillsammans med tillslaget mot oberoende massmedier, talar emot Vitrysslands regerings bedyranden på senaste tiden om att landet vill ha bättre relationer med Europeiska unionen.</w:t>
      </w:r>
    </w:p>
    <w:p w:rsidR="00CC4861" w:rsidRPr="00184CDE" w:rsidRDefault="00CC4861" w:rsidP="00CC4861">
      <w:pPr>
        <w:pStyle w:val="RKnormal"/>
      </w:pPr>
    </w:p>
    <w:p w:rsidR="00CC4861" w:rsidRPr="00184CDE" w:rsidRDefault="00CC4861" w:rsidP="00CC4861">
      <w:pPr>
        <w:pStyle w:val="RKnormal"/>
      </w:pPr>
      <w:r w:rsidRPr="00184CDE">
        <w:t xml:space="preserve">Europaparlamentet upprepar att det är en absolut förutsättning för normaliserade förbindelser med Vitryssland att landet rättar sig efter de principer som gäller för en demokrati. </w:t>
      </w:r>
    </w:p>
    <w:p w:rsidR="008556A6" w:rsidRPr="00184CDE" w:rsidRDefault="008556A6" w:rsidP="00CC4861">
      <w:pPr>
        <w:pStyle w:val="RKnormal"/>
      </w:pPr>
    </w:p>
    <w:p w:rsidR="00CC4861" w:rsidRPr="00184CDE" w:rsidRDefault="00CC4861" w:rsidP="00CC4861">
      <w:pPr>
        <w:pStyle w:val="RKnormal"/>
      </w:pPr>
      <w:r w:rsidRPr="00184CDE">
        <w:t>Europaparlamentet uppmanar rådet och kommissionen att vidta ytterligare åtgärder för att underlätta och liberalisera viseringsförfarandena för vitryska medborgare,</w:t>
      </w:r>
      <w:r w:rsidR="00292038" w:rsidRPr="00184CDE">
        <w:t xml:space="preserve"> och särskilt överväga möjligheten att sänka kostnaderna för viseringar för vitryska medborgare som reser in i Schengenområdet. </w:t>
      </w:r>
      <w:r w:rsidRPr="00184CDE">
        <w:t xml:space="preserve"> </w:t>
      </w:r>
      <w:r w:rsidR="00292038" w:rsidRPr="00184CDE">
        <w:t>Europaparlamentet anser att detta är det e</w:t>
      </w:r>
      <w:r w:rsidRPr="00184CDE">
        <w:t>nda sättet att nå huvudsyftet med EU:s politik gentemot Vitryssland, nämligen att underlätta och intensifiera mellanmänskliga kontakter</w:t>
      </w:r>
      <w:r w:rsidR="00292038" w:rsidRPr="00184CDE">
        <w:t xml:space="preserve">, </w:t>
      </w:r>
      <w:r w:rsidRPr="00184CDE">
        <w:t>demokratisera landet</w:t>
      </w:r>
      <w:r w:rsidR="00292038" w:rsidRPr="00184CDE">
        <w:t xml:space="preserve"> och hindra att Vitryssland och dess medborgare isoleras ytterligare. </w:t>
      </w:r>
    </w:p>
    <w:p w:rsidR="00B71F20" w:rsidRPr="00184CDE" w:rsidRDefault="00B71F20" w:rsidP="00B71F20">
      <w:pPr>
        <w:pStyle w:val="RKnormal"/>
      </w:pPr>
    </w:p>
    <w:p w:rsidR="008D4228" w:rsidRPr="00184CDE" w:rsidRDefault="008D4228" w:rsidP="00B71F20">
      <w:pPr>
        <w:pStyle w:val="RKnormal"/>
      </w:pPr>
    </w:p>
    <w:p w:rsidR="00B71F20" w:rsidRPr="00184CDE" w:rsidRDefault="00B71F20" w:rsidP="00B71F20">
      <w:pPr>
        <w:pStyle w:val="RKnormal"/>
        <w:rPr>
          <w:b/>
        </w:rPr>
      </w:pPr>
      <w:r w:rsidRPr="00184CDE">
        <w:rPr>
          <w:b/>
        </w:rPr>
        <w:t xml:space="preserve">8.  Den ökande spänningen i Burundi </w:t>
      </w:r>
    </w:p>
    <w:p w:rsidR="00B71F20" w:rsidRPr="00184CDE" w:rsidRDefault="00B71F20" w:rsidP="00B71F20">
      <w:pPr>
        <w:pStyle w:val="RKnormal"/>
      </w:pPr>
    </w:p>
    <w:p w:rsidR="007A5D2E" w:rsidRPr="00184CDE" w:rsidRDefault="007A5D2E" w:rsidP="007A5D2E">
      <w:pPr>
        <w:pStyle w:val="RKnormal"/>
      </w:pPr>
      <w:r w:rsidRPr="00184CDE">
        <w:t>Europaparlamentet uppmanar alla parter att respektera avtalet om vapenvila, återuppta förhandlingarna och snabbt agera för att genomföra den gemensamma kontroll- och övervakningsmekanismen som inrättades efter vapenvilan.</w:t>
      </w:r>
    </w:p>
    <w:p w:rsidR="00B71F20" w:rsidRPr="00184CDE" w:rsidRDefault="00B71F20" w:rsidP="00B71F20">
      <w:pPr>
        <w:pStyle w:val="RKnormal"/>
      </w:pPr>
    </w:p>
    <w:p w:rsidR="004B545A" w:rsidRPr="00184CDE" w:rsidRDefault="007A5D2E" w:rsidP="004B545A">
      <w:pPr>
        <w:pStyle w:val="RKnormal"/>
      </w:pPr>
      <w:r w:rsidRPr="00184CDE">
        <w:t>Europaparlamentet uppmanar kommissionen att öka sina humanitära insatser, bland annat för att hjälpa flyktingar och internt fördrivna</w:t>
      </w:r>
      <w:r w:rsidR="00292038" w:rsidRPr="00184CDE">
        <w:t>, och stödja icke-statliga organisationer och lokala myndigheter på plats</w:t>
      </w:r>
      <w:r w:rsidRPr="00184CDE">
        <w:t>.</w:t>
      </w:r>
      <w:r w:rsidR="00777E8D" w:rsidRPr="00184CDE">
        <w:t xml:space="preserve"> </w:t>
      </w:r>
    </w:p>
    <w:p w:rsidR="004B545A" w:rsidRPr="00184CDE" w:rsidRDefault="004B545A" w:rsidP="004B545A">
      <w:pPr>
        <w:pStyle w:val="RKnormal"/>
      </w:pPr>
      <w:r w:rsidRPr="00184CDE">
        <w:t>Europaparlamentet noterar att stabiliteten i Burundi har ökat sedan den nya författningen trädde i kraft och allmänna val hölls. Parlamentet vill dock att en kommission för fred och försoning ska inrättas som en förtroendeskapande åtgärd som kan återställa en anda av förtroende och stabilitet bland de berörda parterna, och uppmanar medlemsstaternas regeringar att ge ekonomiskt och logistiskt stöd till ett sådant initiativ.</w:t>
      </w:r>
    </w:p>
    <w:p w:rsidR="004B545A" w:rsidRPr="00184CDE" w:rsidRDefault="004B545A" w:rsidP="004B545A">
      <w:pPr>
        <w:pStyle w:val="RKnormal"/>
      </w:pPr>
    </w:p>
    <w:p w:rsidR="004B545A" w:rsidRPr="00184CDE" w:rsidRDefault="004B545A" w:rsidP="004B545A">
      <w:pPr>
        <w:pStyle w:val="RKnormal"/>
      </w:pPr>
      <w:r w:rsidRPr="00184CDE">
        <w:t>Europaparlamentet uppmanar Burundis regering att snarast vidta åtgärder för att se till att rättsstatsprincipen följs, att brott straffas, att gärningsmän ställs inför rätta och att polisen får bättre utbildning.</w:t>
      </w:r>
    </w:p>
    <w:p w:rsidR="004B545A" w:rsidRPr="00184CDE" w:rsidRDefault="004B545A" w:rsidP="004B545A">
      <w:pPr>
        <w:pStyle w:val="RKnormal"/>
      </w:pPr>
    </w:p>
    <w:p w:rsidR="004B545A" w:rsidRPr="00184CDE" w:rsidRDefault="004B545A" w:rsidP="004B545A">
      <w:pPr>
        <w:pStyle w:val="RKnormal"/>
      </w:pPr>
    </w:p>
    <w:p w:rsidR="004B545A" w:rsidRPr="00184CDE" w:rsidRDefault="004B545A" w:rsidP="004B545A">
      <w:pPr>
        <w:pStyle w:val="RKnormal"/>
      </w:pPr>
    </w:p>
    <w:p w:rsidR="007A5D2E" w:rsidRPr="00184CDE" w:rsidRDefault="007A5D2E" w:rsidP="00B71F20">
      <w:pPr>
        <w:pStyle w:val="RKnormal"/>
      </w:pPr>
    </w:p>
    <w:p w:rsidR="00C81593" w:rsidRPr="00184CDE" w:rsidRDefault="00C81593"/>
    <w:sectPr w:rsidR="00C81593" w:rsidRPr="00184CDE" w:rsidSect="00B71F20">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249" w:rsidRPr="00184CDE" w:rsidRDefault="00400249" w:rsidP="00B04735">
      <w:pPr>
        <w:pStyle w:val="Avsndare"/>
        <w:framePr w:wrap="notBeside"/>
      </w:pPr>
      <w:r w:rsidRPr="00184CDE">
        <w:separator/>
      </w:r>
    </w:p>
  </w:endnote>
  <w:endnote w:type="continuationSeparator" w:id="0">
    <w:p w:rsidR="00400249" w:rsidRPr="00184CDE" w:rsidRDefault="00400249" w:rsidP="00B04735">
      <w:pPr>
        <w:pStyle w:val="Avsndare"/>
        <w:framePr w:wrap="notBeside"/>
      </w:pPr>
      <w:r w:rsidRPr="0018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249" w:rsidRPr="00184CDE" w:rsidRDefault="00400249" w:rsidP="00B04735">
      <w:pPr>
        <w:pStyle w:val="Avsndare"/>
        <w:framePr w:wrap="notBeside"/>
      </w:pPr>
      <w:r w:rsidRPr="00184CDE">
        <w:separator/>
      </w:r>
    </w:p>
  </w:footnote>
  <w:footnote w:type="continuationSeparator" w:id="0">
    <w:p w:rsidR="00400249" w:rsidRPr="00184CDE" w:rsidRDefault="00400249" w:rsidP="00B04735">
      <w:pPr>
        <w:pStyle w:val="Avsndare"/>
        <w:framePr w:wrap="notBeside"/>
      </w:pPr>
      <w:r w:rsidRPr="00184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228" w:rsidRPr="00184CDE" w:rsidRDefault="008D4228">
    <w:pPr>
      <w:pStyle w:val="Sidhuvud"/>
      <w:framePr w:wrap="around" w:vAnchor="text" w:hAnchor="margin" w:xAlign="right" w:y="1"/>
      <w:rPr>
        <w:rStyle w:val="Sidnummer"/>
        <w:rPrChange w:id="2" w:author="Lars Brink" w:date="2025-12-17T14:07:00Z" w16du:dateUtc="2025-12-17T13:07:00Z">
          <w:rPr>
            <w:rStyle w:val="Sidnummer"/>
          </w:rPr>
        </w:rPrChange>
      </w:rPr>
    </w:pPr>
    <w:r w:rsidRPr="00184CDE">
      <w:rPr>
        <w:rStyle w:val="Sidnummer"/>
      </w:rPr>
      <w:fldChar w:fldCharType="begin" w:fldLock="1"/>
    </w:r>
    <w:r w:rsidRPr="00184CDE">
      <w:rPr>
        <w:rStyle w:val="Sidnummer"/>
      </w:rPr>
      <w:instrText xml:space="preserve">PAGE  </w:instrText>
    </w:r>
    <w:r w:rsidRPr="00184CDE">
      <w:rPr>
        <w:rStyle w:val="Sidnummer"/>
      </w:rPr>
      <w:fldChar w:fldCharType="separate"/>
    </w:r>
    <w:r w:rsidRPr="00184CDE">
      <w:rPr>
        <w:rStyle w:val="Sidnummer"/>
        <w:rPrChange w:id="3" w:author="Lars Brink" w:date="2025-12-17T14:07:00Z" w16du:dateUtc="2025-12-17T13:07:00Z">
          <w:rPr>
            <w:rStyle w:val="Sidnummer"/>
            <w:noProof/>
          </w:rPr>
        </w:rPrChange>
      </w:rPr>
      <w:t>2</w:t>
    </w:r>
    <w:r w:rsidRPr="00184CDE">
      <w:rPr>
        <w:rStyle w:val="Sidnummer"/>
        <w:rPrChange w:id="4" w:author="Lars Brink" w:date="2025-12-17T14:07:00Z" w16du:dateUtc="2025-12-17T13:07: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8D4228" w:rsidRPr="00184CDE">
      <w:tblPrEx>
        <w:tblCellMar>
          <w:top w:w="0" w:type="dxa"/>
          <w:bottom w:w="0" w:type="dxa"/>
        </w:tblCellMar>
      </w:tblPrEx>
      <w:trPr>
        <w:cantSplit/>
      </w:trPr>
      <w:tc>
        <w:tcPr>
          <w:tcW w:w="3119" w:type="dxa"/>
        </w:tcPr>
        <w:p w:rsidR="008D4228" w:rsidRPr="00184CDE" w:rsidRDefault="008D4228">
          <w:pPr>
            <w:pStyle w:val="Sidhuvud"/>
            <w:spacing w:line="200" w:lineRule="atLeast"/>
            <w:ind w:right="357"/>
            <w:rPr>
              <w:rFonts w:ascii="TradeGothic" w:hAnsi="TradeGothic"/>
              <w:b/>
              <w:bCs/>
              <w:sz w:val="16"/>
              <w:rPrChange w:id="5" w:author="Lars Brink" w:date="2025-12-17T14:07:00Z" w16du:dateUtc="2025-12-17T13:07:00Z">
                <w:rPr>
                  <w:rFonts w:ascii="TradeGothic" w:hAnsi="TradeGothic"/>
                  <w:b/>
                  <w:bCs/>
                  <w:sz w:val="16"/>
                </w:rPr>
              </w:rPrChange>
            </w:rPr>
          </w:pPr>
        </w:p>
      </w:tc>
      <w:tc>
        <w:tcPr>
          <w:tcW w:w="4111" w:type="dxa"/>
          <w:tcMar>
            <w:left w:w="567" w:type="dxa"/>
          </w:tcMar>
        </w:tcPr>
        <w:p w:rsidR="008D4228" w:rsidRPr="00184CDE" w:rsidRDefault="008D4228">
          <w:pPr>
            <w:pStyle w:val="Sidhuvud"/>
            <w:ind w:right="360"/>
            <w:rPr>
              <w:rPrChange w:id="6" w:author="Lars Brink" w:date="2025-12-17T14:07:00Z" w16du:dateUtc="2025-12-17T13:07:00Z">
                <w:rPr/>
              </w:rPrChange>
            </w:rPr>
          </w:pPr>
        </w:p>
      </w:tc>
      <w:tc>
        <w:tcPr>
          <w:tcW w:w="1525" w:type="dxa"/>
        </w:tcPr>
        <w:p w:rsidR="008D4228" w:rsidRPr="00184CDE" w:rsidRDefault="008D4228">
          <w:pPr>
            <w:pStyle w:val="Sidhuvud"/>
            <w:ind w:right="360"/>
            <w:rPr>
              <w:rPrChange w:id="7" w:author="Lars Brink" w:date="2025-12-17T14:07:00Z" w16du:dateUtc="2025-12-17T13:07:00Z">
                <w:rPr/>
              </w:rPrChange>
            </w:rPr>
          </w:pPr>
        </w:p>
      </w:tc>
    </w:tr>
  </w:tbl>
  <w:p w:rsidR="008D4228" w:rsidRPr="00184CDE" w:rsidRDefault="008D4228">
    <w:pPr>
      <w:pStyle w:val="Sidhuvud"/>
      <w:ind w:right="357" w:firstLine="357"/>
      <w:rPr>
        <w:rPrChange w:id="8" w:author="Lars Brink" w:date="2025-12-17T14:07:00Z" w16du:dateUtc="2025-12-17T13:0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228" w:rsidRPr="00184CDE" w:rsidRDefault="008D4228">
    <w:pPr>
      <w:pStyle w:val="Sidhuvud"/>
      <w:framePr w:wrap="around" w:vAnchor="text" w:hAnchor="margin" w:xAlign="right" w:y="1"/>
      <w:rPr>
        <w:rStyle w:val="Sidnummer"/>
        <w:rPrChange w:id="9" w:author="Lars Brink" w:date="2025-12-17T14:07:00Z" w16du:dateUtc="2025-12-17T13:07:00Z">
          <w:rPr>
            <w:rStyle w:val="Sidnummer"/>
          </w:rPr>
        </w:rPrChange>
      </w:rPr>
    </w:pPr>
    <w:r w:rsidRPr="00184CDE">
      <w:rPr>
        <w:rStyle w:val="Sidnummer"/>
      </w:rPr>
      <w:fldChar w:fldCharType="begin" w:fldLock="1"/>
    </w:r>
    <w:r w:rsidRPr="00184CDE">
      <w:rPr>
        <w:rStyle w:val="Sidnummer"/>
      </w:rPr>
      <w:instrText xml:space="preserve">PAGE  </w:instrText>
    </w:r>
    <w:r w:rsidRPr="00184CDE">
      <w:rPr>
        <w:rStyle w:val="Sidnummer"/>
      </w:rPr>
      <w:fldChar w:fldCharType="separate"/>
    </w:r>
    <w:r w:rsidR="00AC4D2E" w:rsidRPr="00184CDE">
      <w:rPr>
        <w:rStyle w:val="Sidnummer"/>
        <w:rPrChange w:id="10" w:author="Lars Brink" w:date="2025-12-17T14:07:00Z" w16du:dateUtc="2025-12-17T13:07:00Z">
          <w:rPr>
            <w:rStyle w:val="Sidnummer"/>
            <w:noProof/>
          </w:rPr>
        </w:rPrChange>
      </w:rPr>
      <w:t>4</w:t>
    </w:r>
    <w:r w:rsidRPr="00184CDE">
      <w:rPr>
        <w:rStyle w:val="Sidnummer"/>
        <w:rPrChange w:id="11" w:author="Lars Brink" w:date="2025-12-17T14:07:00Z" w16du:dateUtc="2025-12-17T13:07: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8D4228" w:rsidRPr="00184CDE">
      <w:tblPrEx>
        <w:tblCellMar>
          <w:top w:w="0" w:type="dxa"/>
          <w:bottom w:w="0" w:type="dxa"/>
        </w:tblCellMar>
      </w:tblPrEx>
      <w:trPr>
        <w:cantSplit/>
      </w:trPr>
      <w:tc>
        <w:tcPr>
          <w:tcW w:w="3119" w:type="dxa"/>
        </w:tcPr>
        <w:p w:rsidR="008D4228" w:rsidRPr="00184CDE" w:rsidRDefault="008D4228">
          <w:pPr>
            <w:pStyle w:val="Sidhuvud"/>
            <w:spacing w:line="200" w:lineRule="atLeast"/>
            <w:ind w:right="357"/>
            <w:rPr>
              <w:rFonts w:ascii="TradeGothic" w:hAnsi="TradeGothic"/>
              <w:b/>
              <w:bCs/>
              <w:sz w:val="16"/>
              <w:rPrChange w:id="12" w:author="Lars Brink" w:date="2025-12-17T14:07:00Z" w16du:dateUtc="2025-12-17T13:07:00Z">
                <w:rPr>
                  <w:rFonts w:ascii="TradeGothic" w:hAnsi="TradeGothic"/>
                  <w:b/>
                  <w:bCs/>
                  <w:sz w:val="16"/>
                </w:rPr>
              </w:rPrChange>
            </w:rPr>
          </w:pPr>
        </w:p>
      </w:tc>
      <w:tc>
        <w:tcPr>
          <w:tcW w:w="4111" w:type="dxa"/>
          <w:tcMar>
            <w:left w:w="567" w:type="dxa"/>
          </w:tcMar>
        </w:tcPr>
        <w:p w:rsidR="008D4228" w:rsidRPr="00184CDE" w:rsidRDefault="008D4228">
          <w:pPr>
            <w:pStyle w:val="Sidhuvud"/>
            <w:ind w:right="360"/>
            <w:rPr>
              <w:rPrChange w:id="13" w:author="Lars Brink" w:date="2025-12-17T14:07:00Z" w16du:dateUtc="2025-12-17T13:07:00Z">
                <w:rPr/>
              </w:rPrChange>
            </w:rPr>
          </w:pPr>
        </w:p>
      </w:tc>
      <w:tc>
        <w:tcPr>
          <w:tcW w:w="1525" w:type="dxa"/>
        </w:tcPr>
        <w:p w:rsidR="008D4228" w:rsidRPr="00184CDE" w:rsidRDefault="008D4228">
          <w:pPr>
            <w:pStyle w:val="Sidhuvud"/>
            <w:ind w:right="360"/>
            <w:rPr>
              <w:rPrChange w:id="14" w:author="Lars Brink" w:date="2025-12-17T14:07:00Z" w16du:dateUtc="2025-12-17T13:07:00Z">
                <w:rPr/>
              </w:rPrChange>
            </w:rPr>
          </w:pPr>
        </w:p>
      </w:tc>
    </w:tr>
  </w:tbl>
  <w:p w:rsidR="008D4228" w:rsidRPr="00184CDE" w:rsidRDefault="008D4228">
    <w:pPr>
      <w:pStyle w:val="Sidhuvud"/>
      <w:ind w:right="357" w:firstLine="357"/>
      <w:rPr>
        <w:rPrChange w:id="15" w:author="Lars Brink" w:date="2025-12-17T14:07:00Z" w16du:dateUtc="2025-12-17T13:0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228" w:rsidRPr="00184CDE" w:rsidRDefault="00184CDE">
    <w:pPr>
      <w:framePr w:w="2948" w:h="1321" w:hRule="exact" w:wrap="notBeside" w:vAnchor="page" w:hAnchor="page" w:x="1362" w:y="653"/>
    </w:pPr>
    <w:r w:rsidRPr="00184CD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D4228" w:rsidRPr="00184CDE" w:rsidRDefault="008D4228">
    <w:pPr>
      <w:pStyle w:val="RKrubrik"/>
      <w:keepNext w:val="0"/>
      <w:tabs>
        <w:tab w:val="clear" w:pos="1134"/>
        <w:tab w:val="clear" w:pos="2835"/>
      </w:tabs>
      <w:spacing w:before="0" w:after="0" w:line="320" w:lineRule="atLeast"/>
      <w:rPr>
        <w:bCs/>
      </w:rPr>
    </w:pPr>
  </w:p>
  <w:p w:rsidR="008D4228" w:rsidRPr="00184CDE" w:rsidRDefault="008D4228">
    <w:pPr>
      <w:rPr>
        <w:rFonts w:ascii="TradeGothic" w:hAnsi="TradeGothic"/>
        <w:b/>
        <w:bCs/>
        <w:spacing w:val="12"/>
        <w:sz w:val="22"/>
      </w:rPr>
    </w:pPr>
  </w:p>
  <w:p w:rsidR="008D4228" w:rsidRPr="00184CDE" w:rsidRDefault="008D4228">
    <w:pPr>
      <w:pStyle w:val="RKrubrik"/>
      <w:keepNext w:val="0"/>
      <w:tabs>
        <w:tab w:val="clear" w:pos="1134"/>
        <w:tab w:val="clear" w:pos="2835"/>
      </w:tabs>
      <w:spacing w:before="0" w:after="0" w:line="320" w:lineRule="atLeast"/>
      <w:rPr>
        <w:bCs/>
      </w:rPr>
    </w:pPr>
  </w:p>
  <w:p w:rsidR="008D4228" w:rsidRPr="00184CDE" w:rsidRDefault="008D4228">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20"/>
    <w:rsid w:val="00025C2A"/>
    <w:rsid w:val="00054B0D"/>
    <w:rsid w:val="00164DF3"/>
    <w:rsid w:val="00184CDE"/>
    <w:rsid w:val="001C1E57"/>
    <w:rsid w:val="001D1C98"/>
    <w:rsid w:val="001E45A2"/>
    <w:rsid w:val="00264DFB"/>
    <w:rsid w:val="00292038"/>
    <w:rsid w:val="002C635F"/>
    <w:rsid w:val="00327009"/>
    <w:rsid w:val="0035730C"/>
    <w:rsid w:val="00400249"/>
    <w:rsid w:val="004B545A"/>
    <w:rsid w:val="0051493C"/>
    <w:rsid w:val="00555E9E"/>
    <w:rsid w:val="005D2E66"/>
    <w:rsid w:val="006A1369"/>
    <w:rsid w:val="006C67DF"/>
    <w:rsid w:val="00777E8D"/>
    <w:rsid w:val="007A5D2E"/>
    <w:rsid w:val="007F067D"/>
    <w:rsid w:val="008556A6"/>
    <w:rsid w:val="008D4228"/>
    <w:rsid w:val="008F12FC"/>
    <w:rsid w:val="009677BC"/>
    <w:rsid w:val="00AB72A3"/>
    <w:rsid w:val="00AC4D2E"/>
    <w:rsid w:val="00B04735"/>
    <w:rsid w:val="00B1706E"/>
    <w:rsid w:val="00B71F20"/>
    <w:rsid w:val="00C238EE"/>
    <w:rsid w:val="00C73C1D"/>
    <w:rsid w:val="00C81593"/>
    <w:rsid w:val="00C87B4A"/>
    <w:rsid w:val="00CC4861"/>
    <w:rsid w:val="00E96474"/>
    <w:rsid w:val="00F856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A16C8-9C72-4C6C-8AAA-E9D0BBF9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F20"/>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B71F2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B71F20"/>
    <w:pPr>
      <w:tabs>
        <w:tab w:val="center" w:pos="4153"/>
        <w:tab w:val="right" w:pos="8306"/>
      </w:tabs>
    </w:pPr>
  </w:style>
  <w:style w:type="paragraph" w:customStyle="1" w:styleId="RKnormal">
    <w:name w:val="RKnormal"/>
    <w:basedOn w:val="Normal"/>
    <w:link w:val="RKnormalChar"/>
    <w:rsid w:val="00B71F20"/>
    <w:pPr>
      <w:tabs>
        <w:tab w:val="left" w:pos="2835"/>
      </w:tabs>
      <w:spacing w:line="240" w:lineRule="atLeast"/>
    </w:pPr>
  </w:style>
  <w:style w:type="paragraph" w:customStyle="1" w:styleId="RKrubrik">
    <w:name w:val="RKrubrik"/>
    <w:basedOn w:val="RKnormal"/>
    <w:next w:val="RKnormal"/>
    <w:rsid w:val="00B71F20"/>
    <w:pPr>
      <w:keepNext/>
      <w:tabs>
        <w:tab w:val="left" w:pos="1134"/>
      </w:tabs>
      <w:spacing w:before="360" w:after="120"/>
    </w:pPr>
    <w:rPr>
      <w:rFonts w:ascii="TradeGothic" w:hAnsi="TradeGothic"/>
      <w:b/>
      <w:sz w:val="22"/>
    </w:rPr>
  </w:style>
  <w:style w:type="character" w:styleId="Sidnummer">
    <w:name w:val="page number"/>
    <w:basedOn w:val="Standardstycketeckensnitt"/>
    <w:rsid w:val="00B71F20"/>
  </w:style>
  <w:style w:type="character" w:customStyle="1" w:styleId="RKnormalChar">
    <w:name w:val="RKnormal Char"/>
    <w:basedOn w:val="Standardstycketeckensnitt"/>
    <w:link w:val="RKnormal"/>
    <w:rsid w:val="00B71F20"/>
    <w:rPr>
      <w:rFonts w:ascii="OrigGarmnd BT" w:hAnsi="OrigGarmnd BT"/>
      <w:sz w:val="24"/>
      <w:lang w:val="sv-SE" w:eastAsia="en-US" w:bidi="ar-SA"/>
    </w:rPr>
  </w:style>
  <w:style w:type="paragraph" w:styleId="Ballongtext">
    <w:name w:val="Balloon Text"/>
    <w:basedOn w:val="Normal"/>
    <w:semiHidden/>
    <w:rsid w:val="006A1369"/>
    <w:rPr>
      <w:rFonts w:ascii="Tahoma" w:hAnsi="Tahoma" w:cs="Tahoma"/>
      <w:sz w:val="16"/>
      <w:szCs w:val="16"/>
    </w:rPr>
  </w:style>
  <w:style w:type="paragraph" w:styleId="Revision">
    <w:name w:val="Revision"/>
    <w:hidden/>
    <w:uiPriority w:val="99"/>
    <w:semiHidden/>
    <w:rsid w:val="00184CDE"/>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6713</Characters>
  <Application>Microsoft Office Word</Application>
  <DocSecurity>4</DocSecurity>
  <Lines>181</Lines>
  <Paragraphs>42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dcterms:created xsi:type="dcterms:W3CDTF">2025-12-17T13:07:00Z</dcterms:created>
  <dcterms:modified xsi:type="dcterms:W3CDTF">2025-12-17T13:07:00Z</dcterms:modified>
</cp:coreProperties>
</file>