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57A" w:rsidRPr="00794B0F" w:rsidRDefault="00E7057A" w:rsidP="0043190E">
      <w:pPr>
        <w:pStyle w:val="Hemstlrubrik"/>
      </w:pPr>
      <w:r w:rsidRPr="00794B0F">
        <w:t>Förslag till riksdagsbeslut</w:t>
      </w:r>
    </w:p>
    <w:p w:rsidR="00E7057A" w:rsidRPr="00794B0F" w:rsidRDefault="00E7057A" w:rsidP="00E7057A">
      <w:pPr>
        <w:pStyle w:val="Hemstlatt"/>
      </w:pPr>
      <w:r w:rsidRPr="00794B0F">
        <w:t>Riksdagen tillkännager för regeringen som sin mening vad i motionen anförs om en skyndsam återgång till tidigare lagreglering om förmånsrätt för företagsinteckningshavare.</w:t>
      </w:r>
    </w:p>
    <w:p w:rsidR="00E7057A" w:rsidRPr="00794B0F" w:rsidRDefault="00E7057A" w:rsidP="00E7057A">
      <w:pPr>
        <w:pStyle w:val="Rubrik1"/>
      </w:pPr>
      <w:r w:rsidRPr="00794B0F">
        <w:t>Motivering</w:t>
      </w:r>
    </w:p>
    <w:p w:rsidR="00E7057A" w:rsidRPr="00794B0F" w:rsidRDefault="00E7057A" w:rsidP="0043190E">
      <w:r w:rsidRPr="00794B0F">
        <w:t>De nya reglerna om förändrad förmånsrätt för innehavarna av företagsintec</w:t>
      </w:r>
      <w:r w:rsidRPr="00794B0F">
        <w:t>k</w:t>
      </w:r>
      <w:r w:rsidRPr="00794B0F">
        <w:t>ning (oftast bankerna) har varit ikraft sedan den 1 januari 2005. Förän</w:t>
      </w:r>
      <w:r w:rsidRPr="00794B0F">
        <w:t>d</w:t>
      </w:r>
      <w:r w:rsidRPr="00794B0F">
        <w:t>ringen innebar en försämring för inteckningshavarna genom att underlaget för utde</w:t>
      </w:r>
      <w:r w:rsidRPr="00794B0F">
        <w:t>l</w:t>
      </w:r>
      <w:r w:rsidRPr="00794B0F">
        <w:t>ning minskades från 100 till 55 procent av inteckningens värde.</w:t>
      </w:r>
    </w:p>
    <w:p w:rsidR="00E7057A" w:rsidRPr="00794B0F" w:rsidRDefault="00E7057A" w:rsidP="00E7057A">
      <w:pPr>
        <w:pStyle w:val="Normaltindrag"/>
      </w:pPr>
      <w:r w:rsidRPr="00794B0F">
        <w:t>Redan när lagänd</w:t>
      </w:r>
      <w:r w:rsidR="0043190E" w:rsidRPr="00794B0F">
        <w:t>ringarna antogs uttalades inom r</w:t>
      </w:r>
      <w:r w:rsidRPr="00794B0F">
        <w:t>iksdagen stark oro för att förändringen skulle medföra försämringar av kreditmöjligheterna för de mindre företagen, särskilt för småföretag i glesbygd. Riksdagen beställde därför en snabb utvärdering av de nya reglerna av regeringen. Uppdraget att utvärdera gavs åt Institutet för tillväxtpolitiska studier (ITPS), som nu lämnat en delrapport. Den utvisar med önskvärd tydlighet att oron var berättigad.</w:t>
      </w:r>
    </w:p>
    <w:p w:rsidR="00E7057A" w:rsidRPr="00794B0F" w:rsidRDefault="00E7057A" w:rsidP="00E7057A">
      <w:pPr>
        <w:pStyle w:val="Normaltindrag"/>
      </w:pPr>
      <w:r w:rsidRPr="00794B0F">
        <w:t>Av institutets enkätsundersökning framgår bl.a. att 16 procent av de tillfr</w:t>
      </w:r>
      <w:r w:rsidRPr="00794B0F">
        <w:t>å</w:t>
      </w:r>
      <w:r w:rsidRPr="00794B0F">
        <w:t>gade företagen fått krediterna omprövade under 2004/05 med krav på ökade säkerheter och/eller kapitalinsatser, vilket är tre gånger mer än vanligt. And</w:t>
      </w:r>
      <w:r w:rsidRPr="00794B0F">
        <w:t>e</w:t>
      </w:r>
      <w:r w:rsidRPr="00794B0F">
        <w:t>len är signifikant högre för tillverkningsföretag. Av de företag som fått sina krediter omprövade uppgav 37 procent att de hade ökat sitt risktagande g</w:t>
      </w:r>
      <w:r w:rsidRPr="00794B0F">
        <w:t>e</w:t>
      </w:r>
      <w:r w:rsidRPr="00794B0F">
        <w:t>nom borgen eller privata pantsättningar. Detta gällde särskilt för de mindre företagen (5</w:t>
      </w:r>
      <w:r w:rsidR="0043190E" w:rsidRPr="00794B0F">
        <w:t>–</w:t>
      </w:r>
      <w:r w:rsidRPr="00794B0F">
        <w:t>19 anställda). Erbjudanden om factoring och leasing hade getts till 27 procent av företagen, dock i betydligt mindre grad till de minsta bol</w:t>
      </w:r>
      <w:r w:rsidRPr="00794B0F">
        <w:t>a</w:t>
      </w:r>
      <w:r w:rsidRPr="00794B0F">
        <w:t>gen, som alltså även i detta avseende hamnat i strykklass. Ungefär hälften av de företag som fått sina krediter omprövade uppgav att tillväxtmöjligheterna försämrats som en följd av lagändringarna.</w:t>
      </w:r>
    </w:p>
    <w:p w:rsidR="00E7057A" w:rsidRPr="00794B0F" w:rsidRDefault="00E7057A" w:rsidP="00E7057A">
      <w:pPr>
        <w:pStyle w:val="Normaltindrag"/>
      </w:pPr>
      <w:r w:rsidRPr="00794B0F">
        <w:t>Att utfallet för de mindre företagen av reformen har varit negativt bestyrks av andra undersökningar – bl.a. av Svenskt Näringsliv och av Bankföreningen – och av krafti</w:t>
      </w:r>
      <w:r w:rsidR="0043190E" w:rsidRPr="00794B0F">
        <w:t>ga opinionsyttringar i massmedierna</w:t>
      </w:r>
      <w:r w:rsidRPr="00794B0F">
        <w:t xml:space="preserve"> av företrädare för dessa </w:t>
      </w:r>
      <w:r w:rsidRPr="00794B0F">
        <w:lastRenderedPageBreak/>
        <w:t>företag. Bankerna har uppgivit t.ex. att de har måst sänka belåningsgraderna för lån mot företagsinteckning ungefär i paritet med det försämrade säke</w:t>
      </w:r>
      <w:r w:rsidRPr="00794B0F">
        <w:t>r</w:t>
      </w:r>
      <w:r w:rsidRPr="00794B0F">
        <w:t>hetsvärdet. Det är uppenbart att detta slår hårt mot de företag som har få eller inga andra säkerheter att erbjuda.</w:t>
      </w:r>
    </w:p>
    <w:p w:rsidR="00E7057A" w:rsidRPr="00794B0F" w:rsidRDefault="00E7057A" w:rsidP="00E7057A">
      <w:pPr>
        <w:pStyle w:val="Normaltindrag"/>
      </w:pPr>
      <w:r w:rsidRPr="00794B0F">
        <w:t>Från regeringshåll har antytts att någon omprövning av de nya reglerna inte kan bli aktuell förrän ITPS har lämnat sin slutrapport i december 2007.</w:t>
      </w:r>
    </w:p>
    <w:p w:rsidR="00E7057A" w:rsidRPr="00794B0F" w:rsidRDefault="00E7057A" w:rsidP="00E7057A">
      <w:pPr>
        <w:pStyle w:val="Normaltindrag"/>
      </w:pPr>
      <w:r w:rsidRPr="00794B0F">
        <w:t>Sveriges framtid hänger på att de små företagen utvecklas positivt och att de kan bidra till den ekonomiska tillväxten i landet. Det är då helt kontrapr</w:t>
      </w:r>
      <w:r w:rsidRPr="00794B0F">
        <w:t>o</w:t>
      </w:r>
      <w:r w:rsidRPr="00794B0F">
        <w:t>duktivt att, som skett, införa regler om förmånsrätt som försämrar dessa för</w:t>
      </w:r>
      <w:r w:rsidRPr="00794B0F">
        <w:t>e</w:t>
      </w:r>
      <w:r w:rsidRPr="00794B0F">
        <w:t>t</w:t>
      </w:r>
      <w:r w:rsidR="0043190E" w:rsidRPr="00794B0F">
        <w:t>ags möjligheter att verka. ITPS</w:t>
      </w:r>
      <w:r w:rsidRPr="00794B0F">
        <w:t xml:space="preserve"> slutsats är att den mest naturliga åtgärden för att eliminera de negativa verkningarna av reformen är ett skyndsamt återstä</w:t>
      </w:r>
      <w:r w:rsidRPr="00794B0F">
        <w:t>l</w:t>
      </w:r>
      <w:r w:rsidRPr="00794B0F">
        <w:t>lande av säkerhetsunderlaget från 55 till 100 procent. En sådan ändring är synnerligen angelägen. Kreditförsörjningen är en så viktig del i ett företags verksamhet att det inte heller f</w:t>
      </w:r>
      <w:r w:rsidR="0043190E" w:rsidRPr="00794B0F">
        <w:t>inns anledning att avvakta ITPS</w:t>
      </w:r>
      <w:r w:rsidRPr="00794B0F">
        <w:t xml:space="preserve"> slutrapport innan rättelse vidtas, särskilt som den rapporten främst skall avse andra frågor än kreditförsörjningen.</w:t>
      </w:r>
    </w:p>
    <w:p w:rsidR="00E7057A" w:rsidRPr="00794B0F" w:rsidRDefault="00E7057A" w:rsidP="00E7057A">
      <w:pPr>
        <w:pStyle w:val="Normaltindrag"/>
      </w:pPr>
      <w:r w:rsidRPr="00794B0F">
        <w:t>Sammanfattningsvis anser vi att säkerhetsunderlaget för innehavarna av företagsinteckning bör höjas från 55 till 100 procent av inteckningens värde och att en sådan förändring bör genomföras skyndsamt.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3190E" w:rsidRPr="00794B0F">
        <w:tblPrEx>
          <w:tblCellMar>
            <w:top w:w="0" w:type="dxa"/>
            <w:bottom w:w="0" w:type="dxa"/>
          </w:tblCellMar>
        </w:tblPrEx>
        <w:trPr>
          <w:cantSplit/>
        </w:trPr>
        <w:tc>
          <w:tcPr>
            <w:tcW w:w="3046" w:type="dxa"/>
          </w:tcPr>
          <w:p w:rsidR="0043190E" w:rsidRPr="00794B0F" w:rsidRDefault="0043190E" w:rsidP="0043190E">
            <w:pPr>
              <w:pStyle w:val="UnderskriftDatum"/>
              <w:spacing w:before="240"/>
            </w:pPr>
            <w:r w:rsidRPr="00794B0F">
              <w:t>Stockholm den 29 september 2005</w:t>
            </w:r>
          </w:p>
        </w:tc>
        <w:tc>
          <w:tcPr>
            <w:tcW w:w="3047" w:type="dxa"/>
          </w:tcPr>
          <w:p w:rsidR="0043190E" w:rsidRPr="00794B0F" w:rsidRDefault="0043190E" w:rsidP="0043190E">
            <w:pPr>
              <w:pStyle w:val="Underskrifter"/>
              <w:spacing w:before="240"/>
            </w:pPr>
          </w:p>
        </w:tc>
      </w:tr>
      <w:tr w:rsidR="0043190E" w:rsidRPr="00794B0F">
        <w:tblPrEx>
          <w:tblCellMar>
            <w:top w:w="0" w:type="dxa"/>
            <w:bottom w:w="0" w:type="dxa"/>
          </w:tblCellMar>
        </w:tblPrEx>
        <w:trPr>
          <w:cantSplit/>
        </w:trPr>
        <w:tc>
          <w:tcPr>
            <w:tcW w:w="3046" w:type="dxa"/>
          </w:tcPr>
          <w:p w:rsidR="0043190E" w:rsidRPr="00794B0F" w:rsidRDefault="0043190E" w:rsidP="0043190E">
            <w:pPr>
              <w:pStyle w:val="Underskrifter"/>
            </w:pPr>
            <w:r w:rsidRPr="00794B0F">
              <w:t>Patrik Norinder (m)</w:t>
            </w:r>
          </w:p>
        </w:tc>
        <w:tc>
          <w:tcPr>
            <w:tcW w:w="3047" w:type="dxa"/>
          </w:tcPr>
          <w:p w:rsidR="0043190E" w:rsidRPr="00794B0F" w:rsidRDefault="0043190E" w:rsidP="0043190E">
            <w:pPr>
              <w:pStyle w:val="Underskrifter"/>
            </w:pPr>
            <w:r w:rsidRPr="00794B0F">
              <w:t>Anne-Marie Pålsson (m)</w:t>
            </w:r>
          </w:p>
        </w:tc>
      </w:tr>
    </w:tbl>
    <w:p w:rsidR="00E7057A" w:rsidRPr="00794B0F" w:rsidRDefault="00E7057A" w:rsidP="0043190E">
      <w:pPr>
        <w:pStyle w:val="Normaltindrag"/>
      </w:pPr>
    </w:p>
    <w:sectPr w:rsidR="00E7057A" w:rsidRPr="00794B0F" w:rsidSect="004319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39CE" w:rsidRPr="00794B0F" w:rsidRDefault="005739CE">
      <w:r w:rsidRPr="00794B0F">
        <w:separator/>
      </w:r>
    </w:p>
  </w:endnote>
  <w:endnote w:type="continuationSeparator" w:id="0">
    <w:p w:rsidR="005739CE" w:rsidRPr="00794B0F" w:rsidRDefault="005739CE">
      <w:r w:rsidRPr="00794B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965" w:rsidRPr="00794B0F" w:rsidRDefault="00794B0F" w:rsidP="0043190E">
    <w:pPr>
      <w:pStyle w:val="Sidfot"/>
    </w:pPr>
    <w:r w:rsidRPr="00794B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9554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965" w:rsidRDefault="00335965">
                          <w:pPr>
                            <w:pStyle w:val="NormalS5sidnrV"/>
                          </w:pPr>
                          <w:r>
                            <w:fldChar w:fldCharType="begin"/>
                          </w:r>
                          <w:r>
                            <w:instrText xml:space="preserve"> PAGE *\charformat</w:instrText>
                          </w:r>
                          <w:r>
                            <w:fldChar w:fldCharType="separate"/>
                          </w:r>
                          <w:r w:rsidR="00616BB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5965" w:rsidRDefault="00335965">
                    <w:pPr>
                      <w:pStyle w:val="NormalS5sidnrV"/>
                    </w:pPr>
                    <w:r>
                      <w:fldChar w:fldCharType="begin"/>
                    </w:r>
                    <w:r>
                      <w:instrText xml:space="preserve"> PAGE *\charformat</w:instrText>
                    </w:r>
                    <w:r>
                      <w:fldChar w:fldCharType="separate"/>
                    </w:r>
                    <w:r w:rsidR="00616BB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965" w:rsidRPr="00794B0F" w:rsidRDefault="00794B0F" w:rsidP="0043190E">
    <w:pPr>
      <w:pStyle w:val="Sidfot"/>
    </w:pPr>
    <w:r w:rsidRPr="00794B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8927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965" w:rsidRDefault="0033596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5965" w:rsidRDefault="0033596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965" w:rsidRPr="00794B0F" w:rsidRDefault="00794B0F" w:rsidP="0043190E">
    <w:pPr>
      <w:pStyle w:val="Sidfot"/>
    </w:pPr>
    <w:r w:rsidRPr="00794B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645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965" w:rsidRDefault="00335965">
                          <w:pPr>
                            <w:pStyle w:val="NormalS5sidnrH"/>
                            <w:ind w:right="0"/>
                          </w:pPr>
                          <w:r>
                            <w:fldChar w:fldCharType="begin"/>
                          </w:r>
                          <w:r>
                            <w:instrText xml:space="preserve"> PAGE *\charformat</w:instrText>
                          </w:r>
                          <w:r>
                            <w:fldChar w:fldCharType="separate"/>
                          </w:r>
                          <w:r w:rsidR="00616B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5965" w:rsidRDefault="00335965">
                    <w:pPr>
                      <w:pStyle w:val="NormalS5sidnrH"/>
                      <w:ind w:right="0"/>
                    </w:pPr>
                    <w:r>
                      <w:fldChar w:fldCharType="begin"/>
                    </w:r>
                    <w:r>
                      <w:instrText xml:space="preserve"> PAGE *\charformat</w:instrText>
                    </w:r>
                    <w:r>
                      <w:fldChar w:fldCharType="separate"/>
                    </w:r>
                    <w:r w:rsidR="00616BB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39CE" w:rsidRPr="00794B0F" w:rsidRDefault="005739CE">
      <w:r w:rsidRPr="00794B0F">
        <w:separator/>
      </w:r>
    </w:p>
  </w:footnote>
  <w:footnote w:type="continuationSeparator" w:id="0">
    <w:p w:rsidR="005739CE" w:rsidRPr="00794B0F" w:rsidRDefault="005739CE">
      <w:r w:rsidRPr="00794B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965" w:rsidRPr="00794B0F" w:rsidRDefault="00794B0F" w:rsidP="0043190E">
    <w:pPr>
      <w:pStyle w:val="Sidhuvud"/>
    </w:pPr>
    <w:r w:rsidRPr="00794B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7964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965" w:rsidRDefault="0033596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5965" w:rsidRDefault="0033596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965" w:rsidRPr="00794B0F" w:rsidRDefault="00794B0F" w:rsidP="0043190E">
    <w:pPr>
      <w:pStyle w:val="Sidhuvud"/>
    </w:pPr>
    <w:r w:rsidRPr="00794B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49024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965" w:rsidRDefault="0033596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5965" w:rsidRDefault="0033596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965" w:rsidRPr="00794B0F" w:rsidRDefault="00335965">
    <w:pPr>
      <w:pStyle w:val="FSHNormal"/>
      <w:tabs>
        <w:tab w:val="right" w:pos="5840"/>
      </w:tabs>
    </w:pPr>
    <w:r w:rsidRPr="00794B0F">
      <w:br/>
    </w:r>
    <w:r w:rsidRPr="00794B0F">
      <w:fldChar w:fldCharType="begin" w:fldLock="1"/>
    </w:r>
    <w:r w:rsidRPr="00794B0F">
      <w:instrText xml:space="preserve"> DOCPROPERTY</w:instrText>
    </w:r>
    <w:r w:rsidRPr="00794B0F">
      <w:rPr>
        <w:sz w:val="18"/>
      </w:rPr>
      <w:instrText xml:space="preserve"> "YearUser" *\charformat </w:instrText>
    </w:r>
    <w:r w:rsidRPr="00794B0F">
      <w:fldChar w:fldCharType="separate"/>
    </w:r>
    <w:r w:rsidRPr="00794B0F">
      <w:t>2005/06</w:t>
    </w:r>
    <w:r w:rsidRPr="00794B0F">
      <w:fldChar w:fldCharType="end"/>
    </w:r>
    <w:r w:rsidRPr="00794B0F">
      <w:t xml:space="preserve"> </w:t>
    </w:r>
    <w:r w:rsidRPr="00794B0F">
      <w:tab/>
      <w:t xml:space="preserve">mnr: </w:t>
    </w:r>
    <w:r w:rsidRPr="00794B0F">
      <w:fldChar w:fldCharType="begin" w:fldLock="1"/>
    </w:r>
    <w:r w:rsidRPr="00794B0F">
      <w:instrText xml:space="preserve"> DOCPROPERTY</w:instrText>
    </w:r>
    <w:r w:rsidRPr="00794B0F">
      <w:rPr>
        <w:sz w:val="18"/>
      </w:rPr>
      <w:instrText xml:space="preserve"> "Motionsnummer" *\charformat </w:instrText>
    </w:r>
    <w:r w:rsidRPr="00794B0F">
      <w:fldChar w:fldCharType="separate"/>
    </w:r>
    <w:r w:rsidRPr="00794B0F">
      <w:t>L269</w:t>
    </w:r>
    <w:r w:rsidRPr="00794B0F">
      <w:fldChar w:fldCharType="end"/>
    </w:r>
    <w:r w:rsidRPr="00794B0F">
      <w:br/>
    </w:r>
    <w:r w:rsidRPr="00794B0F">
      <w:fldChar w:fldCharType="begin" w:fldLock="1"/>
    </w:r>
    <w:r w:rsidRPr="00794B0F">
      <w:instrText xml:space="preserve"> DOCPROPERTY</w:instrText>
    </w:r>
    <w:r w:rsidRPr="00794B0F">
      <w:rPr>
        <w:sz w:val="18"/>
      </w:rPr>
      <w:instrText xml:space="preserve"> "Samling" *\charformat </w:instrText>
    </w:r>
    <w:r w:rsidRPr="00794B0F">
      <w:fldChar w:fldCharType="end"/>
    </w:r>
    <w:r w:rsidRPr="00794B0F">
      <w:tab/>
      <w:t xml:space="preserve">pnr: </w:t>
    </w:r>
    <w:r w:rsidRPr="00794B0F">
      <w:fldChar w:fldCharType="begin" w:fldLock="1"/>
    </w:r>
    <w:r w:rsidRPr="00794B0F">
      <w:instrText xml:space="preserve"> DOCPROPERTY</w:instrText>
    </w:r>
    <w:r w:rsidRPr="00794B0F">
      <w:rPr>
        <w:sz w:val="18"/>
      </w:rPr>
      <w:instrText xml:space="preserve"> "Partinummer" *\charformat </w:instrText>
    </w:r>
    <w:r w:rsidRPr="00794B0F">
      <w:fldChar w:fldCharType="separate"/>
    </w:r>
    <w:r w:rsidRPr="00794B0F">
      <w:t>m1482</w:t>
    </w:r>
    <w:r w:rsidRPr="00794B0F">
      <w:fldChar w:fldCharType="end"/>
    </w:r>
  </w:p>
  <w:p w:rsidR="00335965" w:rsidRPr="00794B0F" w:rsidRDefault="00335965">
    <w:pPr>
      <w:pStyle w:val="FSHRub1"/>
    </w:pPr>
    <w:r w:rsidRPr="00794B0F">
      <w:t>Motion till riksdagen</w:t>
    </w:r>
    <w:r w:rsidRPr="00794B0F">
      <w:br/>
    </w:r>
    <w:r w:rsidRPr="00794B0F">
      <w:fldChar w:fldCharType="begin" w:fldLock="1"/>
    </w:r>
    <w:r w:rsidRPr="00794B0F">
      <w:instrText xml:space="preserve"> DOCPROPERTY "YearUser" *\charformat </w:instrText>
    </w:r>
    <w:r w:rsidRPr="00794B0F">
      <w:fldChar w:fldCharType="separate"/>
    </w:r>
    <w:r w:rsidRPr="00794B0F">
      <w:t>2005/06</w:t>
    </w:r>
    <w:r w:rsidRPr="00794B0F">
      <w:fldChar w:fldCharType="end"/>
    </w:r>
    <w:r w:rsidRPr="00794B0F">
      <w:t>:</w:t>
    </w:r>
    <w:r w:rsidRPr="00794B0F">
      <w:fldChar w:fldCharType="begin" w:fldLock="1"/>
    </w:r>
    <w:r w:rsidRPr="00794B0F">
      <w:instrText xml:space="preserve"> DOCPROPERTY "Motionsnummer" *\charformat </w:instrText>
    </w:r>
    <w:r w:rsidRPr="00794B0F">
      <w:fldChar w:fldCharType="separate"/>
    </w:r>
    <w:r w:rsidRPr="00794B0F">
      <w:t>L269</w:t>
    </w:r>
    <w:r w:rsidRPr="00794B0F">
      <w:fldChar w:fldCharType="end"/>
    </w:r>
  </w:p>
  <w:p w:rsidR="00335965" w:rsidRPr="00794B0F" w:rsidRDefault="00335965">
    <w:pPr>
      <w:pStyle w:val="FSHNormalS5"/>
    </w:pPr>
    <w:r w:rsidRPr="00794B0F">
      <w:fldChar w:fldCharType="begin" w:fldLock="1"/>
    </w:r>
    <w:r w:rsidRPr="00794B0F">
      <w:instrText xml:space="preserve"> DOCPROPERTY "MotionarText" *\charformat </w:instrText>
    </w:r>
    <w:r w:rsidRPr="00794B0F">
      <w:fldChar w:fldCharType="separate"/>
    </w:r>
    <w:r w:rsidRPr="00794B0F">
      <w:t>av Patrik Norinder och Anne-Marie Pålsson (m)</w:t>
    </w:r>
    <w:r w:rsidRPr="00794B0F">
      <w:fldChar w:fldCharType="end"/>
    </w:r>
    <w:r w:rsidRPr="00794B0F">
      <w:br/>
    </w:r>
    <w:r w:rsidRPr="00794B0F">
      <w:fldChar w:fldCharType="begin" w:fldLock="1"/>
    </w:r>
    <w:r w:rsidRPr="00794B0F">
      <w:instrText xml:space="preserve"> DOCPROPERTY "SvarFrasKort" *\charformat </w:instrText>
    </w:r>
    <w:r w:rsidRPr="00794B0F">
      <w:fldChar w:fldCharType="end"/>
    </w:r>
  </w:p>
  <w:p w:rsidR="00335965" w:rsidRPr="00794B0F" w:rsidRDefault="00335965">
    <w:pPr>
      <w:pStyle w:val="FSHTitel"/>
    </w:pPr>
    <w:r w:rsidRPr="00794B0F">
      <w:fldChar w:fldCharType="begin" w:fldLock="1"/>
    </w:r>
    <w:r w:rsidRPr="00794B0F">
      <w:instrText xml:space="preserve"> DOCPROPERTY</w:instrText>
    </w:r>
    <w:r w:rsidRPr="00794B0F">
      <w:rPr>
        <w:sz w:val="18"/>
      </w:rPr>
      <w:instrText xml:space="preserve"> "RubrikSvar" *\charformat </w:instrText>
    </w:r>
    <w:r w:rsidRPr="00794B0F">
      <w:fldChar w:fldCharType="separate"/>
    </w:r>
    <w:r w:rsidRPr="00794B0F">
      <w:t>Förmånsrättslagen</w:t>
    </w:r>
    <w:r w:rsidRPr="00794B0F">
      <w:fldChar w:fldCharType="end"/>
    </w:r>
  </w:p>
  <w:p w:rsidR="00335965" w:rsidRPr="00794B0F" w:rsidRDefault="00335965" w:rsidP="0043190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36515A"/>
    <w:multiLevelType w:val="multilevel"/>
    <w:tmpl w:val="E36644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53A0B57"/>
    <w:multiLevelType w:val="hybridMultilevel"/>
    <w:tmpl w:val="5CA0DDD0"/>
    <w:lvl w:ilvl="0" w:tplc="B0820AF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9341605">
    <w:abstractNumId w:val="14"/>
  </w:num>
  <w:num w:numId="2" w16cid:durableId="803543224">
    <w:abstractNumId w:val="10"/>
  </w:num>
  <w:num w:numId="3" w16cid:durableId="1974552371">
    <w:abstractNumId w:val="12"/>
  </w:num>
  <w:num w:numId="4" w16cid:durableId="598952020">
    <w:abstractNumId w:val="13"/>
  </w:num>
  <w:num w:numId="5" w16cid:durableId="256792778">
    <w:abstractNumId w:val="8"/>
  </w:num>
  <w:num w:numId="6" w16cid:durableId="2067531749">
    <w:abstractNumId w:val="3"/>
  </w:num>
  <w:num w:numId="7" w16cid:durableId="232159992">
    <w:abstractNumId w:val="2"/>
  </w:num>
  <w:num w:numId="8" w16cid:durableId="1033850106">
    <w:abstractNumId w:val="1"/>
  </w:num>
  <w:num w:numId="9" w16cid:durableId="1681659862">
    <w:abstractNumId w:val="0"/>
  </w:num>
  <w:num w:numId="10" w16cid:durableId="373314100">
    <w:abstractNumId w:val="9"/>
  </w:num>
  <w:num w:numId="11" w16cid:durableId="1643316101">
    <w:abstractNumId w:val="7"/>
  </w:num>
  <w:num w:numId="12" w16cid:durableId="776485849">
    <w:abstractNumId w:val="6"/>
  </w:num>
  <w:num w:numId="13" w16cid:durableId="747769728">
    <w:abstractNumId w:val="5"/>
  </w:num>
  <w:num w:numId="14" w16cid:durableId="1254119732">
    <w:abstractNumId w:val="4"/>
  </w:num>
  <w:num w:numId="15" w16cid:durableId="1463111159">
    <w:abstractNumId w:val="15"/>
  </w:num>
  <w:num w:numId="16" w16cid:durableId="13297474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3"/>
  </w:docVars>
  <w:rsids>
    <w:rsidRoot w:val="00E7057A"/>
    <w:rsid w:val="0004381F"/>
    <w:rsid w:val="00064BC3"/>
    <w:rsid w:val="00066775"/>
    <w:rsid w:val="00072FB9"/>
    <w:rsid w:val="00100531"/>
    <w:rsid w:val="001D5002"/>
    <w:rsid w:val="00201DFB"/>
    <w:rsid w:val="00204A63"/>
    <w:rsid w:val="00212FF1"/>
    <w:rsid w:val="00230193"/>
    <w:rsid w:val="0025068A"/>
    <w:rsid w:val="002818D3"/>
    <w:rsid w:val="002D11A8"/>
    <w:rsid w:val="00335965"/>
    <w:rsid w:val="0043190E"/>
    <w:rsid w:val="00445271"/>
    <w:rsid w:val="004A0504"/>
    <w:rsid w:val="004E38D9"/>
    <w:rsid w:val="005739CE"/>
    <w:rsid w:val="005B145B"/>
    <w:rsid w:val="00616BB1"/>
    <w:rsid w:val="00740D6D"/>
    <w:rsid w:val="00766D01"/>
    <w:rsid w:val="00794149"/>
    <w:rsid w:val="00794B0F"/>
    <w:rsid w:val="007956AA"/>
    <w:rsid w:val="007B67A7"/>
    <w:rsid w:val="007C6092"/>
    <w:rsid w:val="00A053C6"/>
    <w:rsid w:val="00A22AD8"/>
    <w:rsid w:val="00AD5B93"/>
    <w:rsid w:val="00B13BF0"/>
    <w:rsid w:val="00C1285C"/>
    <w:rsid w:val="00C27B7D"/>
    <w:rsid w:val="00C412D6"/>
    <w:rsid w:val="00CF7A43"/>
    <w:rsid w:val="00D0173F"/>
    <w:rsid w:val="00D02352"/>
    <w:rsid w:val="00D1174F"/>
    <w:rsid w:val="00DC6C70"/>
    <w:rsid w:val="00DD0668"/>
    <w:rsid w:val="00E22893"/>
    <w:rsid w:val="00E360DE"/>
    <w:rsid w:val="00E7057A"/>
    <w:rsid w:val="00E75D28"/>
    <w:rsid w:val="00E84F25"/>
    <w:rsid w:val="00EC597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8AD818-767E-4763-B339-3CB33507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3190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3190E"/>
    <w:pPr>
      <w:spacing w:before="500" w:line="250" w:lineRule="exact"/>
      <w:outlineLvl w:val="1"/>
    </w:pPr>
    <w:rPr>
      <w:sz w:val="27"/>
    </w:rPr>
  </w:style>
  <w:style w:type="paragraph" w:styleId="Rubrik3">
    <w:name w:val="heading 3"/>
    <w:aliases w:val="Mellanrubrik"/>
    <w:basedOn w:val="Rubrik2"/>
    <w:next w:val="Normal"/>
    <w:qFormat/>
    <w:rsid w:val="0043190E"/>
    <w:pPr>
      <w:spacing w:before="250" w:after="0"/>
      <w:outlineLvl w:val="2"/>
    </w:pPr>
    <w:rPr>
      <w:b/>
      <w:sz w:val="21"/>
    </w:rPr>
  </w:style>
  <w:style w:type="paragraph" w:styleId="Rubrik4">
    <w:name w:val="heading 4"/>
    <w:aliases w:val="KursivRubrik"/>
    <w:basedOn w:val="Rubrik3"/>
    <w:next w:val="Normal"/>
    <w:qFormat/>
    <w:rsid w:val="0043190E"/>
    <w:pPr>
      <w:outlineLvl w:val="3"/>
    </w:pPr>
    <w:rPr>
      <w:b w:val="0"/>
      <w:i/>
    </w:rPr>
  </w:style>
  <w:style w:type="paragraph" w:styleId="Rubrik5">
    <w:name w:val="heading 5"/>
    <w:aliases w:val="PackadFetRubrik,PackadKursivRubrik"/>
    <w:basedOn w:val="Rubrik4"/>
    <w:next w:val="Normal"/>
    <w:qFormat/>
    <w:rsid w:val="0043190E"/>
    <w:pPr>
      <w:tabs>
        <w:tab w:val="clear" w:pos="1021"/>
      </w:tabs>
      <w:spacing w:before="125"/>
      <w:outlineLvl w:val="4"/>
    </w:pPr>
    <w:rPr>
      <w:i w:val="0"/>
      <w:sz w:val="19"/>
    </w:rPr>
  </w:style>
  <w:style w:type="paragraph" w:styleId="Rubrik6">
    <w:name w:val="heading 6"/>
    <w:basedOn w:val="Rubrik5"/>
    <w:next w:val="Normal"/>
    <w:qFormat/>
    <w:rsid w:val="0043190E"/>
    <w:pPr>
      <w:spacing w:before="50" w:line="200" w:lineRule="exact"/>
      <w:outlineLvl w:val="5"/>
    </w:pPr>
    <w:rPr>
      <w:caps/>
      <w:sz w:val="14"/>
    </w:rPr>
  </w:style>
  <w:style w:type="paragraph" w:styleId="Rubrik7">
    <w:name w:val="heading 7"/>
    <w:basedOn w:val="Rubrik6"/>
    <w:next w:val="Normal"/>
    <w:qFormat/>
    <w:rsid w:val="0043190E"/>
    <w:pPr>
      <w:spacing w:before="0"/>
      <w:outlineLvl w:val="6"/>
    </w:pPr>
  </w:style>
  <w:style w:type="paragraph" w:styleId="Rubrik8">
    <w:name w:val="heading 8"/>
    <w:basedOn w:val="Rubrik7"/>
    <w:next w:val="Normal"/>
    <w:qFormat/>
    <w:rsid w:val="0043190E"/>
    <w:pPr>
      <w:outlineLvl w:val="7"/>
    </w:pPr>
  </w:style>
  <w:style w:type="paragraph" w:styleId="Rubrik9">
    <w:name w:val="heading 9"/>
    <w:basedOn w:val="Rubrik8"/>
    <w:next w:val="Normal"/>
    <w:qFormat/>
    <w:rsid w:val="0043190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412D6"/>
    <w:rPr>
      <w:rFonts w:ascii="Tahoma" w:hAnsi="Tahoma" w:cs="Tahoma"/>
      <w:sz w:val="16"/>
      <w:szCs w:val="16"/>
    </w:rPr>
  </w:style>
  <w:style w:type="paragraph" w:customStyle="1" w:styleId="Hemstlrubrik">
    <w:name w:val="Hemstl_rubrik"/>
    <w:basedOn w:val="Rubrik1"/>
    <w:next w:val="Normal"/>
    <w:rsid w:val="0043190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66D01"/>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489</Words>
  <Characters>2920</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L269</vt:lpstr>
    </vt:vector>
  </TitlesOfParts>
  <Company>Riksdagen</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L269</dc:title>
  <dc:subject>L269</dc:subject>
  <dc:creator>Riksdagen</dc:creator>
  <cp:keywords>Riksdagen</cp:keywords>
  <dc:description/>
  <cp:lastModifiedBy>Lars Brink</cp:lastModifiedBy>
  <cp:revision>2</cp:revision>
  <cp:lastPrinted>2005-12-03T09:30:00Z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Förmånsrättslagen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Förmånsrättslagen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Patrik Norinder och Anne-Marie Pålsson (m)</vt:lpwstr>
  </property>
  <property fmtid="{D5CDD505-2E9C-101B-9397-08002B2CF9AE}" pid="26" name="MotionarLista">
    <vt:lpwstr>Norinder, Patrik (m)\Pålsson,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Norinder (m), 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L269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annika.michelsen@riksdagen.se</vt:lpwstr>
  </property>
  <property fmtid="{D5CDD505-2E9C-101B-9397-08002B2CF9AE}" pid="45" name="ReservUID">
    <vt:lpwstr>roland lamvert</vt:lpwstr>
  </property>
  <property fmtid="{D5CDD505-2E9C-101B-9397-08002B2CF9AE}" pid="46" name="MotionID">
    <vt:lpwstr>20052006000000000109000014820069</vt:lpwstr>
  </property>
  <property fmtid="{D5CDD505-2E9C-101B-9397-08002B2CF9AE}" pid="47" name="datum">
    <vt:lpwstr>050929</vt:lpwstr>
  </property>
  <property fmtid="{D5CDD505-2E9C-101B-9397-08002B2CF9AE}" pid="48" name="avsändar-e-post">
    <vt:lpwstr>annika.michelsen@riksdagen.se</vt:lpwstr>
  </property>
  <property fmtid="{D5CDD505-2E9C-101B-9397-08002B2CF9AE}" pid="49" name="id">
    <vt:lpwstr>20052006000000000109000014820069</vt:lpwstr>
  </property>
  <property fmtid="{D5CDD505-2E9C-101B-9397-08002B2CF9AE}" pid="50" name="nummer">
    <vt:lpwstr>269</vt:lpwstr>
  </property>
  <property fmtid="{D5CDD505-2E9C-101B-9397-08002B2CF9AE}" pid="51" name="utskottsbeteckning">
    <vt:lpwstr>L</vt:lpwstr>
  </property>
</Properties>
</file>