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72EBC" w:rsidTr="002F2071">
        <w:tblPrEx>
          <w:tblCellMar>
            <w:top w:w="0" w:type="dxa"/>
            <w:bottom w:w="0" w:type="dxa"/>
          </w:tblCellMar>
        </w:tblPrEx>
        <w:tc>
          <w:tcPr>
            <w:tcW w:w="2268" w:type="dxa"/>
          </w:tcPr>
          <w:p w:rsidR="006E4E11" w:rsidRPr="00C72EBC" w:rsidRDefault="005F6B7B" w:rsidP="007242A3">
            <w:pPr>
              <w:framePr w:w="5035" w:h="1644" w:wrap="notBeside" w:vAnchor="page" w:hAnchor="page" w:x="6573" w:y="721"/>
              <w:rPr>
                <w:rFonts w:ascii="TradeGothic" w:hAnsi="TradeGothic"/>
                <w:i/>
                <w:sz w:val="18"/>
              </w:rPr>
            </w:pPr>
            <w:r w:rsidRPr="00C72EBC">
              <w:rPr>
                <w:rFonts w:ascii="TradeGothic" w:hAnsi="TradeGothic"/>
                <w:i/>
                <w:sz w:val="18"/>
              </w:rPr>
              <w:t xml:space="preserve">Bilaga 4 </w:t>
            </w:r>
          </w:p>
        </w:tc>
        <w:tc>
          <w:tcPr>
            <w:tcW w:w="2999" w:type="dxa"/>
            <w:gridSpan w:val="2"/>
          </w:tcPr>
          <w:p w:rsidR="006E4E11" w:rsidRPr="00C72EBC" w:rsidRDefault="006E4E11" w:rsidP="007242A3">
            <w:pPr>
              <w:framePr w:w="5035" w:h="1644" w:wrap="notBeside" w:vAnchor="page" w:hAnchor="page" w:x="6573" w:y="721"/>
              <w:rPr>
                <w:rFonts w:ascii="TradeGothic" w:hAnsi="TradeGothic"/>
                <w:i/>
                <w:sz w:val="18"/>
              </w:rPr>
            </w:pPr>
          </w:p>
        </w:tc>
      </w:tr>
      <w:tr w:rsidR="002F2071" w:rsidRPr="00C72EBC" w:rsidTr="002F2071">
        <w:tblPrEx>
          <w:tblCellMar>
            <w:top w:w="0" w:type="dxa"/>
            <w:bottom w:w="0" w:type="dxa"/>
          </w:tblCellMar>
        </w:tblPrEx>
        <w:tc>
          <w:tcPr>
            <w:tcW w:w="5267" w:type="dxa"/>
            <w:gridSpan w:val="3"/>
          </w:tcPr>
          <w:p w:rsidR="002F2071" w:rsidRPr="00C72EBC" w:rsidRDefault="002F2071" w:rsidP="007242A3">
            <w:pPr>
              <w:framePr w:w="5035" w:h="1644" w:wrap="notBeside" w:vAnchor="page" w:hAnchor="page" w:x="6573" w:y="721"/>
              <w:rPr>
                <w:rFonts w:ascii="TradeGothic" w:hAnsi="TradeGothic"/>
                <w:b/>
                <w:sz w:val="22"/>
              </w:rPr>
            </w:pPr>
            <w:r w:rsidRPr="00C72EBC">
              <w:rPr>
                <w:rFonts w:ascii="TradeGothic" w:hAnsi="TradeGothic"/>
                <w:b/>
                <w:sz w:val="22"/>
              </w:rPr>
              <w:t>Rådspromemoria</w:t>
            </w:r>
          </w:p>
        </w:tc>
      </w:tr>
      <w:tr w:rsidR="006E4E11" w:rsidRPr="00C72EBC" w:rsidTr="002F2071">
        <w:tblPrEx>
          <w:tblCellMar>
            <w:top w:w="0" w:type="dxa"/>
            <w:bottom w:w="0" w:type="dxa"/>
          </w:tblCellMar>
        </w:tblPrEx>
        <w:tc>
          <w:tcPr>
            <w:tcW w:w="3402" w:type="dxa"/>
            <w:gridSpan w:val="2"/>
          </w:tcPr>
          <w:p w:rsidR="006E4E11" w:rsidRPr="00C72EBC" w:rsidRDefault="006E4E11" w:rsidP="007242A3">
            <w:pPr>
              <w:framePr w:w="5035" w:h="1644" w:wrap="notBeside" w:vAnchor="page" w:hAnchor="page" w:x="6573" w:y="721"/>
            </w:pPr>
          </w:p>
        </w:tc>
        <w:tc>
          <w:tcPr>
            <w:tcW w:w="1865" w:type="dxa"/>
          </w:tcPr>
          <w:p w:rsidR="006E4E11" w:rsidRPr="00C72EBC" w:rsidRDefault="006E4E11" w:rsidP="007242A3">
            <w:pPr>
              <w:framePr w:w="5035" w:h="1644" w:wrap="notBeside" w:vAnchor="page" w:hAnchor="page" w:x="6573" w:y="721"/>
            </w:pPr>
          </w:p>
        </w:tc>
      </w:tr>
      <w:tr w:rsidR="006E4E11" w:rsidRPr="00C72EBC" w:rsidTr="002F2071">
        <w:tblPrEx>
          <w:tblCellMar>
            <w:top w:w="0" w:type="dxa"/>
            <w:bottom w:w="0" w:type="dxa"/>
          </w:tblCellMar>
        </w:tblPrEx>
        <w:tc>
          <w:tcPr>
            <w:tcW w:w="2268" w:type="dxa"/>
          </w:tcPr>
          <w:p w:rsidR="006E4E11" w:rsidRPr="00C72EBC" w:rsidRDefault="002F2071" w:rsidP="007242A3">
            <w:pPr>
              <w:framePr w:w="5035" w:h="1644" w:wrap="notBeside" w:vAnchor="page" w:hAnchor="page" w:x="6573" w:y="721"/>
            </w:pPr>
            <w:r w:rsidRPr="00C72EBC">
              <w:t>2009-</w:t>
            </w:r>
            <w:r w:rsidR="00F6172C" w:rsidRPr="00C72EBC">
              <w:t>10</w:t>
            </w:r>
            <w:r w:rsidR="00CC7CE1" w:rsidRPr="00C72EBC">
              <w:t>-</w:t>
            </w:r>
            <w:r w:rsidR="00F6172C" w:rsidRPr="00C72EBC">
              <w:t>12</w:t>
            </w:r>
          </w:p>
        </w:tc>
        <w:tc>
          <w:tcPr>
            <w:tcW w:w="2999" w:type="dxa"/>
            <w:gridSpan w:val="2"/>
          </w:tcPr>
          <w:p w:rsidR="006E4E11" w:rsidRPr="00C72EBC" w:rsidRDefault="006E4E11" w:rsidP="007242A3">
            <w:pPr>
              <w:framePr w:w="5035" w:h="1644" w:wrap="notBeside" w:vAnchor="page" w:hAnchor="page" w:x="6573" w:y="721"/>
            </w:pPr>
          </w:p>
        </w:tc>
      </w:tr>
      <w:tr w:rsidR="006E4E11" w:rsidRPr="00C72EBC" w:rsidTr="002F2071">
        <w:tblPrEx>
          <w:tblCellMar>
            <w:top w:w="0" w:type="dxa"/>
            <w:bottom w:w="0" w:type="dxa"/>
          </w:tblCellMar>
        </w:tblPrEx>
        <w:tc>
          <w:tcPr>
            <w:tcW w:w="2268" w:type="dxa"/>
          </w:tcPr>
          <w:p w:rsidR="006E4E11" w:rsidRPr="00C72EBC" w:rsidRDefault="006E4E11" w:rsidP="007242A3">
            <w:pPr>
              <w:framePr w:w="5035" w:h="1644" w:wrap="notBeside" w:vAnchor="page" w:hAnchor="page" w:x="6573" w:y="721"/>
            </w:pPr>
          </w:p>
        </w:tc>
        <w:tc>
          <w:tcPr>
            <w:tcW w:w="2999" w:type="dxa"/>
            <w:gridSpan w:val="2"/>
          </w:tcPr>
          <w:p w:rsidR="006E4E11" w:rsidRPr="00C72EB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72EBC">
        <w:tblPrEx>
          <w:tblCellMar>
            <w:top w:w="0" w:type="dxa"/>
            <w:bottom w:w="0" w:type="dxa"/>
          </w:tblCellMar>
        </w:tblPrEx>
        <w:trPr>
          <w:trHeight w:val="284"/>
        </w:trPr>
        <w:tc>
          <w:tcPr>
            <w:tcW w:w="4911" w:type="dxa"/>
          </w:tcPr>
          <w:p w:rsidR="006E4E11" w:rsidRPr="00C72EBC" w:rsidRDefault="002F2071">
            <w:pPr>
              <w:pStyle w:val="Avsndare"/>
              <w:framePr w:h="2483" w:wrap="notBeside" w:x="1504"/>
              <w:rPr>
                <w:b/>
                <w:i w:val="0"/>
                <w:sz w:val="22"/>
              </w:rPr>
            </w:pPr>
            <w:r w:rsidRPr="00C72EBC">
              <w:rPr>
                <w:b/>
                <w:i w:val="0"/>
                <w:sz w:val="22"/>
              </w:rPr>
              <w:t>Miljödepartementet</w:t>
            </w: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C146CE">
            <w:pPr>
              <w:pStyle w:val="Avsndare"/>
              <w:framePr w:h="2483" w:wrap="notBeside" w:x="1504"/>
              <w:rPr>
                <w:bCs/>
                <w:iCs/>
              </w:rPr>
            </w:pPr>
            <w:r w:rsidRPr="00C72EBC">
              <w:rPr>
                <w:bCs/>
                <w:iCs/>
              </w:rPr>
              <w:t>Enheten för Kretslopp och kemikalier</w:t>
            </w: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r w:rsidR="006E4E11" w:rsidRPr="00C72EBC">
        <w:tblPrEx>
          <w:tblCellMar>
            <w:top w:w="0" w:type="dxa"/>
            <w:bottom w:w="0" w:type="dxa"/>
          </w:tblCellMar>
        </w:tblPrEx>
        <w:trPr>
          <w:trHeight w:val="284"/>
        </w:trPr>
        <w:tc>
          <w:tcPr>
            <w:tcW w:w="4911" w:type="dxa"/>
          </w:tcPr>
          <w:p w:rsidR="006E4E11" w:rsidRPr="00C72EBC" w:rsidRDefault="006E4E11">
            <w:pPr>
              <w:pStyle w:val="Avsndare"/>
              <w:framePr w:h="2483" w:wrap="notBeside" w:x="1504"/>
              <w:rPr>
                <w:bCs/>
                <w:iCs/>
              </w:rPr>
            </w:pPr>
          </w:p>
        </w:tc>
      </w:tr>
    </w:tbl>
    <w:p w:rsidR="006E4E11" w:rsidRPr="00C72EBC" w:rsidRDefault="006E4E11">
      <w:pPr>
        <w:framePr w:w="4400" w:h="2523" w:wrap="notBeside" w:vAnchor="page" w:hAnchor="page" w:x="6453" w:y="2445"/>
        <w:ind w:left="142"/>
        <w:rPr>
          <w:b/>
        </w:rPr>
      </w:pPr>
    </w:p>
    <w:p w:rsidR="002F2071" w:rsidRPr="00C72EBC" w:rsidRDefault="00C146CE">
      <w:pPr>
        <w:pStyle w:val="RKrubrik"/>
        <w:pBdr>
          <w:bottom w:val="single" w:sz="6" w:space="1" w:color="auto"/>
        </w:pBdr>
      </w:pPr>
      <w:bookmarkStart w:id="0" w:name="bRubrik"/>
      <w:bookmarkEnd w:id="0"/>
      <w:r w:rsidRPr="00C72EBC">
        <w:t>Rådets möte (miljö</w:t>
      </w:r>
      <w:r w:rsidR="002F2071" w:rsidRPr="00C72EBC">
        <w:t xml:space="preserve">) den </w:t>
      </w:r>
      <w:r w:rsidR="00BF435B" w:rsidRPr="00C72EBC">
        <w:t>21 oktober 2009</w:t>
      </w:r>
    </w:p>
    <w:p w:rsidR="002F2071" w:rsidRPr="00C72EBC" w:rsidRDefault="002F2071">
      <w:pPr>
        <w:pStyle w:val="RKnormal"/>
      </w:pPr>
    </w:p>
    <w:p w:rsidR="002F2071" w:rsidRPr="00C72EBC" w:rsidRDefault="00595D6C">
      <w:pPr>
        <w:pStyle w:val="RKnormal"/>
      </w:pPr>
      <w:r w:rsidRPr="00C72EBC">
        <w:t>Dagordningspunkt 6</w:t>
      </w:r>
    </w:p>
    <w:p w:rsidR="002F2071" w:rsidRPr="00C72EBC" w:rsidRDefault="002F2071">
      <w:pPr>
        <w:pStyle w:val="RKnormal"/>
      </w:pPr>
    </w:p>
    <w:p w:rsidR="00CB04DA" w:rsidRPr="00C72EBC" w:rsidRDefault="002F2071">
      <w:pPr>
        <w:pStyle w:val="RKnormal"/>
      </w:pPr>
      <w:r w:rsidRPr="00C72EBC">
        <w:t>Rubrik:</w:t>
      </w:r>
      <w:r w:rsidR="00CB04DA" w:rsidRPr="00C72EBC">
        <w:t xml:space="preserve"> </w:t>
      </w:r>
      <w:r w:rsidR="00C960AD" w:rsidRPr="00C72EBC">
        <w:t xml:space="preserve">Policydebatt </w:t>
      </w:r>
      <w:r w:rsidR="006C09C0" w:rsidRPr="00C72EBC">
        <w:t>Förslag till Europaparlamentets och rådets direktiv om avfall som utgörs av eller innehåller elektriska och elektroniska produkter (WEEE) (omarbetning)</w:t>
      </w:r>
    </w:p>
    <w:p w:rsidR="002F2071" w:rsidRPr="00C72EBC" w:rsidRDefault="002F2071">
      <w:pPr>
        <w:pStyle w:val="RKnormal"/>
      </w:pPr>
    </w:p>
    <w:p w:rsidR="002F2071" w:rsidRPr="00C72EBC" w:rsidRDefault="002F2071">
      <w:pPr>
        <w:pStyle w:val="RKnormal"/>
      </w:pPr>
      <w:r w:rsidRPr="00C72EBC">
        <w:t>Dokument:</w:t>
      </w:r>
      <w:r w:rsidR="00BF435B" w:rsidRPr="00C72EBC">
        <w:t xml:space="preserve"> </w:t>
      </w:r>
      <w:r w:rsidR="00C146CE" w:rsidRPr="00C72EBC">
        <w:t xml:space="preserve">Ej klart </w:t>
      </w:r>
      <w:r w:rsidR="00905559" w:rsidRPr="00C72EBC">
        <w:t xml:space="preserve">inför rådet </w:t>
      </w:r>
      <w:r w:rsidR="00C146CE" w:rsidRPr="00C72EBC">
        <w:t>ännu.</w:t>
      </w:r>
    </w:p>
    <w:p w:rsidR="002F2071" w:rsidRPr="00C72EBC" w:rsidRDefault="002F2071">
      <w:pPr>
        <w:pStyle w:val="RKnormal"/>
      </w:pPr>
    </w:p>
    <w:p w:rsidR="002F2071" w:rsidRPr="00C72EBC" w:rsidRDefault="002F2071">
      <w:pPr>
        <w:pStyle w:val="RKnormal"/>
      </w:pPr>
      <w:r w:rsidRPr="00C72EBC">
        <w:t xml:space="preserve">Tidigare </w:t>
      </w:r>
      <w:r w:rsidR="00CC7CE1" w:rsidRPr="00C72EBC">
        <w:t xml:space="preserve">dokument: Fakta-PM Miljödepartementet </w:t>
      </w:r>
      <w:r w:rsidR="006C09C0" w:rsidRPr="00C72EBC">
        <w:t>2008/09:FPM97</w:t>
      </w:r>
    </w:p>
    <w:p w:rsidR="002F2071" w:rsidRPr="00C72EBC" w:rsidRDefault="002F2071">
      <w:pPr>
        <w:pStyle w:val="RKnormal"/>
      </w:pPr>
    </w:p>
    <w:p w:rsidR="002F2071" w:rsidRPr="00C72EBC" w:rsidRDefault="002F2071">
      <w:pPr>
        <w:pStyle w:val="RKnormal"/>
      </w:pPr>
      <w:r w:rsidRPr="00C72EBC">
        <w:t xml:space="preserve">Tidigare behandlad vid samråd med EU-nämnden: </w:t>
      </w:r>
      <w:r w:rsidR="00BC1573" w:rsidRPr="00C72EBC">
        <w:t xml:space="preserve">Förslaget har inte tidigare behandlats i EU-nämnden. Miljö- och jordbruksutskottet höll överläggning om förslaget den 2 april 2009.    </w:t>
      </w:r>
    </w:p>
    <w:p w:rsidR="002F2071" w:rsidRPr="00C72EBC" w:rsidRDefault="002F2071">
      <w:pPr>
        <w:pStyle w:val="RKrubrik"/>
      </w:pPr>
      <w:r w:rsidRPr="00C72EBC">
        <w:t>Bakgrund</w:t>
      </w:r>
    </w:p>
    <w:p w:rsidR="006C09C0" w:rsidRPr="00C72EBC" w:rsidRDefault="006C09C0" w:rsidP="006C09C0">
      <w:pPr>
        <w:ind w:firstLine="142"/>
      </w:pPr>
      <w:r w:rsidRPr="00C72EBC">
        <w:rPr>
          <w:color w:val="000000"/>
          <w:szCs w:val="19"/>
        </w:rPr>
        <w:t xml:space="preserve">Förslaget innebär en omarbetning av det befintliga direktivet </w:t>
      </w:r>
      <w:r w:rsidRPr="00C72EBC">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p>
    <w:p w:rsidR="002F2071" w:rsidRPr="00C72EBC" w:rsidRDefault="002F2071">
      <w:pPr>
        <w:pStyle w:val="RKrubrik"/>
      </w:pPr>
      <w:r w:rsidRPr="00C72EBC">
        <w:t>Rättslig grund och beslutsförfarande</w:t>
      </w:r>
    </w:p>
    <w:p w:rsidR="006C09C0" w:rsidRPr="00C72EBC" w:rsidRDefault="006C09C0" w:rsidP="006C09C0">
      <w:r w:rsidRPr="00C72EBC">
        <w:t>Artikel 175 i EG-fördraget. Beslut fattas av rådet med kvalificerad majoritet efter medbeslutandeförfarande med Europaparlamentet enligt artikel 251.</w:t>
      </w:r>
    </w:p>
    <w:p w:rsidR="002F2071" w:rsidRPr="00C72EBC" w:rsidRDefault="002F2071">
      <w:pPr>
        <w:pStyle w:val="RKnormal"/>
      </w:pPr>
    </w:p>
    <w:p w:rsidR="002F2071" w:rsidRPr="00C72EBC" w:rsidRDefault="002F2071">
      <w:pPr>
        <w:pStyle w:val="RKrubrik"/>
        <w:rPr>
          <w:i/>
          <w:iCs/>
        </w:rPr>
      </w:pPr>
      <w:r w:rsidRPr="00C72EBC">
        <w:rPr>
          <w:i/>
          <w:iCs/>
        </w:rPr>
        <w:lastRenderedPageBreak/>
        <w:t>Svensk ståndpunkt</w:t>
      </w:r>
    </w:p>
    <w:p w:rsidR="00C960AD" w:rsidRPr="00C72EBC" w:rsidRDefault="00C960AD" w:rsidP="00C960AD">
      <w:pPr>
        <w:pStyle w:val="RKnormal"/>
      </w:pPr>
      <w:r w:rsidRPr="00C72EBC">
        <w:t>Vid miljöråds mötet den 21 oktober kommer en policydebatt att hållas om direktivens omfattning. Ordförandeskapet ställer följande frågor till delegationerna:</w:t>
      </w:r>
    </w:p>
    <w:p w:rsidR="00C960AD" w:rsidRPr="00C72EBC" w:rsidRDefault="00C960AD" w:rsidP="00C960AD">
      <w:pPr>
        <w:pStyle w:val="RKnormal"/>
      </w:pPr>
    </w:p>
    <w:p w:rsidR="00C960AD" w:rsidRPr="00C72EBC" w:rsidRDefault="00C960AD" w:rsidP="00C960AD">
      <w:r w:rsidRPr="00C72EBC">
        <w:t>Ministers will be asked to consider the following questions prepared by the Presidency:</w:t>
      </w:r>
    </w:p>
    <w:p w:rsidR="00C960AD" w:rsidRPr="00C72EBC" w:rsidRDefault="00C960AD" w:rsidP="00C960AD"/>
    <w:p w:rsidR="00C960AD" w:rsidRPr="00C72EBC" w:rsidRDefault="00C960AD" w:rsidP="00C960AD">
      <w:pPr>
        <w:widowControl w:val="0"/>
        <w:numPr>
          <w:ilvl w:val="0"/>
          <w:numId w:val="3"/>
        </w:numPr>
        <w:tabs>
          <w:tab w:val="clear" w:pos="720"/>
          <w:tab w:val="num" w:pos="567"/>
        </w:tabs>
        <w:overflowPunct/>
        <w:autoSpaceDE/>
        <w:autoSpaceDN/>
        <w:adjustRightInd/>
        <w:spacing w:line="360" w:lineRule="auto"/>
        <w:ind w:left="567" w:hanging="567"/>
        <w:textAlignment w:val="auto"/>
        <w:rPr>
          <w:i/>
          <w:lang w:eastAsia="sv-SE"/>
        </w:rPr>
      </w:pPr>
      <w:r w:rsidRPr="00C72EBC">
        <w:rPr>
          <w:i/>
        </w:rPr>
        <w:t xml:space="preserve">Should the two Directives, WEEE and RoHS, have separate scopes taking account of their different legal bases and objectives? </w:t>
      </w:r>
    </w:p>
    <w:p w:rsidR="00C960AD" w:rsidRPr="00C72EBC" w:rsidRDefault="00C960AD" w:rsidP="00C960AD">
      <w:pPr>
        <w:rPr>
          <w:i/>
          <w:lang w:eastAsia="sv-SE"/>
        </w:rPr>
      </w:pPr>
      <w:r w:rsidRPr="00C72EBC">
        <w:rPr>
          <w:i/>
        </w:rPr>
        <w:t xml:space="preserve">If yes, </w:t>
      </w:r>
    </w:p>
    <w:p w:rsidR="00C960AD" w:rsidRPr="00C72EBC" w:rsidRDefault="00C960AD" w:rsidP="00C960AD">
      <w:pPr>
        <w:ind w:left="360"/>
        <w:rPr>
          <w:i/>
          <w:lang w:eastAsia="sv-SE"/>
        </w:rPr>
      </w:pPr>
    </w:p>
    <w:p w:rsidR="00C960AD" w:rsidRPr="00C72EBC" w:rsidRDefault="00C960AD" w:rsidP="00C960AD">
      <w:pPr>
        <w:ind w:left="567" w:hanging="567"/>
        <w:rPr>
          <w:i/>
          <w:lang w:eastAsia="sv-SE"/>
        </w:rPr>
      </w:pPr>
      <w:r w:rsidRPr="00C72EBC">
        <w:rPr>
          <w:i/>
          <w:lang w:eastAsia="sv-SE"/>
        </w:rPr>
        <w:t>2a.</w:t>
      </w:r>
      <w:r w:rsidRPr="00C72EBC">
        <w:rPr>
          <w:i/>
          <w:lang w:eastAsia="sv-SE"/>
        </w:rPr>
        <w:tab/>
        <w:t xml:space="preserve">Should the scope of the </w:t>
      </w:r>
      <w:r w:rsidRPr="00C72EBC">
        <w:rPr>
          <w:b/>
          <w:i/>
          <w:lang w:eastAsia="sv-SE"/>
        </w:rPr>
        <w:t>RoHS Directive</w:t>
      </w:r>
      <w:r w:rsidRPr="00C72EBC">
        <w:rPr>
          <w:i/>
          <w:lang w:eastAsia="sv-SE"/>
        </w:rPr>
        <w:t xml:space="preserve"> be extended to cover all electrical and electronic equipment unless explicitly excluded? </w:t>
      </w:r>
    </w:p>
    <w:p w:rsidR="00C960AD" w:rsidRPr="00C72EBC" w:rsidRDefault="00C960AD" w:rsidP="00C960AD">
      <w:pPr>
        <w:ind w:left="360"/>
        <w:rPr>
          <w:i/>
          <w:lang w:eastAsia="sv-SE"/>
        </w:rPr>
      </w:pPr>
    </w:p>
    <w:p w:rsidR="00C960AD" w:rsidRPr="00C72EBC" w:rsidRDefault="00C960AD" w:rsidP="00C960AD">
      <w:pPr>
        <w:ind w:left="567" w:hanging="567"/>
        <w:rPr>
          <w:i/>
          <w:lang w:eastAsia="sv-SE"/>
        </w:rPr>
      </w:pPr>
      <w:r w:rsidRPr="00C72EBC">
        <w:rPr>
          <w:i/>
          <w:lang w:eastAsia="sv-SE"/>
        </w:rPr>
        <w:t>2b.</w:t>
      </w:r>
      <w:r w:rsidRPr="00C72EBC">
        <w:rPr>
          <w:i/>
          <w:lang w:eastAsia="sv-SE"/>
        </w:rPr>
        <w:tab/>
        <w:t xml:space="preserve">Should the scope of the </w:t>
      </w:r>
      <w:r w:rsidRPr="00C72EBC">
        <w:rPr>
          <w:b/>
          <w:i/>
          <w:lang w:eastAsia="sv-SE"/>
        </w:rPr>
        <w:t>WEEE Directive</w:t>
      </w:r>
      <w:r w:rsidRPr="00C72EBC">
        <w:rPr>
          <w:i/>
          <w:lang w:eastAsia="sv-SE"/>
        </w:rPr>
        <w:t xml:space="preserve"> be defined by the inclusion of a minimum list of electrical and electronic equipment (as in the existing legislation)?</w:t>
      </w:r>
    </w:p>
    <w:p w:rsidR="00C960AD" w:rsidRPr="00C72EBC" w:rsidRDefault="00C960AD" w:rsidP="00C960AD">
      <w:pPr>
        <w:ind w:left="567" w:hanging="567"/>
      </w:pPr>
    </w:p>
    <w:p w:rsidR="00C960AD" w:rsidRPr="00C72EBC" w:rsidRDefault="00C960AD" w:rsidP="00C960AD">
      <w:r w:rsidRPr="00C72EBC">
        <w:t>Ordförandeskapet hoppas få bekräftat av medlemsstaterna att direktivens omfattning bör separeras samt att RoHS-direktivet bör ändras så att alla produkter omfattas om inte särskilda undantag anges. För WEEE-direktivet kan en del medlemsstater anse att rådet bör utvidga omfattningen av direktivet. Ordförandeskapet kommer utifrån de svar MS ger fortsätta att förhandla övriga frågor som ingår i omarbetningen</w:t>
      </w:r>
    </w:p>
    <w:p w:rsidR="00C960AD" w:rsidRPr="00C72EBC" w:rsidRDefault="00C960AD" w:rsidP="006C09C0"/>
    <w:p w:rsidR="006C09C0" w:rsidRPr="00C72EBC" w:rsidRDefault="00C960AD" w:rsidP="006C09C0">
      <w:r w:rsidRPr="00C72EBC">
        <w:t xml:space="preserve">Ur svensk synvinkel välkomnas </w:t>
      </w:r>
      <w:r w:rsidR="006C09C0" w:rsidRPr="00C72EBC">
        <w:t>kommissionens förslag till</w:t>
      </w:r>
      <w:r w:rsidR="00595D6C" w:rsidRPr="00C72EBC">
        <w:t xml:space="preserve"> omarbetning av WEEE-direktivet. </w:t>
      </w:r>
    </w:p>
    <w:p w:rsidR="006C09C0" w:rsidRPr="00C72EBC" w:rsidRDefault="006C09C0" w:rsidP="006C09C0"/>
    <w:p w:rsidR="006C09C0" w:rsidRPr="00C72EBC" w:rsidRDefault="006C09C0" w:rsidP="006C09C0">
      <w:pPr>
        <w:ind w:firstLine="142"/>
      </w:pPr>
      <w:r w:rsidRPr="00C72EBC">
        <w:t>Regeringen är generellt positiv till ett högt miljöskydd utan onödiga merkostnader för konsumenter, företag och myndigheter. Regeringen anser dessutom att det är viktigt att om möjligt minska den mängd avfall som uppstår; minska miljöbelastningen från produktion och avfallshantering samt minska den administrativa belastningen på såväl företag som myndigheter. Administrativa insatser ska vägas mot nyttan för miljöarbetet.</w:t>
      </w:r>
    </w:p>
    <w:p w:rsidR="006C09C0" w:rsidRPr="00C72EBC" w:rsidRDefault="006C09C0" w:rsidP="006C09C0"/>
    <w:p w:rsidR="006C09C0" w:rsidRPr="00C72EBC" w:rsidRDefault="006C09C0" w:rsidP="006C09C0">
      <w:r w:rsidRPr="00C72EBC">
        <w:t>Regeringen är generellt positivt till incitament för att öka återanvändningen av elprodukter, i linje med EU:s avfallshierarki. Emellertid bör man vara uppmärksam på problem som är förknippade med återanvändning, särskilt illegal export och energiförbrukning. Sverige bör verka för lösningar som motverkar att el-avfall exporteras till utvecklingsländer med risk för förödande konsekvenser för människors hälsa och miljön.</w:t>
      </w:r>
    </w:p>
    <w:p w:rsidR="002F2071" w:rsidRPr="00C72EBC" w:rsidRDefault="002F2071">
      <w:pPr>
        <w:pStyle w:val="RKrubrik"/>
      </w:pPr>
      <w:r w:rsidRPr="00C72EBC">
        <w:t>Europaparlamentets inställning</w:t>
      </w:r>
    </w:p>
    <w:p w:rsidR="002F2071" w:rsidRPr="00C72EBC" w:rsidRDefault="00CC7CE1">
      <w:pPr>
        <w:pStyle w:val="RKnormal"/>
      </w:pPr>
      <w:r w:rsidRPr="00C72EBC">
        <w:t xml:space="preserve">Europaparlamentet har ännu inge </w:t>
      </w:r>
      <w:r w:rsidR="00C146CE" w:rsidRPr="00C72EBC">
        <w:t>ståndpunkt</w:t>
      </w:r>
      <w:r w:rsidRPr="00C72EBC">
        <w:t xml:space="preserve"> i frågan utan väntas ta ställning i maj 2010.</w:t>
      </w:r>
    </w:p>
    <w:p w:rsidR="002F2071" w:rsidRPr="00C72EBC" w:rsidRDefault="002F2071">
      <w:pPr>
        <w:pStyle w:val="RKrubrik"/>
        <w:rPr>
          <w:i/>
          <w:iCs/>
        </w:rPr>
      </w:pPr>
      <w:r w:rsidRPr="00C72EBC">
        <w:rPr>
          <w:i/>
          <w:iCs/>
        </w:rPr>
        <w:t>Förslaget</w:t>
      </w:r>
    </w:p>
    <w:p w:rsidR="00901983" w:rsidRPr="00C72EBC" w:rsidRDefault="00901983" w:rsidP="00901983">
      <w:pPr>
        <w:spacing w:line="240" w:lineRule="auto"/>
      </w:pPr>
      <w:r w:rsidRPr="00C72EBC">
        <w:t>Kommissionen har identifierat en rad problem med direktiven och föreslår nu att de ska revideras. De viktigaste delarna av förslagen är:</w:t>
      </w:r>
    </w:p>
    <w:p w:rsidR="00595D6C" w:rsidRPr="00C72EBC" w:rsidRDefault="00595D6C" w:rsidP="00901983">
      <w:pPr>
        <w:spacing w:line="240" w:lineRule="auto"/>
      </w:pPr>
    </w:p>
    <w:p w:rsidR="00595D6C" w:rsidRPr="00C72EBC" w:rsidRDefault="00595D6C" w:rsidP="00595D6C">
      <w:pPr>
        <w:pStyle w:val="RKnormal"/>
        <w:numPr>
          <w:ilvl w:val="0"/>
          <w:numId w:val="2"/>
        </w:numPr>
        <w:rPr>
          <w:rFonts w:ascii="Times New Roman" w:hAnsi="Times New Roman"/>
          <w:sz w:val="19"/>
          <w:szCs w:val="19"/>
        </w:rPr>
      </w:pPr>
      <w:r w:rsidRPr="00C72EBC">
        <w:t>Flytta produktlistan från WEEE till RoHS pga rättslig grund.</w:t>
      </w:r>
    </w:p>
    <w:p w:rsidR="00595D6C" w:rsidRPr="00C72EBC" w:rsidRDefault="00595D6C" w:rsidP="00595D6C">
      <w:pPr>
        <w:pStyle w:val="RKnormal"/>
        <w:numPr>
          <w:ilvl w:val="0"/>
          <w:numId w:val="2"/>
        </w:numPr>
        <w:rPr>
          <w:rFonts w:ascii="Times New Roman" w:hAnsi="Times New Roman"/>
          <w:sz w:val="19"/>
          <w:szCs w:val="19"/>
        </w:rPr>
      </w:pPr>
      <w:r w:rsidRPr="00C72EBC">
        <w:t>Ändringar av registrering och rapportering.</w:t>
      </w:r>
    </w:p>
    <w:p w:rsidR="00595D6C" w:rsidRPr="00C72EBC" w:rsidRDefault="00595D6C" w:rsidP="00595D6C">
      <w:pPr>
        <w:pStyle w:val="RKnormal"/>
        <w:numPr>
          <w:ilvl w:val="0"/>
          <w:numId w:val="2"/>
        </w:numPr>
        <w:rPr>
          <w:rFonts w:ascii="Times New Roman" w:hAnsi="Times New Roman"/>
          <w:sz w:val="19"/>
          <w:szCs w:val="19"/>
        </w:rPr>
      </w:pPr>
      <w:r w:rsidRPr="00C72EBC">
        <w:t>Nytt insamlingsmål; 65% av produkter satta på marknaden (från 4 kg/pers och år).</w:t>
      </w:r>
    </w:p>
    <w:p w:rsidR="00595D6C" w:rsidRPr="00C72EBC" w:rsidRDefault="00595D6C" w:rsidP="00595D6C">
      <w:pPr>
        <w:pStyle w:val="RKnormal"/>
        <w:numPr>
          <w:ilvl w:val="0"/>
          <w:numId w:val="2"/>
        </w:numPr>
        <w:rPr>
          <w:rFonts w:ascii="Times New Roman" w:hAnsi="Times New Roman"/>
          <w:sz w:val="19"/>
          <w:szCs w:val="19"/>
        </w:rPr>
      </w:pPr>
      <w:r w:rsidRPr="00C72EBC">
        <w:t>Utökat producentansvar.</w:t>
      </w:r>
    </w:p>
    <w:p w:rsidR="00595D6C" w:rsidRPr="00C72EBC" w:rsidRDefault="00595D6C" w:rsidP="00595D6C">
      <w:pPr>
        <w:pStyle w:val="RKnormal"/>
        <w:numPr>
          <w:ilvl w:val="0"/>
          <w:numId w:val="2"/>
        </w:numPr>
        <w:rPr>
          <w:rFonts w:ascii="Times New Roman" w:hAnsi="Times New Roman"/>
          <w:sz w:val="19"/>
          <w:szCs w:val="19"/>
        </w:rPr>
      </w:pPr>
      <w:r w:rsidRPr="00C72EBC">
        <w:t>Miniminivå på tillsyn.</w:t>
      </w:r>
    </w:p>
    <w:p w:rsidR="002F2071" w:rsidRPr="00C72EBC" w:rsidRDefault="002F2071">
      <w:pPr>
        <w:pStyle w:val="RKrubrik"/>
        <w:rPr>
          <w:i/>
          <w:iCs/>
        </w:rPr>
      </w:pPr>
      <w:r w:rsidRPr="00C72EBC">
        <w:rPr>
          <w:i/>
          <w:iCs/>
        </w:rPr>
        <w:t>Gällande svenska regler och förslagets effekter på dessa</w:t>
      </w:r>
    </w:p>
    <w:p w:rsidR="002F2071" w:rsidRPr="00C72EBC" w:rsidRDefault="00595D6C" w:rsidP="00595D6C">
      <w:r w:rsidRPr="00C72EBC">
        <w:t>WEEE-direktivet är genomfört i svensk lagstiftning i miljöbalken (1998:808), förordningen (2005:209) om producentansvar för elektriska och elektroniska produkter, Naturvårdsverkets föreskrifter (NFS 2005:10) om yrkesmässig förbehandling och Naturvårdsverkets föreskrifter (NFS 2008:14) om lämnande av uppgifter, som ersätter NFS 2006:10 samt Naturvårdsverkets Allmänna råd (AR 2007:6) om finansiella garantier. WEEE-direktivets omarbetning kommer innebära att ändringar behöver föras in i svenskt regelverk, men exakt vilka paragrafer som påverkas är ännu oklart men kommer klargöras senare i förhandlingarna.</w:t>
      </w:r>
    </w:p>
    <w:p w:rsidR="002F2071" w:rsidRPr="00C72EBC" w:rsidRDefault="002F2071">
      <w:pPr>
        <w:pStyle w:val="RKrubrik"/>
      </w:pPr>
      <w:r w:rsidRPr="00C72EBC">
        <w:t>Ekonomiska konsekvenser</w:t>
      </w:r>
    </w:p>
    <w:p w:rsidR="00145A19" w:rsidRPr="00C72EBC" w:rsidRDefault="00595D6C" w:rsidP="00145A19">
      <w:pPr>
        <w:tabs>
          <w:tab w:val="left" w:pos="-720"/>
          <w:tab w:val="left" w:pos="0"/>
          <w:tab w:val="left" w:pos="720"/>
          <w:tab w:val="left" w:pos="1440"/>
          <w:tab w:val="left" w:pos="2160"/>
          <w:tab w:val="left" w:pos="2880"/>
          <w:tab w:val="left" w:pos="3600"/>
          <w:tab w:val="left" w:pos="4320"/>
        </w:tabs>
        <w:spacing w:line="240" w:lineRule="auto"/>
        <w:ind w:firstLine="142"/>
      </w:pPr>
      <w:r w:rsidRPr="00C72EBC">
        <w:t xml:space="preserve">Ett system för registrering och rapportering finns redan upprättat på nationell nivå. Omarbetningen kan komma att påverka detta system, men eftersom syftet med förslaget är att förenkla bör detta inte ha negativa budgetära konsekvenser för de berörda myndigheterna. Sammantaget bedöms inte omarbetningen av direktivet leda till betydande konsekvenser för statsbudgeten. </w:t>
      </w:r>
      <w:r w:rsidR="00145A19" w:rsidRPr="00C72EBC">
        <w:rPr>
          <w:iCs/>
        </w:rPr>
        <w:t>Utgångspunkten är att eventuella budgetära konsekvenser på nationell nivå samt ökningar av den svenska EU-avgiften ska finansieras genom omprioriteringar inom befintliga anslagsramar.</w:t>
      </w:r>
    </w:p>
    <w:p w:rsidR="00C146CE" w:rsidRPr="00C72EBC" w:rsidRDefault="00C146CE" w:rsidP="00595D6C">
      <w:pPr>
        <w:tabs>
          <w:tab w:val="left" w:pos="-720"/>
          <w:tab w:val="left" w:pos="0"/>
          <w:tab w:val="left" w:pos="720"/>
          <w:tab w:val="left" w:pos="1440"/>
          <w:tab w:val="left" w:pos="2160"/>
          <w:tab w:val="left" w:pos="2880"/>
          <w:tab w:val="left" w:pos="3600"/>
          <w:tab w:val="left" w:pos="4320"/>
        </w:tabs>
        <w:spacing w:line="240" w:lineRule="auto"/>
        <w:ind w:firstLine="142"/>
      </w:pPr>
    </w:p>
    <w:p w:rsidR="00C146CE" w:rsidRPr="00C72EBC" w:rsidRDefault="00C146CE" w:rsidP="00C146CE">
      <w:r w:rsidRPr="00C72EBC">
        <w:t>Omarbetningen förväntas inte heller ge några betydande konsekvenser för tillverkare och importörer då ett av syfte är regelförenkling.</w:t>
      </w:r>
    </w:p>
    <w:p w:rsidR="002F2071" w:rsidRPr="00C72EBC" w:rsidRDefault="002F2071">
      <w:pPr>
        <w:pStyle w:val="RKrubrik"/>
      </w:pPr>
      <w:r w:rsidRPr="00C72EBC">
        <w:t>Övrigt</w:t>
      </w:r>
    </w:p>
    <w:p w:rsidR="00595D6C" w:rsidRPr="00C72EBC" w:rsidRDefault="00595D6C" w:rsidP="00595D6C">
      <w:pPr>
        <w:ind w:firstLine="142"/>
      </w:pPr>
      <w:r w:rsidRPr="00C72EBC">
        <w:t xml:space="preserve">Rådets behandling av förslaget har påbörjats under våren 2009 och fortsätter under svenskt ordförandeskap. Den första </w:t>
      </w:r>
      <w:r w:rsidR="00C146CE" w:rsidRPr="00C72EBC">
        <w:t>behandlingen</w:t>
      </w:r>
      <w:r w:rsidRPr="00C72EBC">
        <w:t xml:space="preserve"> i Europaparlamentet och en politisk överenskommelse i rådet bör kunna nås under 2010. Senast 2011 bör en slutlig överenskommelse kunna nås. Utgående från denna tidpunkt skulle direktivet kunna vara infört i medlemsstaternas lagstiftning år 2016. </w:t>
      </w:r>
    </w:p>
    <w:p w:rsidR="002F2071" w:rsidRPr="00C72EBC" w:rsidRDefault="002F2071">
      <w:pPr>
        <w:pStyle w:val="RKnormal"/>
      </w:pPr>
    </w:p>
    <w:sectPr w:rsidR="002F2071" w:rsidRPr="00C72EB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2DC" w:rsidRPr="00C72EBC" w:rsidRDefault="004072DC">
      <w:r w:rsidRPr="00C72EBC">
        <w:separator/>
      </w:r>
    </w:p>
  </w:endnote>
  <w:endnote w:type="continuationSeparator" w:id="0">
    <w:p w:rsidR="004072DC" w:rsidRPr="00C72EBC" w:rsidRDefault="004072DC">
      <w:r w:rsidRPr="00C72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2DC" w:rsidRPr="00C72EBC" w:rsidRDefault="004072DC">
      <w:r w:rsidRPr="00C72EBC">
        <w:separator/>
      </w:r>
    </w:p>
  </w:footnote>
  <w:footnote w:type="continuationSeparator" w:id="0">
    <w:p w:rsidR="004072DC" w:rsidRPr="00C72EBC" w:rsidRDefault="004072DC">
      <w:r w:rsidRPr="00C72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59" w:rsidRPr="00C72EBC" w:rsidRDefault="00905559">
    <w:pPr>
      <w:pStyle w:val="Sidhuvud"/>
      <w:framePr w:wrap="around" w:vAnchor="text" w:hAnchor="margin" w:xAlign="right" w:y="1"/>
      <w:rPr>
        <w:rStyle w:val="Sidnummer"/>
      </w:rPr>
    </w:pPr>
    <w:r w:rsidRPr="00C72EBC">
      <w:rPr>
        <w:rStyle w:val="Sidnummer"/>
      </w:rPr>
      <w:fldChar w:fldCharType="begin" w:fldLock="1"/>
    </w:r>
    <w:r w:rsidRPr="00C72EBC">
      <w:rPr>
        <w:rStyle w:val="Sidnummer"/>
      </w:rPr>
      <w:instrText xml:space="preserve">PAGE  </w:instrText>
    </w:r>
    <w:r w:rsidRPr="00C72EBC">
      <w:rPr>
        <w:rStyle w:val="Sidnummer"/>
      </w:rPr>
      <w:fldChar w:fldCharType="separate"/>
    </w:r>
    <w:r w:rsidR="008444C9" w:rsidRPr="00C72EBC">
      <w:rPr>
        <w:rStyle w:val="Sidnummer"/>
      </w:rPr>
      <w:t>4</w:t>
    </w:r>
    <w:r w:rsidRPr="00C72EB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5559" w:rsidRPr="00C72EBC">
      <w:tblPrEx>
        <w:tblCellMar>
          <w:top w:w="0" w:type="dxa"/>
          <w:bottom w:w="0" w:type="dxa"/>
        </w:tblCellMar>
      </w:tblPrEx>
      <w:trPr>
        <w:cantSplit/>
      </w:trPr>
      <w:tc>
        <w:tcPr>
          <w:tcW w:w="3119" w:type="dxa"/>
        </w:tcPr>
        <w:p w:rsidR="00905559" w:rsidRPr="00C72EBC" w:rsidRDefault="00905559">
          <w:pPr>
            <w:pStyle w:val="Sidhuvud"/>
            <w:spacing w:line="200" w:lineRule="atLeast"/>
            <w:ind w:right="357"/>
            <w:rPr>
              <w:rFonts w:ascii="TradeGothic" w:hAnsi="TradeGothic"/>
              <w:b/>
              <w:bCs/>
              <w:sz w:val="16"/>
            </w:rPr>
          </w:pPr>
        </w:p>
      </w:tc>
      <w:tc>
        <w:tcPr>
          <w:tcW w:w="4111" w:type="dxa"/>
          <w:tcMar>
            <w:left w:w="567" w:type="dxa"/>
          </w:tcMar>
        </w:tcPr>
        <w:p w:rsidR="00905559" w:rsidRPr="00C72EBC" w:rsidRDefault="00905559">
          <w:pPr>
            <w:pStyle w:val="Sidhuvud"/>
            <w:ind w:right="360"/>
          </w:pPr>
        </w:p>
      </w:tc>
      <w:tc>
        <w:tcPr>
          <w:tcW w:w="1525" w:type="dxa"/>
        </w:tcPr>
        <w:p w:rsidR="00905559" w:rsidRPr="00C72EBC" w:rsidRDefault="00905559">
          <w:pPr>
            <w:pStyle w:val="Sidhuvud"/>
            <w:ind w:right="360"/>
          </w:pPr>
        </w:p>
      </w:tc>
    </w:tr>
  </w:tbl>
  <w:p w:rsidR="00905559" w:rsidRPr="00C72EBC" w:rsidRDefault="009055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59" w:rsidRPr="00C72EBC" w:rsidRDefault="00905559">
    <w:pPr>
      <w:pStyle w:val="Sidhuvud"/>
      <w:framePr w:wrap="around" w:vAnchor="text" w:hAnchor="margin" w:xAlign="right" w:y="1"/>
      <w:rPr>
        <w:rStyle w:val="Sidnummer"/>
      </w:rPr>
    </w:pPr>
    <w:r w:rsidRPr="00C72EBC">
      <w:rPr>
        <w:rStyle w:val="Sidnummer"/>
      </w:rPr>
      <w:fldChar w:fldCharType="begin" w:fldLock="1"/>
    </w:r>
    <w:r w:rsidRPr="00C72EBC">
      <w:rPr>
        <w:rStyle w:val="Sidnummer"/>
      </w:rPr>
      <w:instrText xml:space="preserve">PAGE  </w:instrText>
    </w:r>
    <w:r w:rsidRPr="00C72EBC">
      <w:rPr>
        <w:rStyle w:val="Sidnummer"/>
      </w:rPr>
      <w:fldChar w:fldCharType="separate"/>
    </w:r>
    <w:r w:rsidR="008444C9" w:rsidRPr="00C72EBC">
      <w:rPr>
        <w:rStyle w:val="Sidnummer"/>
      </w:rPr>
      <w:t>3</w:t>
    </w:r>
    <w:r w:rsidRPr="00C72EB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5559" w:rsidRPr="00C72EBC">
      <w:tblPrEx>
        <w:tblCellMar>
          <w:top w:w="0" w:type="dxa"/>
          <w:bottom w:w="0" w:type="dxa"/>
        </w:tblCellMar>
      </w:tblPrEx>
      <w:trPr>
        <w:cantSplit/>
      </w:trPr>
      <w:tc>
        <w:tcPr>
          <w:tcW w:w="3119" w:type="dxa"/>
        </w:tcPr>
        <w:p w:rsidR="00905559" w:rsidRPr="00C72EBC" w:rsidRDefault="00905559">
          <w:pPr>
            <w:pStyle w:val="Sidhuvud"/>
            <w:spacing w:line="200" w:lineRule="atLeast"/>
            <w:ind w:right="357"/>
            <w:rPr>
              <w:rFonts w:ascii="TradeGothic" w:hAnsi="TradeGothic"/>
              <w:b/>
              <w:bCs/>
              <w:sz w:val="16"/>
            </w:rPr>
          </w:pPr>
        </w:p>
      </w:tc>
      <w:tc>
        <w:tcPr>
          <w:tcW w:w="4111" w:type="dxa"/>
          <w:tcMar>
            <w:left w:w="567" w:type="dxa"/>
          </w:tcMar>
        </w:tcPr>
        <w:p w:rsidR="00905559" w:rsidRPr="00C72EBC" w:rsidRDefault="00905559">
          <w:pPr>
            <w:pStyle w:val="Sidhuvud"/>
            <w:ind w:right="360"/>
          </w:pPr>
        </w:p>
      </w:tc>
      <w:tc>
        <w:tcPr>
          <w:tcW w:w="1525" w:type="dxa"/>
        </w:tcPr>
        <w:p w:rsidR="00905559" w:rsidRPr="00C72EBC" w:rsidRDefault="00905559">
          <w:pPr>
            <w:pStyle w:val="Sidhuvud"/>
            <w:ind w:right="360"/>
          </w:pPr>
        </w:p>
      </w:tc>
    </w:tr>
  </w:tbl>
  <w:p w:rsidR="00905559" w:rsidRPr="00C72EBC" w:rsidRDefault="009055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59" w:rsidRPr="00C72EBC" w:rsidRDefault="00C72EBC">
    <w:pPr>
      <w:framePr w:w="2948" w:h="1321" w:hRule="exact" w:wrap="notBeside" w:vAnchor="page" w:hAnchor="page" w:x="1362" w:y="653"/>
    </w:pPr>
    <w:r w:rsidRPr="00C72EB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5559" w:rsidRPr="00C72EBC" w:rsidRDefault="00905559">
    <w:pPr>
      <w:pStyle w:val="RKrubrik"/>
      <w:keepNext w:val="0"/>
      <w:tabs>
        <w:tab w:val="clear" w:pos="1134"/>
        <w:tab w:val="clear" w:pos="2835"/>
      </w:tabs>
      <w:spacing w:before="0" w:after="0" w:line="320" w:lineRule="atLeast"/>
      <w:rPr>
        <w:bCs/>
      </w:rPr>
    </w:pPr>
  </w:p>
  <w:p w:rsidR="00905559" w:rsidRPr="00C72EBC" w:rsidRDefault="00905559">
    <w:pPr>
      <w:rPr>
        <w:rFonts w:ascii="TradeGothic" w:hAnsi="TradeGothic"/>
        <w:b/>
        <w:bCs/>
        <w:spacing w:val="12"/>
        <w:sz w:val="22"/>
      </w:rPr>
    </w:pPr>
  </w:p>
  <w:p w:rsidR="00905559" w:rsidRPr="00C72EBC" w:rsidRDefault="00905559">
    <w:pPr>
      <w:pStyle w:val="RKrubrik"/>
      <w:keepNext w:val="0"/>
      <w:tabs>
        <w:tab w:val="clear" w:pos="1134"/>
        <w:tab w:val="clear" w:pos="2835"/>
      </w:tabs>
      <w:spacing w:before="0" w:after="0" w:line="320" w:lineRule="atLeast"/>
      <w:rPr>
        <w:bCs/>
      </w:rPr>
    </w:pPr>
  </w:p>
  <w:p w:rsidR="00905559" w:rsidRPr="00C72EBC" w:rsidRDefault="0090555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6054"/>
    <w:multiLevelType w:val="hybridMultilevel"/>
    <w:tmpl w:val="06042DA6"/>
    <w:lvl w:ilvl="0" w:tplc="9616745A">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74F953B8"/>
    <w:multiLevelType w:val="hybridMultilevel"/>
    <w:tmpl w:val="09EE68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35455217">
    <w:abstractNumId w:val="2"/>
  </w:num>
  <w:num w:numId="2" w16cid:durableId="2037533420">
    <w:abstractNumId w:val="0"/>
  </w:num>
  <w:num w:numId="3" w16cid:durableId="194163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145A19"/>
    <w:rsid w:val="00150384"/>
    <w:rsid w:val="001805B7"/>
    <w:rsid w:val="0026798B"/>
    <w:rsid w:val="002E340A"/>
    <w:rsid w:val="002F2071"/>
    <w:rsid w:val="00302209"/>
    <w:rsid w:val="004072DC"/>
    <w:rsid w:val="004A328D"/>
    <w:rsid w:val="00595D6C"/>
    <w:rsid w:val="005F6B7B"/>
    <w:rsid w:val="006C09C0"/>
    <w:rsid w:val="006E4E11"/>
    <w:rsid w:val="007242A3"/>
    <w:rsid w:val="008444C9"/>
    <w:rsid w:val="00901983"/>
    <w:rsid w:val="00905559"/>
    <w:rsid w:val="00977BD7"/>
    <w:rsid w:val="00BC1573"/>
    <w:rsid w:val="00BF435B"/>
    <w:rsid w:val="00C146CE"/>
    <w:rsid w:val="00C72EBC"/>
    <w:rsid w:val="00C960AD"/>
    <w:rsid w:val="00CB04DA"/>
    <w:rsid w:val="00CC7CE1"/>
    <w:rsid w:val="00E3101F"/>
    <w:rsid w:val="00EC25F9"/>
    <w:rsid w:val="00EC6EB9"/>
    <w:rsid w:val="00EF1FB1"/>
    <w:rsid w:val="00F55CDA"/>
    <w:rsid w:val="00F6172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C83728-9959-46E7-9081-E29D6DF1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198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4828</Characters>
  <Application>Microsoft Office Word</Application>
  <DocSecurity>4</DocSecurity>
  <Lines>137</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