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5B8" w:rsidRPr="00285C08" w:rsidRDefault="00DC25B8">
      <w:pPr>
        <w:pStyle w:val="Frslagsrubrik"/>
      </w:pPr>
      <w:r w:rsidRPr="00285C08">
        <w:t>Förslag till riksdagsbeslut</w:t>
      </w:r>
    </w:p>
    <w:p w:rsidR="00DC25B8" w:rsidRPr="00285C08" w:rsidRDefault="00DC25B8">
      <w:pPr>
        <w:pStyle w:val="Hemstlatt"/>
        <w:numPr>
          <w:ilvl w:val="0"/>
          <w:numId w:val="1"/>
        </w:numPr>
      </w:pPr>
      <w:r w:rsidRPr="00285C08">
        <w:t>Riksdagen tillkännager för regeringen som sin mening vad som anförs i motionen om att skyndsamt ge den som drabbats av samhällets bristande tillsyn av den sociala barnavården den upprättelse som regeringen beslutat om</w:t>
      </w:r>
      <w:r w:rsidRPr="00285C08">
        <w:rPr>
          <w:color w:val="FF0000"/>
        </w:rPr>
        <w:t>.</w:t>
      </w:r>
    </w:p>
    <w:p w:rsidR="00DC25B8" w:rsidRPr="00285C08" w:rsidRDefault="00DC25B8">
      <w:pPr>
        <w:pStyle w:val="Hemstlatt"/>
        <w:numPr>
          <w:ilvl w:val="0"/>
          <w:numId w:val="1"/>
        </w:numPr>
      </w:pPr>
      <w:r w:rsidRPr="00285C08">
        <w:t>Riksdagen tillkännager för regeringen som sin mening vad som anförs i motionen om behovet av en gemensam kunskapsup</w:t>
      </w:r>
      <w:r w:rsidRPr="00285C08">
        <w:t>p</w:t>
      </w:r>
      <w:r w:rsidRPr="00285C08">
        <w:t>byggnad och specifika åtgärder för att förebygga dagens och framtida brister inom den sociala barnavården.</w:t>
      </w:r>
    </w:p>
    <w:p w:rsidR="00DC25B8" w:rsidRPr="00285C08" w:rsidRDefault="00DC25B8">
      <w:pPr>
        <w:pStyle w:val="Rubrik1"/>
      </w:pPr>
      <w:r w:rsidRPr="00285C08">
        <w:t>Motivering</w:t>
      </w:r>
    </w:p>
    <w:p w:rsidR="00DC25B8" w:rsidRPr="00285C08" w:rsidRDefault="00DC25B8">
      <w:r w:rsidRPr="00285C08">
        <w:t>Socialstyrelsen fick i december 2005 uppdraget att bedöma omfattningen av vanvård vid institutioner inom den sociala barnavården under åren 1950–1980. Rapporten som redovisades i mars 2006 visade att det förekommit övergrepp och kränkningar vid institutioner inom den sociala barnavården. Däremot var det inte möjligt att bedöma omfattningen av vanvården.</w:t>
      </w:r>
    </w:p>
    <w:p w:rsidR="00DC25B8" w:rsidRPr="00285C08" w:rsidRDefault="00DC25B8">
      <w:pPr>
        <w:pStyle w:val="Normaltindrag"/>
        <w:rPr>
          <w:strike/>
          <w:highlight w:val="yellow"/>
        </w:rPr>
      </w:pPr>
      <w:r w:rsidRPr="00285C08">
        <w:t xml:space="preserve">I juni 2006 beslutade den förra regeringen att tillsätta en utredning om vanvård i den sociala barnavården (S 2006:05). </w:t>
      </w:r>
    </w:p>
    <w:p w:rsidR="00DC25B8" w:rsidRPr="00285C08" w:rsidRDefault="00DC25B8">
      <w:pPr>
        <w:pStyle w:val="Normaltindrag"/>
      </w:pPr>
      <w:r w:rsidRPr="00285C08">
        <w:t>Utredningstiden förlängdes i december 2007 till 2009 för att alla som a</w:t>
      </w:r>
      <w:r w:rsidRPr="00285C08">
        <w:t>n</w:t>
      </w:r>
      <w:r w:rsidRPr="00285C08">
        <w:t>mält intresse av att berätta sin historia skulle</w:t>
      </w:r>
      <w:r w:rsidRPr="00285C08">
        <w:rPr>
          <w:color w:val="FF0000"/>
        </w:rPr>
        <w:t xml:space="preserve"> </w:t>
      </w:r>
      <w:r w:rsidRPr="00285C08">
        <w:t>få möjlighet att intervjuas.</w:t>
      </w:r>
    </w:p>
    <w:p w:rsidR="00DC25B8" w:rsidRPr="00285C08" w:rsidRDefault="00DC25B8">
      <w:pPr>
        <w:pStyle w:val="Normaltindrag"/>
      </w:pPr>
      <w:r w:rsidRPr="00285C08">
        <w:t>Regeringens särskilda utredare Kerstin Wigzell överlämnade Upprättels</w:t>
      </w:r>
      <w:r w:rsidRPr="00285C08">
        <w:t>e</w:t>
      </w:r>
      <w:r w:rsidRPr="00285C08">
        <w:t>utredningens betänkande (SOU 2011:9) ”Barnen som samhället svek – åtgä</w:t>
      </w:r>
      <w:r w:rsidRPr="00285C08">
        <w:t>r</w:t>
      </w:r>
      <w:r w:rsidRPr="00285C08">
        <w:t>der med anledning av övergrepp och allvarliga försummelser i samhällsvå</w:t>
      </w:r>
      <w:r w:rsidRPr="00285C08">
        <w:t>r</w:t>
      </w:r>
      <w:r w:rsidRPr="00285C08">
        <w:t xml:space="preserve">den” till barn- och äldreminister Maria Larsson i februari 2011. </w:t>
      </w:r>
    </w:p>
    <w:p w:rsidR="00DC25B8" w:rsidRPr="00285C08" w:rsidRDefault="00DC25B8">
      <w:pPr>
        <w:pStyle w:val="Citat"/>
      </w:pPr>
      <w:r w:rsidRPr="00285C08">
        <w:t>Upprättelseutredningen föreslår en process bestående av tre delar: ett e</w:t>
      </w:r>
      <w:r w:rsidRPr="00285C08">
        <w:t>r</w:t>
      </w:r>
      <w:r w:rsidRPr="00285C08">
        <w:t xml:space="preserve">kännande av det som hänt och en ursäkt, kompensation till dem utsatts samt åtgärder för att förhindra upprepning. Många av dem som utsatts för vanvård önskar få erkännande och ursäkt från högsta politiska nivå vid en ceremoni som regeringen inbjuder till.  </w:t>
      </w:r>
    </w:p>
    <w:p w:rsidR="00DC25B8" w:rsidRPr="00285C08" w:rsidRDefault="00DC25B8">
      <w:pPr>
        <w:pStyle w:val="Citatindrag"/>
      </w:pPr>
      <w:r w:rsidRPr="00285C08">
        <w:lastRenderedPageBreak/>
        <w:t>Utredningen föreslår att det ska införas en särskild möjlighet till ek</w:t>
      </w:r>
      <w:r w:rsidRPr="00285C08">
        <w:t>o</w:t>
      </w:r>
      <w:r w:rsidRPr="00285C08">
        <w:t>nomisk ersättning åt dem som under perioden 1920–1980 utsatts för va</w:t>
      </w:r>
      <w:r w:rsidRPr="00285C08">
        <w:t>n</w:t>
      </w:r>
      <w:r w:rsidRPr="00285C08">
        <w:t xml:space="preserve">vård i samhällsvården av barn och unga. </w:t>
      </w:r>
    </w:p>
    <w:p w:rsidR="00DC25B8" w:rsidRPr="00285C08" w:rsidRDefault="00DC25B8">
      <w:pPr>
        <w:pStyle w:val="Citatindrag"/>
      </w:pPr>
      <w:r w:rsidRPr="00285C08">
        <w:t xml:space="preserve">En av regeringen utsedd nämnd bör pröva ansökningarna och en för ändamålet inrättad myndighet handlägga ärendena. </w:t>
      </w:r>
    </w:p>
    <w:p w:rsidR="00DC25B8" w:rsidRPr="00285C08" w:rsidRDefault="00DC25B8">
      <w:pPr>
        <w:pStyle w:val="Citatindrag"/>
      </w:pPr>
      <w:r w:rsidRPr="00285C08">
        <w:t>Arbetet för ökad säkerhet och förbättrad uppföljning gäller både f</w:t>
      </w:r>
      <w:r w:rsidRPr="00285C08">
        <w:t>a</w:t>
      </w:r>
      <w:r w:rsidRPr="00285C08">
        <w:t>miljehem och institutioner. Sedan lång tid har en rad nationella grans</w:t>
      </w:r>
      <w:r w:rsidRPr="00285C08">
        <w:t>k</w:t>
      </w:r>
      <w:r w:rsidRPr="00285C08">
        <w:t xml:space="preserve">ningar påtalat att familjehemsvården är ett eftersatt område. </w:t>
      </w:r>
    </w:p>
    <w:p w:rsidR="00DC25B8" w:rsidRPr="00285C08" w:rsidRDefault="00DC25B8">
      <w:r w:rsidRPr="00285C08">
        <w:t xml:space="preserve">Regeringen har helt nyligen tillsammans med oppositionen beslutat om en ersättning i enlighet med utredarens förslag. </w:t>
      </w:r>
    </w:p>
    <w:p w:rsidR="00DC25B8" w:rsidRPr="00285C08" w:rsidRDefault="00DC25B8">
      <w:pPr>
        <w:pStyle w:val="Normaltindrag"/>
      </w:pPr>
      <w:r w:rsidRPr="00285C08">
        <w:t>Mänskligt lidande kan aldrig värderas i pengar. Men ansvaret för den bristande tillsynen är samhällets, varför vi välkomnar denna uppgörelse.</w:t>
      </w:r>
      <w:r w:rsidRPr="00285C08">
        <w:rPr>
          <w:color w:val="FF0000"/>
        </w:rPr>
        <w:t xml:space="preserve"> </w:t>
      </w:r>
    </w:p>
    <w:p w:rsidR="00DC25B8" w:rsidRPr="00285C08" w:rsidRDefault="00DC25B8">
      <w:pPr>
        <w:pStyle w:val="Normaltindrag"/>
      </w:pPr>
      <w:r w:rsidRPr="00285C08">
        <w:t>Om vi ska undvika liknande händelser i framtiden behöver vi alla i Sverige på ett djupare plan ta itu med detta som tillhör vår egen historia. Vi behöver få en gemensam kunskap och erkänna det som hänt. Detta skulle ge många arenor en möjlighet att reflektera och resonera kring de värderingar som r</w:t>
      </w:r>
      <w:r w:rsidRPr="00285C08">
        <w:t>e</w:t>
      </w:r>
      <w:r w:rsidRPr="00285C08">
        <w:t>sulterade i övergreppen, se egna och gemensamma tillkortakommanden i vitögat. Vi anser därför att det behövs en gemensam kunskapsbyggnad genom seminarier, vandringsutställningar med mera kring de missgärningar som framkommit i den så kallade Vanvårdsutredningen. Vi anser också att det behövs en rad specifika åtgärder, oberoende granskningsinstanser, politiska och mänskliga ansvarstaganden och yrkesspecifika utbildningsinsatser för att förebygga dagens och framtidens brister så att en reell attitydförändrin</w:t>
      </w:r>
      <w:r w:rsidRPr="00285C08">
        <w:t xml:space="preserve">g kan komma till stånd på bred och djup front i samhället.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C08">
        <w:trPr>
          <w:cantSplit/>
        </w:trPr>
        <w:tc>
          <w:tcPr>
            <w:tcW w:w="3046" w:type="dxa"/>
          </w:tcPr>
          <w:p w:rsidR="00DC25B8" w:rsidRPr="00285C08" w:rsidRDefault="00DC25B8">
            <w:pPr>
              <w:pStyle w:val="UnderskriftDatum"/>
              <w:spacing w:before="240"/>
            </w:pPr>
            <w:r w:rsidRPr="00285C08">
              <w:t>Stockholm den 5 oktober 2011</w:t>
            </w:r>
          </w:p>
        </w:tc>
        <w:tc>
          <w:tcPr>
            <w:tcW w:w="3047" w:type="dxa"/>
          </w:tcPr>
          <w:p w:rsidR="00DC25B8" w:rsidRPr="00285C08" w:rsidRDefault="00DC25B8">
            <w:pPr>
              <w:pStyle w:val="Underskrifter"/>
              <w:spacing w:before="240"/>
            </w:pPr>
          </w:p>
        </w:tc>
      </w:tr>
      <w:tr w:rsidR="00000000" w:rsidRPr="00285C08">
        <w:trPr>
          <w:cantSplit/>
        </w:trPr>
        <w:tc>
          <w:tcPr>
            <w:tcW w:w="3046" w:type="dxa"/>
          </w:tcPr>
          <w:p w:rsidR="00DC25B8" w:rsidRPr="00285C08" w:rsidRDefault="00DC25B8">
            <w:pPr>
              <w:pStyle w:val="Underskrifter"/>
            </w:pPr>
            <w:r w:rsidRPr="00285C08">
              <w:t>Anita Brodén (FP)</w:t>
            </w:r>
          </w:p>
        </w:tc>
        <w:tc>
          <w:tcPr>
            <w:tcW w:w="3046" w:type="dxa"/>
          </w:tcPr>
          <w:p w:rsidR="00DC25B8" w:rsidRPr="00285C08" w:rsidRDefault="00DC25B8">
            <w:pPr>
              <w:pStyle w:val="Underskrifter"/>
            </w:pPr>
            <w:r w:rsidRPr="00285C08">
              <w:t>Jan Ertsborn (FP)</w:t>
            </w:r>
          </w:p>
        </w:tc>
      </w:tr>
    </w:tbl>
    <w:p w:rsidR="00DC25B8" w:rsidRPr="00285C08" w:rsidRDefault="00DC25B8">
      <w:pPr>
        <w:pStyle w:val="Normaltindrag"/>
      </w:pPr>
    </w:p>
    <w:sectPr w:rsidR="00DC25B8" w:rsidRPr="00285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5B8" w:rsidRPr="00285C08" w:rsidRDefault="00DC25B8">
      <w:r w:rsidRPr="00285C08">
        <w:separator/>
      </w:r>
    </w:p>
  </w:endnote>
  <w:endnote w:type="continuationSeparator" w:id="0">
    <w:p w:rsidR="00DC25B8" w:rsidRPr="00285C08" w:rsidRDefault="00DC25B8">
      <w:r w:rsidRPr="00285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B8" w:rsidRPr="00285C08" w:rsidRDefault="00285C08">
    <w:pPr>
      <w:pStyle w:val="Sidfot"/>
    </w:pPr>
    <w:r w:rsidRPr="00285C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245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B8" w:rsidRDefault="00DC25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5B8" w:rsidRDefault="00DC25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B8" w:rsidRPr="00285C08" w:rsidRDefault="00285C08">
    <w:pPr>
      <w:pStyle w:val="Sidfot"/>
    </w:pPr>
    <w:r w:rsidRPr="00285C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097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B8" w:rsidRDefault="00DC25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5B8" w:rsidRDefault="00DC25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B8" w:rsidRPr="00285C08" w:rsidRDefault="00285C08">
    <w:pPr>
      <w:pStyle w:val="Sidfot"/>
    </w:pPr>
    <w:r w:rsidRPr="00285C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841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B8" w:rsidRDefault="00DC2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5B8" w:rsidRDefault="00DC2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5B8" w:rsidRPr="00285C08" w:rsidRDefault="00DC25B8">
      <w:r w:rsidRPr="00285C08">
        <w:separator/>
      </w:r>
    </w:p>
  </w:footnote>
  <w:footnote w:type="continuationSeparator" w:id="0">
    <w:p w:rsidR="00DC25B8" w:rsidRPr="00285C08" w:rsidRDefault="00DC25B8">
      <w:r w:rsidRPr="00285C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B8" w:rsidRPr="00285C08" w:rsidRDefault="00285C08">
    <w:pPr>
      <w:pStyle w:val="Sidhuvud"/>
    </w:pPr>
    <w:r w:rsidRPr="00285C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427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B8" w:rsidRDefault="00DC25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5B8" w:rsidRDefault="00DC25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B8" w:rsidRPr="00285C08" w:rsidRDefault="00285C08">
    <w:pPr>
      <w:pStyle w:val="Sidhuvud"/>
    </w:pPr>
    <w:r w:rsidRPr="00285C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300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B8" w:rsidRDefault="00DC25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5B8" w:rsidRDefault="00DC25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B8" w:rsidRPr="00285C08" w:rsidRDefault="00DC25B8">
    <w:pPr>
      <w:pStyle w:val="FSHNormal"/>
      <w:tabs>
        <w:tab w:val="right" w:pos="5840"/>
      </w:tabs>
    </w:pPr>
    <w:r w:rsidRPr="00285C08">
      <w:br/>
    </w:r>
    <w:r w:rsidRPr="00285C08">
      <w:fldChar w:fldCharType="begin" w:fldLock="1"/>
    </w:r>
    <w:r w:rsidRPr="00285C08">
      <w:instrText xml:space="preserve"> DOCPROPERTY</w:instrText>
    </w:r>
    <w:r w:rsidRPr="00285C08">
      <w:rPr>
        <w:sz w:val="18"/>
      </w:rPr>
      <w:instrText xml:space="preserve"> "YearUser" *\charformat </w:instrText>
    </w:r>
    <w:r w:rsidRPr="00285C08">
      <w:fldChar w:fldCharType="separate"/>
    </w:r>
    <w:r w:rsidRPr="00285C08">
      <w:t>2011/12</w:t>
    </w:r>
    <w:r w:rsidRPr="00285C08">
      <w:fldChar w:fldCharType="end"/>
    </w:r>
    <w:r w:rsidRPr="00285C08">
      <w:t xml:space="preserve"> </w:t>
    </w:r>
    <w:r w:rsidRPr="00285C08">
      <w:tab/>
      <w:t xml:space="preserve">mnr: </w:t>
    </w:r>
    <w:r w:rsidRPr="00285C08">
      <w:fldChar w:fldCharType="begin" w:fldLock="1"/>
    </w:r>
    <w:r w:rsidRPr="00285C08">
      <w:instrText xml:space="preserve"> DOCPROPERTY</w:instrText>
    </w:r>
    <w:r w:rsidRPr="00285C08">
      <w:rPr>
        <w:sz w:val="18"/>
      </w:rPr>
      <w:instrText xml:space="preserve"> "Motionsnummer" *\charformat </w:instrText>
    </w:r>
    <w:r w:rsidRPr="00285C08">
      <w:fldChar w:fldCharType="separate"/>
    </w:r>
    <w:r w:rsidRPr="00285C08">
      <w:t>So460</w:t>
    </w:r>
    <w:r w:rsidRPr="00285C08">
      <w:fldChar w:fldCharType="end"/>
    </w:r>
    <w:r w:rsidRPr="00285C08">
      <w:br/>
    </w:r>
    <w:r w:rsidRPr="00285C08">
      <w:fldChar w:fldCharType="begin" w:fldLock="1"/>
    </w:r>
    <w:r w:rsidRPr="00285C08">
      <w:instrText xml:space="preserve"> DOCPROPERTY</w:instrText>
    </w:r>
    <w:r w:rsidRPr="00285C08">
      <w:rPr>
        <w:sz w:val="18"/>
      </w:rPr>
      <w:instrText xml:space="preserve"> "Samling" *\charformat </w:instrText>
    </w:r>
    <w:r w:rsidRPr="00285C08">
      <w:fldChar w:fldCharType="end"/>
    </w:r>
    <w:r w:rsidRPr="00285C08">
      <w:tab/>
      <w:t xml:space="preserve">pnr: </w:t>
    </w:r>
    <w:r w:rsidRPr="00285C08">
      <w:fldChar w:fldCharType="begin" w:fldLock="1"/>
    </w:r>
    <w:r w:rsidRPr="00285C08">
      <w:instrText xml:space="preserve"> DOCPROPERTY</w:instrText>
    </w:r>
    <w:r w:rsidRPr="00285C08">
      <w:rPr>
        <w:sz w:val="18"/>
      </w:rPr>
      <w:instrText xml:space="preserve"> "Partinummer" *\charformat </w:instrText>
    </w:r>
    <w:r w:rsidRPr="00285C08">
      <w:fldChar w:fldCharType="separate"/>
    </w:r>
    <w:r w:rsidRPr="00285C08">
      <w:t>FP1064</w:t>
    </w:r>
    <w:r w:rsidRPr="00285C08">
      <w:fldChar w:fldCharType="end"/>
    </w:r>
  </w:p>
  <w:p w:rsidR="00DC25B8" w:rsidRPr="00285C08" w:rsidRDefault="00DC25B8">
    <w:pPr>
      <w:pStyle w:val="FSHRub1"/>
    </w:pPr>
    <w:r w:rsidRPr="00285C08">
      <w:t>Motion till riksdagen</w:t>
    </w:r>
    <w:r w:rsidRPr="00285C08">
      <w:br/>
    </w:r>
    <w:r w:rsidRPr="00285C08">
      <w:fldChar w:fldCharType="begin" w:fldLock="1"/>
    </w:r>
    <w:r w:rsidRPr="00285C08">
      <w:instrText xml:space="preserve"> DOCPROPERTY "YearUser" *\charformat </w:instrText>
    </w:r>
    <w:r w:rsidRPr="00285C08">
      <w:fldChar w:fldCharType="separate"/>
    </w:r>
    <w:r w:rsidRPr="00285C08">
      <w:t>2011/12</w:t>
    </w:r>
    <w:r w:rsidRPr="00285C08">
      <w:fldChar w:fldCharType="end"/>
    </w:r>
    <w:r w:rsidRPr="00285C08">
      <w:t>:</w:t>
    </w:r>
    <w:r w:rsidRPr="00285C08">
      <w:fldChar w:fldCharType="begin" w:fldLock="1"/>
    </w:r>
    <w:r w:rsidRPr="00285C08">
      <w:instrText xml:space="preserve"> DOCPROPERTY "Motionsnummer" *\charformat </w:instrText>
    </w:r>
    <w:r w:rsidRPr="00285C08">
      <w:fldChar w:fldCharType="separate"/>
    </w:r>
    <w:r w:rsidRPr="00285C08">
      <w:t>So460</w:t>
    </w:r>
    <w:r w:rsidRPr="00285C08">
      <w:fldChar w:fldCharType="end"/>
    </w:r>
  </w:p>
  <w:p w:rsidR="00DC25B8" w:rsidRPr="00285C08" w:rsidRDefault="00DC25B8">
    <w:pPr>
      <w:pStyle w:val="FSHNormalS5"/>
    </w:pPr>
    <w:r w:rsidRPr="00285C08">
      <w:fldChar w:fldCharType="begin" w:fldLock="1"/>
    </w:r>
    <w:r w:rsidRPr="00285C08">
      <w:instrText xml:space="preserve"> DOCPROPERTY "MotionarText" *\charformat </w:instrText>
    </w:r>
    <w:r w:rsidRPr="00285C08">
      <w:fldChar w:fldCharType="separate"/>
    </w:r>
    <w:r w:rsidRPr="00285C08">
      <w:t>av Anita Brodén och Jan Ertsborn (FP)</w:t>
    </w:r>
    <w:r w:rsidRPr="00285C08">
      <w:fldChar w:fldCharType="end"/>
    </w:r>
    <w:r w:rsidRPr="00285C08">
      <w:br/>
    </w:r>
    <w:r w:rsidRPr="00285C08">
      <w:fldChar w:fldCharType="begin" w:fldLock="1"/>
    </w:r>
    <w:r w:rsidRPr="00285C08">
      <w:instrText xml:space="preserve"> DOCPROPERTY "SvarFrasKort" *\charformat </w:instrText>
    </w:r>
    <w:r w:rsidRPr="00285C08">
      <w:fldChar w:fldCharType="end"/>
    </w:r>
  </w:p>
  <w:p w:rsidR="00DC25B8" w:rsidRPr="00285C08" w:rsidRDefault="00DC25B8">
    <w:pPr>
      <w:pStyle w:val="FSHTitel"/>
    </w:pPr>
    <w:r w:rsidRPr="00285C08">
      <w:fldChar w:fldCharType="begin" w:fldLock="1"/>
    </w:r>
    <w:r w:rsidRPr="00285C08">
      <w:instrText xml:space="preserve"> DOCPROPERTY</w:instrText>
    </w:r>
    <w:r w:rsidRPr="00285C08">
      <w:rPr>
        <w:sz w:val="18"/>
      </w:rPr>
      <w:instrText xml:space="preserve"> "RubrikSvar" *\charformat </w:instrText>
    </w:r>
    <w:r w:rsidRPr="00285C08">
      <w:fldChar w:fldCharType="separate"/>
    </w:r>
    <w:r w:rsidRPr="00285C08">
      <w:t>Upprättelse för brister i barnavården</w:t>
    </w:r>
    <w:r w:rsidRPr="00285C08">
      <w:fldChar w:fldCharType="end"/>
    </w:r>
  </w:p>
  <w:p w:rsidR="00DC25B8" w:rsidRPr="00285C08" w:rsidRDefault="00DC25B8">
    <w:pPr>
      <w:pStyle w:val="Normal00"/>
    </w:pPr>
  </w:p>
  <w:p w:rsidR="00DC25B8" w:rsidRPr="00285C08" w:rsidRDefault="00DC25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39BC4776">
      <w:start w:val="1"/>
      <w:numFmt w:val="bullet"/>
      <w:lvlText w:val="?"/>
      <w:lvlJc w:val="left"/>
      <w:pPr>
        <w:tabs>
          <w:tab w:val="num" w:pos="720"/>
        </w:tabs>
        <w:ind w:left="720" w:hanging="360"/>
      </w:pPr>
      <w:rPr>
        <w:rFonts w:ascii="Wingdings" w:hAnsi="Wingdings" w:hint="default"/>
      </w:rPr>
    </w:lvl>
    <w:lvl w:ilvl="1" w:tplc="0896CC14" w:tentative="1">
      <w:start w:val="1"/>
      <w:numFmt w:val="bullet"/>
      <w:lvlText w:val="o"/>
      <w:lvlJc w:val="left"/>
      <w:pPr>
        <w:tabs>
          <w:tab w:val="num" w:pos="1440"/>
        </w:tabs>
        <w:ind w:left="1440" w:hanging="360"/>
      </w:pPr>
      <w:rPr>
        <w:rFonts w:ascii="Courier New" w:hAnsi="Courier New" w:cs="Courier New" w:hint="default"/>
      </w:rPr>
    </w:lvl>
    <w:lvl w:ilvl="2" w:tplc="9D4CD9FC" w:tentative="1">
      <w:start w:val="1"/>
      <w:numFmt w:val="bullet"/>
      <w:lvlText w:val="?"/>
      <w:lvlJc w:val="left"/>
      <w:pPr>
        <w:tabs>
          <w:tab w:val="num" w:pos="2160"/>
        </w:tabs>
        <w:ind w:left="2160" w:hanging="360"/>
      </w:pPr>
      <w:rPr>
        <w:rFonts w:ascii="Wingdings" w:hAnsi="Wingdings" w:hint="default"/>
      </w:rPr>
    </w:lvl>
    <w:lvl w:ilvl="3" w:tplc="4ED4AC36" w:tentative="1">
      <w:start w:val="1"/>
      <w:numFmt w:val="bullet"/>
      <w:lvlText w:val="?"/>
      <w:lvlJc w:val="left"/>
      <w:pPr>
        <w:tabs>
          <w:tab w:val="num" w:pos="2880"/>
        </w:tabs>
        <w:ind w:left="2880" w:hanging="360"/>
      </w:pPr>
      <w:rPr>
        <w:rFonts w:ascii="Symbol" w:hAnsi="Symbol" w:hint="default"/>
      </w:rPr>
    </w:lvl>
    <w:lvl w:ilvl="4" w:tplc="229C3E16" w:tentative="1">
      <w:start w:val="1"/>
      <w:numFmt w:val="bullet"/>
      <w:lvlText w:val="o"/>
      <w:lvlJc w:val="left"/>
      <w:pPr>
        <w:tabs>
          <w:tab w:val="num" w:pos="3600"/>
        </w:tabs>
        <w:ind w:left="3600" w:hanging="360"/>
      </w:pPr>
      <w:rPr>
        <w:rFonts w:ascii="Courier New" w:hAnsi="Courier New" w:cs="Courier New" w:hint="default"/>
      </w:rPr>
    </w:lvl>
    <w:lvl w:ilvl="5" w:tplc="37F62846" w:tentative="1">
      <w:start w:val="1"/>
      <w:numFmt w:val="bullet"/>
      <w:lvlText w:val="?"/>
      <w:lvlJc w:val="left"/>
      <w:pPr>
        <w:tabs>
          <w:tab w:val="num" w:pos="4320"/>
        </w:tabs>
        <w:ind w:left="4320" w:hanging="360"/>
      </w:pPr>
      <w:rPr>
        <w:rFonts w:ascii="Wingdings" w:hAnsi="Wingdings" w:hint="default"/>
      </w:rPr>
    </w:lvl>
    <w:lvl w:ilvl="6" w:tplc="73D678FE" w:tentative="1">
      <w:start w:val="1"/>
      <w:numFmt w:val="bullet"/>
      <w:lvlText w:val="?"/>
      <w:lvlJc w:val="left"/>
      <w:pPr>
        <w:tabs>
          <w:tab w:val="num" w:pos="5040"/>
        </w:tabs>
        <w:ind w:left="5040" w:hanging="360"/>
      </w:pPr>
      <w:rPr>
        <w:rFonts w:ascii="Symbol" w:hAnsi="Symbol" w:hint="default"/>
      </w:rPr>
    </w:lvl>
    <w:lvl w:ilvl="7" w:tplc="0C8A5192" w:tentative="1">
      <w:start w:val="1"/>
      <w:numFmt w:val="bullet"/>
      <w:lvlText w:val="o"/>
      <w:lvlJc w:val="left"/>
      <w:pPr>
        <w:tabs>
          <w:tab w:val="num" w:pos="5760"/>
        </w:tabs>
        <w:ind w:left="5760" w:hanging="360"/>
      </w:pPr>
      <w:rPr>
        <w:rFonts w:ascii="Courier New" w:hAnsi="Courier New" w:cs="Courier New" w:hint="default"/>
      </w:rPr>
    </w:lvl>
    <w:lvl w:ilvl="8" w:tplc="B930E4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BC2C83E2">
      <w:start w:val="1"/>
      <w:numFmt w:val="decimal"/>
      <w:lvlText w:val="%1."/>
      <w:lvlJc w:val="left"/>
      <w:pPr>
        <w:tabs>
          <w:tab w:val="num" w:pos="340"/>
        </w:tabs>
        <w:ind w:left="340" w:hanging="340"/>
      </w:pPr>
      <w:rPr>
        <w:rFonts w:cs="Times New Roman"/>
      </w:rPr>
    </w:lvl>
    <w:lvl w:ilvl="1" w:tplc="10D0503C" w:tentative="1">
      <w:start w:val="1"/>
      <w:numFmt w:val="lowerLetter"/>
      <w:lvlText w:val="%2."/>
      <w:lvlJc w:val="left"/>
      <w:pPr>
        <w:tabs>
          <w:tab w:val="num" w:pos="1440"/>
        </w:tabs>
        <w:ind w:left="1440" w:hanging="360"/>
      </w:pPr>
      <w:rPr>
        <w:rFonts w:cs="Times New Roman"/>
      </w:rPr>
    </w:lvl>
    <w:lvl w:ilvl="2" w:tplc="7DD2502C" w:tentative="1">
      <w:start w:val="1"/>
      <w:numFmt w:val="lowerRoman"/>
      <w:lvlText w:val="%3."/>
      <w:lvlJc w:val="right"/>
      <w:pPr>
        <w:tabs>
          <w:tab w:val="num" w:pos="2160"/>
        </w:tabs>
        <w:ind w:left="2160" w:hanging="180"/>
      </w:pPr>
      <w:rPr>
        <w:rFonts w:cs="Times New Roman"/>
      </w:rPr>
    </w:lvl>
    <w:lvl w:ilvl="3" w:tplc="1258355E" w:tentative="1">
      <w:start w:val="1"/>
      <w:numFmt w:val="decimal"/>
      <w:lvlText w:val="%4."/>
      <w:lvlJc w:val="left"/>
      <w:pPr>
        <w:tabs>
          <w:tab w:val="num" w:pos="2880"/>
        </w:tabs>
        <w:ind w:left="2880" w:hanging="360"/>
      </w:pPr>
      <w:rPr>
        <w:rFonts w:cs="Times New Roman"/>
      </w:rPr>
    </w:lvl>
    <w:lvl w:ilvl="4" w:tplc="B352CE12" w:tentative="1">
      <w:start w:val="1"/>
      <w:numFmt w:val="lowerLetter"/>
      <w:lvlText w:val="%5."/>
      <w:lvlJc w:val="left"/>
      <w:pPr>
        <w:tabs>
          <w:tab w:val="num" w:pos="3600"/>
        </w:tabs>
        <w:ind w:left="3600" w:hanging="360"/>
      </w:pPr>
      <w:rPr>
        <w:rFonts w:cs="Times New Roman"/>
      </w:rPr>
    </w:lvl>
    <w:lvl w:ilvl="5" w:tplc="3A426894" w:tentative="1">
      <w:start w:val="1"/>
      <w:numFmt w:val="lowerRoman"/>
      <w:lvlText w:val="%6."/>
      <w:lvlJc w:val="right"/>
      <w:pPr>
        <w:tabs>
          <w:tab w:val="num" w:pos="4320"/>
        </w:tabs>
        <w:ind w:left="4320" w:hanging="180"/>
      </w:pPr>
      <w:rPr>
        <w:rFonts w:cs="Times New Roman"/>
      </w:rPr>
    </w:lvl>
    <w:lvl w:ilvl="6" w:tplc="74F8D964" w:tentative="1">
      <w:start w:val="1"/>
      <w:numFmt w:val="decimal"/>
      <w:lvlText w:val="%7."/>
      <w:lvlJc w:val="left"/>
      <w:pPr>
        <w:tabs>
          <w:tab w:val="num" w:pos="5040"/>
        </w:tabs>
        <w:ind w:left="5040" w:hanging="360"/>
      </w:pPr>
      <w:rPr>
        <w:rFonts w:cs="Times New Roman"/>
      </w:rPr>
    </w:lvl>
    <w:lvl w:ilvl="7" w:tplc="755E264C" w:tentative="1">
      <w:start w:val="1"/>
      <w:numFmt w:val="lowerLetter"/>
      <w:lvlText w:val="%8."/>
      <w:lvlJc w:val="left"/>
      <w:pPr>
        <w:tabs>
          <w:tab w:val="num" w:pos="5760"/>
        </w:tabs>
        <w:ind w:left="5760" w:hanging="360"/>
      </w:pPr>
      <w:rPr>
        <w:rFonts w:cs="Times New Roman"/>
      </w:rPr>
    </w:lvl>
    <w:lvl w:ilvl="8" w:tplc="B6A8EFC6"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A6623C"/>
    <w:multiLevelType w:val="hybridMultilevel"/>
    <w:tmpl w:val="4502F3DE"/>
    <w:lvl w:ilvl="0" w:tplc="7B4A6B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4812279">
    <w:abstractNumId w:val="3"/>
  </w:num>
  <w:num w:numId="2" w16cid:durableId="11033167">
    <w:abstractNumId w:val="2"/>
  </w:num>
  <w:num w:numId="3" w16cid:durableId="1387097843">
    <w:abstractNumId w:val="1"/>
  </w:num>
  <w:num w:numId="4" w16cid:durableId="786461532">
    <w:abstractNumId w:val="0"/>
  </w:num>
  <w:num w:numId="5" w16cid:durableId="1448162775">
    <w:abstractNumId w:val="7"/>
  </w:num>
  <w:num w:numId="6" w16cid:durableId="943657933">
    <w:abstractNumId w:val="6"/>
  </w:num>
  <w:num w:numId="7" w16cid:durableId="1698505436">
    <w:abstractNumId w:val="5"/>
  </w:num>
  <w:num w:numId="8" w16cid:durableId="2118019123">
    <w:abstractNumId w:val="4"/>
  </w:num>
  <w:num w:numId="9" w16cid:durableId="696656803">
    <w:abstractNumId w:val="8"/>
  </w:num>
  <w:num w:numId="10" w16cid:durableId="1249919478">
    <w:abstractNumId w:val="9"/>
  </w:num>
  <w:num w:numId="11" w16cid:durableId="772481290">
    <w:abstractNumId w:val="10"/>
  </w:num>
  <w:num w:numId="12" w16cid:durableId="911549029">
    <w:abstractNumId w:val="13"/>
  </w:num>
  <w:num w:numId="13" w16cid:durableId="1011643497">
    <w:abstractNumId w:val="15"/>
  </w:num>
  <w:num w:numId="14" w16cid:durableId="640311075">
    <w:abstractNumId w:val="16"/>
  </w:num>
  <w:num w:numId="15" w16cid:durableId="527177943">
    <w:abstractNumId w:val="11"/>
  </w:num>
  <w:num w:numId="16" w16cid:durableId="723796681">
    <w:abstractNumId w:val="19"/>
  </w:num>
  <w:num w:numId="17" w16cid:durableId="1796365479">
    <w:abstractNumId w:val="17"/>
  </w:num>
  <w:num w:numId="18" w16cid:durableId="913200886">
    <w:abstractNumId w:val="14"/>
  </w:num>
  <w:num w:numId="19" w16cid:durableId="1564367199">
    <w:abstractNumId w:val="12"/>
  </w:num>
  <w:num w:numId="20" w16cid:durableId="1403915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2998228B-41E9-466F-80DA-3FF00D1CAC40}"/>
  </w:docVars>
  <w:rsids>
    <w:rsidRoot w:val="009840CC"/>
    <w:rsid w:val="00285C08"/>
    <w:rsid w:val="009840CC"/>
    <w:rsid w:val="00DC25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F37A91-0457-4F4E-B37C-453F6438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2924</Characters>
  <Application>Microsoft Office Word</Application>
  <DocSecurity>4</DocSecurity>
  <Lines>56</Lines>
  <Paragraphs>20</Paragraphs>
  <ScaleCrop>false</ScaleCrop>
  <HeadingPairs>
    <vt:vector size="2" baseType="variant">
      <vt:variant>
        <vt:lpstr>Rubrik</vt:lpstr>
      </vt:variant>
      <vt:variant>
        <vt:i4>1</vt:i4>
      </vt:variant>
    </vt:vector>
  </HeadingPairs>
  <TitlesOfParts>
    <vt:vector size="1" baseType="lpstr">
      <vt:lpstr>FP1064</vt:lpstr>
    </vt:vector>
  </TitlesOfParts>
  <Company>Riksdagen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FP1064</dc:title>
  <dc:subject>FP1064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2011-11-25T09:53:00Z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Upprättelse för brister i barnavården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Upprättelse för brister i barnavården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Jan Ertsborn (FP)</vt:lpwstr>
  </property>
  <property fmtid="{D5CDD505-2E9C-101B-9397-08002B2CF9AE}" pid="26" name="MotionarLista">
    <vt:lpwstr>Brodén, Anita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20112012000000700080000010640069</vt:lpwstr>
  </property>
  <property fmtid="{D5CDD505-2E9C-101B-9397-08002B2CF9AE}" pid="47" name="datum">
    <vt:lpwstr>111005</vt:lpwstr>
  </property>
  <property fmtid="{D5CDD505-2E9C-101B-9397-08002B2CF9AE}" pid="48" name="avsändar-e-post">
    <vt:lpwstr>lars.p.johansson@riksdagen.se</vt:lpwstr>
  </property>
  <property fmtid="{D5CDD505-2E9C-101B-9397-08002B2CF9AE}" pid="49" name="id">
    <vt:lpwstr>20112012000000700080000010640069</vt:lpwstr>
  </property>
  <property fmtid="{D5CDD505-2E9C-101B-9397-08002B2CF9AE}" pid="50" name="nummer">
    <vt:lpwstr>460</vt:lpwstr>
  </property>
  <property fmtid="{D5CDD505-2E9C-101B-9397-08002B2CF9AE}" pid="51" name="utskottsbeteckning">
    <vt:lpwstr>So</vt:lpwstr>
  </property>
  <property fmtid="{D5CDD505-2E9C-101B-9397-08002B2CF9AE}" pid="52" name="GlobalUID">
    <vt:lpwstr>{0FB35102-A7D8-414B-913E-85AD386AD3F0}</vt:lpwstr>
  </property>
  <property fmtid="{D5CDD505-2E9C-101B-9397-08002B2CF9AE}" pid="53" name="Överföringar">
    <vt:i4>0</vt:i4>
  </property>
  <property fmtid="{D5CDD505-2E9C-101B-9397-08002B2CF9AE}" pid="54" name="Checksum">
    <vt:lpwstr>*1016916504951*</vt:lpwstr>
  </property>
  <property fmtid="{D5CDD505-2E9C-101B-9397-08002B2CF9AE}" pid="55" name="skuggnummer">
    <vt:lpwstr>1833</vt:lpwstr>
  </property>
  <property fmtid="{D5CDD505-2E9C-101B-9397-08002B2CF9AE}" pid="56" name="urixVersion">
    <vt:lpwstr>4.5.0.25</vt:lpwstr>
  </property>
  <property fmtid="{D5CDD505-2E9C-101B-9397-08002B2CF9AE}" pid="57" name="urixOrigin">
    <vt:lpwstr>111125 10:54:57.344</vt:lpwstr>
  </property>
  <property fmtid="{D5CDD505-2E9C-101B-9397-08002B2CF9AE}" pid="58" name="urixGuid">
    <vt:lpwstr>{9ECF97F5-E40C-4B33-8557-92DB61D5D913}</vt:lpwstr>
  </property>
</Properties>
</file>