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74E5679" w14:textId="77777777">
        <w:tc>
          <w:tcPr>
            <w:tcW w:w="2268" w:type="dxa"/>
          </w:tcPr>
          <w:p w14:paraId="112CB59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B3E7D0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88200D1" w14:textId="77777777">
        <w:tc>
          <w:tcPr>
            <w:tcW w:w="2268" w:type="dxa"/>
          </w:tcPr>
          <w:p w14:paraId="035821F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71C01E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61C2AB0" w14:textId="77777777">
        <w:tc>
          <w:tcPr>
            <w:tcW w:w="3402" w:type="dxa"/>
            <w:gridSpan w:val="2"/>
          </w:tcPr>
          <w:p w14:paraId="6E661C1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E510AE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51E1A38" w14:textId="77777777">
        <w:tc>
          <w:tcPr>
            <w:tcW w:w="2268" w:type="dxa"/>
          </w:tcPr>
          <w:p w14:paraId="619E9BE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CD07B7D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1B9ACF1A" w14:textId="77777777">
        <w:tc>
          <w:tcPr>
            <w:tcW w:w="2268" w:type="dxa"/>
          </w:tcPr>
          <w:p w14:paraId="6EE0857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66D567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FE785BE" w14:textId="77777777">
        <w:trPr>
          <w:trHeight w:val="284"/>
        </w:trPr>
        <w:tc>
          <w:tcPr>
            <w:tcW w:w="4911" w:type="dxa"/>
          </w:tcPr>
          <w:p w14:paraId="1D07D0F2" w14:textId="77777777" w:rsidR="006E4E11" w:rsidRDefault="003C67E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7F2194CB" w14:textId="77777777">
        <w:trPr>
          <w:trHeight w:val="284"/>
        </w:trPr>
        <w:tc>
          <w:tcPr>
            <w:tcW w:w="4911" w:type="dxa"/>
          </w:tcPr>
          <w:p w14:paraId="00029BD9" w14:textId="77777777" w:rsidR="006E4E11" w:rsidRDefault="003C67E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70809F01" w14:textId="77777777">
        <w:trPr>
          <w:trHeight w:val="284"/>
        </w:trPr>
        <w:tc>
          <w:tcPr>
            <w:tcW w:w="4911" w:type="dxa"/>
          </w:tcPr>
          <w:p w14:paraId="46561C1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77CF8" w14:paraId="6B3D4AB8" w14:textId="77777777">
        <w:trPr>
          <w:trHeight w:val="284"/>
        </w:trPr>
        <w:tc>
          <w:tcPr>
            <w:tcW w:w="4911" w:type="dxa"/>
          </w:tcPr>
          <w:p w14:paraId="3AE7D759" w14:textId="3ABCB221" w:rsidR="006E4E11" w:rsidRPr="00677CF8" w:rsidRDefault="006E4E11" w:rsidP="002E4BF7">
            <w:pPr>
              <w:pStyle w:val="Avsndare"/>
              <w:framePr w:h="2483" w:wrap="notBeside" w:x="1504"/>
              <w:rPr>
                <w:b/>
                <w:bCs/>
                <w:iCs/>
                <w:lang w:val="de-DE"/>
              </w:rPr>
            </w:pPr>
          </w:p>
        </w:tc>
      </w:tr>
      <w:tr w:rsidR="006E4E11" w:rsidRPr="00C2045F" w14:paraId="4A585568" w14:textId="77777777">
        <w:trPr>
          <w:trHeight w:val="284"/>
        </w:trPr>
        <w:tc>
          <w:tcPr>
            <w:tcW w:w="4911" w:type="dxa"/>
          </w:tcPr>
          <w:p w14:paraId="2687639A" w14:textId="13D80462" w:rsidR="002E4BF7" w:rsidRPr="00103E61" w:rsidRDefault="002E4BF7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  <w:p w14:paraId="25A19314" w14:textId="77777777" w:rsidR="00C2045F" w:rsidRPr="00103E61" w:rsidRDefault="00C2045F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  <w:p w14:paraId="4294323E" w14:textId="709EB6CF" w:rsidR="00C2045F" w:rsidRPr="00C2045F" w:rsidRDefault="00C2045F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:rsidRPr="00C2045F" w14:paraId="2D429E9E" w14:textId="77777777">
        <w:trPr>
          <w:trHeight w:val="284"/>
        </w:trPr>
        <w:tc>
          <w:tcPr>
            <w:tcW w:w="4911" w:type="dxa"/>
          </w:tcPr>
          <w:p w14:paraId="39D14B4D" w14:textId="77777777" w:rsidR="006E4E11" w:rsidRPr="00C2045F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FCBDE79" w14:textId="77777777" w:rsidR="006E4E11" w:rsidRDefault="003C67E1">
      <w:pPr>
        <w:framePr w:w="4400" w:h="2523" w:wrap="notBeside" w:vAnchor="page" w:hAnchor="page" w:x="6453" w:y="2445"/>
        <w:ind w:left="142"/>
      </w:pPr>
      <w:r>
        <w:t>Till riksdagen</w:t>
      </w:r>
    </w:p>
    <w:p w14:paraId="7B22C84E" w14:textId="77777777" w:rsidR="00B16841" w:rsidRDefault="00B16841">
      <w:pPr>
        <w:framePr w:w="4400" w:h="2523" w:wrap="notBeside" w:vAnchor="page" w:hAnchor="page" w:x="6453" w:y="2445"/>
        <w:ind w:left="142"/>
      </w:pPr>
    </w:p>
    <w:p w14:paraId="44E81692" w14:textId="2795A70C" w:rsidR="006E4E11" w:rsidRDefault="003C67E1" w:rsidP="003C67E1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2F3000">
        <w:t>2016/17:</w:t>
      </w:r>
      <w:r>
        <w:t>128</w:t>
      </w:r>
      <w:r w:rsidR="002F3000">
        <w:t xml:space="preserve">3 </w:t>
      </w:r>
      <w:r>
        <w:t xml:space="preserve">av </w:t>
      </w:r>
      <w:r w:rsidR="002F3000">
        <w:t xml:space="preserve">Christian Holm </w:t>
      </w:r>
      <w:proofErr w:type="spellStart"/>
      <w:r w:rsidR="002F3000">
        <w:t>Barenfeld</w:t>
      </w:r>
      <w:proofErr w:type="spellEnd"/>
      <w:r>
        <w:t xml:space="preserve"> (</w:t>
      </w:r>
      <w:r w:rsidR="002F3000">
        <w:t>M</w:t>
      </w:r>
      <w:r>
        <w:t xml:space="preserve">) </w:t>
      </w:r>
      <w:r w:rsidR="002F3000">
        <w:t>Regeringens syn på Saudiarabiens jämställdhetspolitik, fråga 2016/17:1284 av Elisabeth Svantesson (M) Saudiarabiens plats i FN:s kvinnokommission, fråga 2016/17:1300 av T</w:t>
      </w:r>
      <w:r w:rsidR="00103E61">
        <w:t xml:space="preserve">ina </w:t>
      </w:r>
      <w:proofErr w:type="spellStart"/>
      <w:r w:rsidR="00103E61">
        <w:t>Ghasemi</w:t>
      </w:r>
      <w:proofErr w:type="spellEnd"/>
      <w:r w:rsidR="00103E61">
        <w:t xml:space="preserve"> (M) Saudiarabien i</w:t>
      </w:r>
      <w:r w:rsidR="002F3000">
        <w:t xml:space="preserve"> FN:s kvinnokommission </w:t>
      </w:r>
      <w:r w:rsidR="005A5823">
        <w:t xml:space="preserve">samt </w:t>
      </w:r>
      <w:r w:rsidR="002F3000">
        <w:t>fråga 2016/17:</w:t>
      </w:r>
      <w:r w:rsidR="00B16841">
        <w:t xml:space="preserve">1301 av Jenny Petersson (M) </w:t>
      </w:r>
      <w:r w:rsidR="002F3000">
        <w:t>Saudiarabien i FN:s kvinnokommission</w:t>
      </w:r>
      <w:r w:rsidR="00ED6CCE">
        <w:t xml:space="preserve"> </w:t>
      </w:r>
      <w:r w:rsidR="00135CBC">
        <w:t xml:space="preserve">och 2016/17:1313 av Jenny Petersson (M) </w:t>
      </w:r>
      <w:r w:rsidR="00ED6CCE">
        <w:t>FN:s kvinnokommission</w:t>
      </w:r>
    </w:p>
    <w:p w14:paraId="16B6AB82" w14:textId="77777777" w:rsidR="006E4E11" w:rsidRDefault="006E4E11">
      <w:pPr>
        <w:pStyle w:val="RKnormal"/>
      </w:pPr>
    </w:p>
    <w:p w14:paraId="7AA8FDB6" w14:textId="33363939" w:rsidR="00D84B09" w:rsidRDefault="002F3000">
      <w:pPr>
        <w:pStyle w:val="RKnormal"/>
      </w:pPr>
      <w:r>
        <w:t xml:space="preserve">Christian Holm </w:t>
      </w:r>
      <w:proofErr w:type="spellStart"/>
      <w:r>
        <w:t>Barenfeld</w:t>
      </w:r>
      <w:proofErr w:type="spellEnd"/>
      <w:r>
        <w:t xml:space="preserve"> har frågat stats</w:t>
      </w:r>
      <w:r w:rsidR="00B16841">
        <w:t xml:space="preserve">rådet </w:t>
      </w:r>
      <w:r>
        <w:t>Regnér om</w:t>
      </w:r>
      <w:r w:rsidR="00B16841">
        <w:t xml:space="preserve"> den svenska regeringens position vid den omröstning där Saudiarabien va</w:t>
      </w:r>
      <w:r w:rsidR="00103E61">
        <w:t>ldes in i FN:s kvinnokommission.</w:t>
      </w:r>
      <w:r w:rsidR="00B16841">
        <w:t xml:space="preserve"> Elisabeth Svantesson har frågat statsråd</w:t>
      </w:r>
      <w:r w:rsidR="00103E61">
        <w:t xml:space="preserve">et Regnér </w:t>
      </w:r>
      <w:r w:rsidR="00B16841">
        <w:t>på vilket sätt ett land som förtrycker kvinnor kan bidra till att utveck</w:t>
      </w:r>
      <w:r w:rsidR="00103E61">
        <w:t>la jämställdhetsarbetet inom FN och</w:t>
      </w:r>
      <w:r w:rsidR="00B16841">
        <w:t xml:space="preserve"> vilka dialoger regeringen avser föra med Saudiarabien när det gäller jämställdhet. Jenny Petersson har frågat statsrådet Regnér om vilka krav som bör ställas på de länder som ingår i FN:s kvinnokommission när det kommer till ländernas jämställdhetsarbete. Arbetet inom regeringen är så fördelat att det är jag </w:t>
      </w:r>
      <w:r w:rsidR="005A5823">
        <w:t>s</w:t>
      </w:r>
      <w:r w:rsidR="00B16841">
        <w:t xml:space="preserve">om ska svara på frågorna. </w:t>
      </w:r>
    </w:p>
    <w:p w14:paraId="483A0717" w14:textId="77777777" w:rsidR="00D84B09" w:rsidRDefault="00D84B09">
      <w:pPr>
        <w:pStyle w:val="RKnormal"/>
      </w:pPr>
    </w:p>
    <w:p w14:paraId="752ED206" w14:textId="655A8AAE" w:rsidR="00D84B09" w:rsidRDefault="00B16841">
      <w:pPr>
        <w:pStyle w:val="RKnormal"/>
      </w:pPr>
      <w:r>
        <w:t xml:space="preserve">Tina </w:t>
      </w:r>
      <w:proofErr w:type="spellStart"/>
      <w:r>
        <w:t>Ghasemi</w:t>
      </w:r>
      <w:proofErr w:type="spellEnd"/>
      <w:r>
        <w:t xml:space="preserve"> har frågat mig om jag och regeringen är för eller emot Saudiarabiens medverkan i FN:s kvinnokommission. </w:t>
      </w:r>
      <w:r w:rsidR="00CE6C88">
        <w:t xml:space="preserve">Jenny Petersson har också </w:t>
      </w:r>
      <w:r w:rsidR="00ED6CCE">
        <w:t>frågat mig hur Sverige röstade i den slutna omröstningen.</w:t>
      </w:r>
    </w:p>
    <w:p w14:paraId="3BCEE2C0" w14:textId="77777777" w:rsidR="00D84B09" w:rsidRDefault="00D84B09">
      <w:pPr>
        <w:pStyle w:val="RKnormal"/>
      </w:pPr>
    </w:p>
    <w:p w14:paraId="200EE8D3" w14:textId="203C13C3" w:rsidR="00B16841" w:rsidRDefault="00B16841">
      <w:pPr>
        <w:pStyle w:val="RKnormal"/>
      </w:pPr>
      <w:r>
        <w:t>Jag väljer att besvara frågorna i ett sammanhang.</w:t>
      </w:r>
    </w:p>
    <w:p w14:paraId="54819F15" w14:textId="77777777" w:rsidR="00B16841" w:rsidRDefault="00B16841">
      <w:pPr>
        <w:pStyle w:val="RKnormal"/>
      </w:pPr>
    </w:p>
    <w:p w14:paraId="58BAAC03" w14:textId="3E8AA294" w:rsidR="00D90D58" w:rsidRDefault="00D90D58" w:rsidP="00F6038C">
      <w:pPr>
        <w:pStyle w:val="RKnormal"/>
      </w:pPr>
      <w:r>
        <w:t>Låt oss börja med att konstatera att FN och dess organ tillhör medlemsstater</w:t>
      </w:r>
      <w:r w:rsidR="00D44293">
        <w:t>na</w:t>
      </w:r>
      <w:r>
        <w:t xml:space="preserve">, oavsett hur dessa länder styrs eller beaktar mänskliga rättigheter. </w:t>
      </w:r>
    </w:p>
    <w:p w14:paraId="385B7E50" w14:textId="77777777" w:rsidR="00D90D58" w:rsidRDefault="00D90D58" w:rsidP="00F6038C">
      <w:pPr>
        <w:pStyle w:val="RKnormal"/>
      </w:pPr>
    </w:p>
    <w:p w14:paraId="55AA5903" w14:textId="232242D5" w:rsidR="005A5823" w:rsidRDefault="00F6038C" w:rsidP="00F6038C">
      <w:pPr>
        <w:pStyle w:val="RKnormal"/>
      </w:pPr>
      <w:r>
        <w:t>FN:s kvinnokommission är en funktionell kommitté under FN:s ekonomiska och sociala råd (ECOSOC).</w:t>
      </w:r>
      <w:r w:rsidR="00C35192">
        <w:t xml:space="preserve"> Kvinnokommissionen</w:t>
      </w:r>
      <w:r w:rsidR="005A5823" w:rsidRPr="005A5823">
        <w:t xml:space="preserve"> </w:t>
      </w:r>
      <w:r w:rsidR="00DD0A86">
        <w:t xml:space="preserve">rapporterar </w:t>
      </w:r>
      <w:r w:rsidR="005A5823" w:rsidRPr="005A5823">
        <w:t xml:space="preserve">till ECOSOC om hur man ska främja kvinnors politiska, ekonomiska, sociala rättigheter och inom utbildning. </w:t>
      </w:r>
      <w:r w:rsidR="00C35192">
        <w:t>Kommissionen</w:t>
      </w:r>
      <w:r w:rsidR="005A5823" w:rsidRPr="005A5823">
        <w:t xml:space="preserve"> ska utfärda rekommendationer när det gäller problem som behöver omedelbar uppmärksamhet inom områden som berör kvinnors rätti</w:t>
      </w:r>
      <w:r w:rsidR="00CE6C88">
        <w:t xml:space="preserve">gheter. </w:t>
      </w:r>
      <w:bookmarkStart w:id="0" w:name="_GoBack"/>
      <w:bookmarkEnd w:id="0"/>
      <w:r w:rsidR="00C35192">
        <w:t>Den ska vidare bland annat</w:t>
      </w:r>
      <w:r w:rsidR="005A5823" w:rsidRPr="005A5823">
        <w:t xml:space="preserve"> överse genomförandet av </w:t>
      </w:r>
      <w:proofErr w:type="spellStart"/>
      <w:r w:rsidR="005A5823" w:rsidRPr="005A5823">
        <w:lastRenderedPageBreak/>
        <w:t>Platform</w:t>
      </w:r>
      <w:proofErr w:type="spellEnd"/>
      <w:r w:rsidR="005A5823" w:rsidRPr="005A5823">
        <w:t xml:space="preserve"> for Action of the </w:t>
      </w:r>
      <w:proofErr w:type="spellStart"/>
      <w:r w:rsidR="005A5823" w:rsidRPr="005A5823">
        <w:t>Fourth</w:t>
      </w:r>
      <w:proofErr w:type="spellEnd"/>
      <w:r w:rsidR="005A5823" w:rsidRPr="005A5823">
        <w:t xml:space="preserve"> World Conference on Women (Kvinnokonferensen i Peking).</w:t>
      </w:r>
    </w:p>
    <w:p w14:paraId="557FDC1B" w14:textId="77777777" w:rsidR="005A5823" w:rsidRDefault="005A5823" w:rsidP="00F6038C">
      <w:pPr>
        <w:pStyle w:val="RKnormal"/>
      </w:pPr>
    </w:p>
    <w:p w14:paraId="4D21DC77" w14:textId="14B7A4C1" w:rsidR="00F6038C" w:rsidRDefault="00F6038C" w:rsidP="00F6038C">
      <w:pPr>
        <w:pStyle w:val="RKnormal"/>
      </w:pPr>
      <w:r>
        <w:t xml:space="preserve">Medlemmar i kvinnokommissionen för 2017 är: </w:t>
      </w:r>
      <w:proofErr w:type="spellStart"/>
      <w:r>
        <w:t>Burkino</w:t>
      </w:r>
      <w:proofErr w:type="spellEnd"/>
      <w:r>
        <w:t xml:space="preserve"> Faso, Demokratiska republiken Kongo, Egypten, Ekvatorial Guinea, Eritrea, Ghana, Kenya, Lesotho, Liberia, Malawi, Nigeria, Uganda, Tanzania, Bangladesh, Indien, Iran, Japan, Kazakstan, Kuwait, Mongoliet, Pakistan, Qatar, Sydkorea, </w:t>
      </w:r>
      <w:proofErr w:type="spellStart"/>
      <w:r>
        <w:t>Tajikistan</w:t>
      </w:r>
      <w:proofErr w:type="spellEnd"/>
      <w:r>
        <w:t xml:space="preserve">, Albanien, Vitryssland, Bosnien </w:t>
      </w:r>
      <w:proofErr w:type="spellStart"/>
      <w:r>
        <w:t>Herzegovina</w:t>
      </w:r>
      <w:proofErr w:type="spellEnd"/>
      <w:r>
        <w:t>, Ryssland, Brasilien, Colombia, Ecuador, El Salvador, Guatemala, Guyana, Paraguay, Trinidad och Tobago, Uruguay, Belgien, Israel, Tyskland, Lichtenstein, Norge, Spanien, Schweiz och Storbri</w:t>
      </w:r>
      <w:r w:rsidR="005024C5">
        <w:t>t</w:t>
      </w:r>
      <w:r>
        <w:t xml:space="preserve">annien. </w:t>
      </w:r>
    </w:p>
    <w:p w14:paraId="27139F44" w14:textId="77777777" w:rsidR="00F6038C" w:rsidRDefault="00F6038C" w:rsidP="00F6038C">
      <w:pPr>
        <w:pStyle w:val="RKnormal"/>
      </w:pPr>
    </w:p>
    <w:p w14:paraId="36D1CBF8" w14:textId="612CEDB4" w:rsidR="00F6038C" w:rsidRDefault="00F6038C" w:rsidP="00F6038C">
      <w:pPr>
        <w:pStyle w:val="RKnormal"/>
      </w:pPr>
      <w:r>
        <w:t xml:space="preserve">I Kvinnokommissionens förhandlingsarbete kan samtliga FN:s medlemsstater delta, vare sig de är medlemmar i kommissionen eller </w:t>
      </w:r>
      <w:proofErr w:type="gramStart"/>
      <w:r>
        <w:t>ej</w:t>
      </w:r>
      <w:proofErr w:type="gramEnd"/>
      <w:r>
        <w:t>. Förhandlingsarbetet sker i politiska och regionala grupperingar, inte av kommissionens medlemmar. EU</w:t>
      </w:r>
      <w:r w:rsidR="00D90D58">
        <w:t xml:space="preserve"> </w:t>
      </w:r>
      <w:r>
        <w:t xml:space="preserve">förhandlar för EU:s medlemsstaters räkning även om inte alla EU-länder är medlemmar av kommissionen. Vid varje sammanträde antas s.k. </w:t>
      </w:r>
      <w:r w:rsidRPr="002E5859">
        <w:t>överenskomna</w:t>
      </w:r>
      <w:r>
        <w:t xml:space="preserve"> slutsatser (</w:t>
      </w:r>
      <w:proofErr w:type="spellStart"/>
      <w:r>
        <w:t>Agreed</w:t>
      </w:r>
      <w:proofErr w:type="spellEnd"/>
      <w:r>
        <w:t xml:space="preserve"> </w:t>
      </w:r>
      <w:proofErr w:type="spellStart"/>
      <w:r>
        <w:t>Conclusions</w:t>
      </w:r>
      <w:proofErr w:type="spellEnd"/>
      <w:r>
        <w:t>).</w:t>
      </w:r>
      <w:r w:rsidRPr="002E5859">
        <w:t xml:space="preserve"> Dessa slutsatser antas med konsensus</w:t>
      </w:r>
      <w:r>
        <w:t xml:space="preserve"> av kommissionen och lämnas sedan över till ECOSOC</w:t>
      </w:r>
      <w:r w:rsidRPr="002E5859">
        <w:t>.</w:t>
      </w:r>
      <w:r>
        <w:t xml:space="preserve"> </w:t>
      </w:r>
      <w:r w:rsidR="00C35192">
        <w:t>Slutsatserna är tänkta att vara normgivande för det internationella jämställdhetsarbetet. De är inte bindande och de har inte karaktären av åtgärdsplaner som ska genomföras.</w:t>
      </w:r>
    </w:p>
    <w:p w14:paraId="298AC1E3" w14:textId="77777777" w:rsidR="00F6038C" w:rsidRDefault="00F6038C" w:rsidP="00F6038C">
      <w:pPr>
        <w:pStyle w:val="RKnormal"/>
      </w:pPr>
    </w:p>
    <w:p w14:paraId="4B3CDE4E" w14:textId="13A804E2" w:rsidR="00F6038C" w:rsidRDefault="00F6038C" w:rsidP="00F6038C">
      <w:pPr>
        <w:pStyle w:val="RKnormal"/>
      </w:pPr>
      <w:r>
        <w:t xml:space="preserve">Givet </w:t>
      </w:r>
      <w:r w:rsidR="00D90D58">
        <w:t xml:space="preserve">hur </w:t>
      </w:r>
      <w:r>
        <w:t>arbet</w:t>
      </w:r>
      <w:r w:rsidR="00D90D58">
        <w:t>et bedrivs</w:t>
      </w:r>
      <w:r>
        <w:t xml:space="preserve"> är det </w:t>
      </w:r>
      <w:r w:rsidR="00D90D58">
        <w:t xml:space="preserve">hur aktivt ett land är </w:t>
      </w:r>
      <w:r>
        <w:t xml:space="preserve">som avgör </w:t>
      </w:r>
      <w:r w:rsidR="00D90D58">
        <w:t>dess</w:t>
      </w:r>
      <w:r>
        <w:t xml:space="preserve"> inflytande i </w:t>
      </w:r>
      <w:r w:rsidR="00D44293">
        <w:t xml:space="preserve">de frågor </w:t>
      </w:r>
      <w:r>
        <w:t xml:space="preserve">kommissionen </w:t>
      </w:r>
      <w:r w:rsidR="00D44293">
        <w:t xml:space="preserve">hanterar, </w:t>
      </w:r>
      <w:r>
        <w:t xml:space="preserve">snarare än medlemskapet. Det centrala är därför att förhålla sig till hur man ska motverka det inflytande i kommissionens arbete som ett antal </w:t>
      </w:r>
      <w:r w:rsidR="0027096C">
        <w:t xml:space="preserve">auktoritära och </w:t>
      </w:r>
      <w:r>
        <w:t xml:space="preserve">värdekonservativa delegationer har. De värdekonservativa strömningarna och delegationerna finns i samtliga regionala grupper, även EU. </w:t>
      </w:r>
      <w:r w:rsidR="00D44293">
        <w:t>Det finns således flera delegationer som aktivt verkar för värdekonservativa övertygelser, inte minst när det gäller kvinnors sexuella och reproduktiva rättigheter.</w:t>
      </w:r>
    </w:p>
    <w:p w14:paraId="7929430E" w14:textId="77777777" w:rsidR="00F6038C" w:rsidRDefault="00F6038C" w:rsidP="00F6038C">
      <w:pPr>
        <w:pStyle w:val="RKnormal"/>
      </w:pPr>
    </w:p>
    <w:p w14:paraId="3EFE5F6E" w14:textId="77777777" w:rsidR="00F6038C" w:rsidRDefault="00F6038C" w:rsidP="00F6038C">
      <w:pPr>
        <w:pStyle w:val="RKnormal"/>
      </w:pPr>
      <w:r>
        <w:t xml:space="preserve">Det går att uppnå goda jämställdhetspolitiska resultat i FN-förhandlingar där hela FN:s medlemskrets deltar, vare sig det är i Kvinnokommissionen eller andra organ. Trots att de värdekonservativa delegationerna gjorde gemensam sak i förhandlingarna om Agenda 2030 lyckades Sverige tillsammans med likasinnade få igenom starka jämställdhetspolitiska skrivningar, inklusive om sexuell och reproduktiv hälsa och rättigheter. </w:t>
      </w:r>
    </w:p>
    <w:p w14:paraId="3F9FD5A7" w14:textId="77777777" w:rsidR="00F6038C" w:rsidRDefault="00F6038C" w:rsidP="00F6038C">
      <w:pPr>
        <w:pStyle w:val="RKnormal"/>
      </w:pPr>
    </w:p>
    <w:p w14:paraId="4950EA44" w14:textId="77777777" w:rsidR="00677CF8" w:rsidRDefault="00677CF8" w:rsidP="00677CF8">
      <w:pPr>
        <w:pStyle w:val="RKnormal"/>
      </w:pPr>
      <w:r>
        <w:t xml:space="preserve">ECOSOC har 54 medlemmar som fördelas på geografiska grupper enligt generalförsamlingsresolution 2847. Samma princip gäller för kvinnokommissionen där de regionala grupperna nominerar sina kandidater. </w:t>
      </w:r>
    </w:p>
    <w:p w14:paraId="40381C47" w14:textId="77777777" w:rsidR="00677CF8" w:rsidRDefault="00677CF8" w:rsidP="00677CF8">
      <w:pPr>
        <w:pStyle w:val="RKnormal"/>
      </w:pPr>
    </w:p>
    <w:p w14:paraId="71D44793" w14:textId="646872B5" w:rsidR="00F6038C" w:rsidRDefault="00F6038C" w:rsidP="00F6038C">
      <w:pPr>
        <w:pStyle w:val="RKnormal"/>
      </w:pPr>
      <w:r>
        <w:lastRenderedPageBreak/>
        <w:t xml:space="preserve">Medlemskap i ECOSOC medför rösträtt i val till underkommittéer som lyder under ECOSOC, inklusive Kvinnokommissionen. Sverige är medlem i ECOSOC 2013-2019. Under denna tid har ett antal länder vars jämställdhetspolitik denna regering inte ställer sig bakom blivit invalda i kommissionen. Några sådana exempel är Iran (2014), Qatar (2015) och Ryssland (2015). </w:t>
      </w:r>
    </w:p>
    <w:p w14:paraId="77CABF6C" w14:textId="77777777" w:rsidR="00F6038C" w:rsidRDefault="00F6038C" w:rsidP="00F6038C">
      <w:pPr>
        <w:pStyle w:val="RKnormal"/>
      </w:pPr>
    </w:p>
    <w:p w14:paraId="381E772A" w14:textId="77777777" w:rsidR="00F6038C" w:rsidRDefault="00F6038C" w:rsidP="00F6038C">
      <w:pPr>
        <w:pStyle w:val="RKnormal"/>
      </w:pPr>
      <w:r>
        <w:t xml:space="preserve">Val till ECOSOC:s underorgan vilar på en mellan regioner överenskommen fördelning för att tillförsäkra alla regioner platser i olika kommissioner. Det finns inga särskilda kriterier för medlemskap i de funktionella kommittéerna, inbegripet Kvinnokommissionen. </w:t>
      </w:r>
    </w:p>
    <w:p w14:paraId="03CE5383" w14:textId="77777777" w:rsidR="00F6038C" w:rsidRDefault="00F6038C" w:rsidP="00F6038C">
      <w:pPr>
        <w:pStyle w:val="RKnormal"/>
      </w:pPr>
    </w:p>
    <w:p w14:paraId="1D66867C" w14:textId="472ED7DD" w:rsidR="00F6038C" w:rsidRDefault="00F6038C" w:rsidP="00F6038C">
      <w:pPr>
        <w:pStyle w:val="RKnormal"/>
      </w:pPr>
      <w:r>
        <w:t xml:space="preserve">I de fall det finns enighet i de olika regionala grupperna med lika många kandidater som det finns platser (s.k. </w:t>
      </w:r>
      <w:proofErr w:type="spellStart"/>
      <w:r>
        <w:t>clean</w:t>
      </w:r>
      <w:proofErr w:type="spellEnd"/>
      <w:r>
        <w:t xml:space="preserve"> </w:t>
      </w:r>
      <w:proofErr w:type="spellStart"/>
      <w:r>
        <w:t>slate</w:t>
      </w:r>
      <w:proofErr w:type="spellEnd"/>
      <w:r>
        <w:t>) är det brukligt att dessa förslag accepteras och antas i ECOSOC genom acklamation. Att utmana ”</w:t>
      </w:r>
      <w:proofErr w:type="spellStart"/>
      <w:r>
        <w:t>clean</w:t>
      </w:r>
      <w:proofErr w:type="spellEnd"/>
      <w:r>
        <w:t xml:space="preserve"> </w:t>
      </w:r>
      <w:proofErr w:type="spellStart"/>
      <w:r>
        <w:t>slate</w:t>
      </w:r>
      <w:proofErr w:type="spellEnd"/>
      <w:r>
        <w:t xml:space="preserve">” i en annan regional grupp kan resultera i att andra länder agerar på samma sätt i val där Sverige har intresse av att bli invalt. </w:t>
      </w:r>
    </w:p>
    <w:p w14:paraId="0141F7E0" w14:textId="77777777" w:rsidR="00F6038C" w:rsidRDefault="00F6038C" w:rsidP="00F6038C">
      <w:pPr>
        <w:pStyle w:val="RKnormal"/>
      </w:pPr>
    </w:p>
    <w:p w14:paraId="5ACF0206" w14:textId="6B1C1658" w:rsidR="00F6038C" w:rsidRDefault="00F6038C" w:rsidP="00F6038C">
      <w:pPr>
        <w:pStyle w:val="RKnormal"/>
      </w:pPr>
      <w:r>
        <w:t xml:space="preserve">Sverige kommenterar inte hur vi röstar i det fall en sluten omröstning förekommer. Det skulle kunna skada Sveriges roll i det aktuella forumet liksom Sveriges bilaterala relationer med landet eller länderna ifråga. </w:t>
      </w:r>
      <w:r w:rsidR="00D44293">
        <w:t xml:space="preserve">Rösthemligheten innebär också ett skydd för länder som skulle kunna utsättas för </w:t>
      </w:r>
      <w:r w:rsidR="00135CBC">
        <w:t>påtryckningar</w:t>
      </w:r>
      <w:r w:rsidR="00D44293">
        <w:t xml:space="preserve"> p</w:t>
      </w:r>
      <w:r w:rsidR="00C35192">
        <w:t>å grund av</w:t>
      </w:r>
      <w:r w:rsidR="00D44293">
        <w:t xml:space="preserve"> hur de röstat.</w:t>
      </w:r>
    </w:p>
    <w:p w14:paraId="528D7C1E" w14:textId="77777777" w:rsidR="00F6038C" w:rsidRDefault="00F6038C" w:rsidP="00F6038C">
      <w:pPr>
        <w:pStyle w:val="RKnormal"/>
      </w:pPr>
    </w:p>
    <w:p w14:paraId="18DF6B55" w14:textId="2FD01A8F" w:rsidR="00F6038C" w:rsidRDefault="00B55ABF" w:rsidP="00F6038C">
      <w:pPr>
        <w:pStyle w:val="RKnormal"/>
      </w:pPr>
      <w:r w:rsidRPr="00204C01">
        <w:t xml:space="preserve">Regeringen ser mycket allvarligt på situationen för </w:t>
      </w:r>
      <w:r w:rsidR="00F6038C">
        <w:t>kvinnors rättigheter i Saudiarabien, vilket också framgår av den rapport om mänskliga rättigheter i Saudiarabien som publicerades den 26 april 2017.</w:t>
      </w:r>
      <w:r w:rsidR="0027096C">
        <w:t xml:space="preserve"> </w:t>
      </w:r>
      <w:r w:rsidR="00F6038C">
        <w:t xml:space="preserve">Regeringen kommer att fortsätta att verka kraftfullt </w:t>
      </w:r>
      <w:r w:rsidR="00DC2664">
        <w:t xml:space="preserve">inom ramen </w:t>
      </w:r>
      <w:r w:rsidR="00F6038C">
        <w:t xml:space="preserve">för </w:t>
      </w:r>
      <w:r w:rsidR="00DC2664">
        <w:t>d</w:t>
      </w:r>
      <w:r w:rsidR="00F6038C">
        <w:t>en feministisk</w:t>
      </w:r>
      <w:r w:rsidR="00DC2664">
        <w:t>a</w:t>
      </w:r>
      <w:r w:rsidR="00F6038C">
        <w:t xml:space="preserve"> utrikespolitik</w:t>
      </w:r>
      <w:r w:rsidR="00DC2664">
        <w:t>en</w:t>
      </w:r>
      <w:r w:rsidR="00F6038C">
        <w:t xml:space="preserve"> och </w:t>
      </w:r>
      <w:r w:rsidR="00DC2664">
        <w:t xml:space="preserve">bidra till att </w:t>
      </w:r>
      <w:r w:rsidR="00F6038C">
        <w:t xml:space="preserve">konkret förbättra kvinnors </w:t>
      </w:r>
      <w:r w:rsidR="005A5823">
        <w:t xml:space="preserve">och flickors </w:t>
      </w:r>
      <w:r w:rsidR="00F6038C">
        <w:t>situation världen över.</w:t>
      </w:r>
    </w:p>
    <w:p w14:paraId="4E256CF3" w14:textId="77777777" w:rsidR="00F6038C" w:rsidRDefault="00F6038C" w:rsidP="00F6038C">
      <w:pPr>
        <w:pStyle w:val="RKnormal"/>
      </w:pPr>
    </w:p>
    <w:p w14:paraId="0CD194A6" w14:textId="417006CC" w:rsidR="00F6038C" w:rsidRDefault="00F6038C" w:rsidP="00F6038C">
      <w:pPr>
        <w:pStyle w:val="RKnormal"/>
      </w:pPr>
      <w:r>
        <w:t>Stockholm den 3 maj 2017</w:t>
      </w:r>
    </w:p>
    <w:p w14:paraId="5F406D22" w14:textId="77777777" w:rsidR="00F6038C" w:rsidRDefault="00F6038C" w:rsidP="00F6038C">
      <w:pPr>
        <w:pStyle w:val="RKnormal"/>
      </w:pPr>
    </w:p>
    <w:p w14:paraId="45A7A078" w14:textId="77777777" w:rsidR="00F6038C" w:rsidRDefault="00F6038C" w:rsidP="00F6038C">
      <w:pPr>
        <w:pStyle w:val="RKnormal"/>
      </w:pPr>
    </w:p>
    <w:p w14:paraId="01C19BE7" w14:textId="77777777" w:rsidR="00F6038C" w:rsidRDefault="00F6038C" w:rsidP="00F6038C">
      <w:pPr>
        <w:pStyle w:val="RKnormal"/>
      </w:pPr>
    </w:p>
    <w:p w14:paraId="7B868D95" w14:textId="77777777" w:rsidR="00F6038C" w:rsidRDefault="00F6038C" w:rsidP="00F6038C">
      <w:pPr>
        <w:pStyle w:val="RKnormal"/>
      </w:pPr>
    </w:p>
    <w:p w14:paraId="73F294D3" w14:textId="77777777" w:rsidR="00F6038C" w:rsidRDefault="00F6038C" w:rsidP="00F6038C">
      <w:pPr>
        <w:pStyle w:val="RKnormal"/>
      </w:pPr>
    </w:p>
    <w:p w14:paraId="4AC403BE" w14:textId="77777777" w:rsidR="00F6038C" w:rsidRDefault="00F6038C" w:rsidP="00F6038C">
      <w:pPr>
        <w:pStyle w:val="RKnormal"/>
      </w:pPr>
      <w:r>
        <w:t>Margot Wallström</w:t>
      </w:r>
    </w:p>
    <w:p w14:paraId="0BC0D49B" w14:textId="77777777" w:rsidR="003C67E1" w:rsidRDefault="003C67E1">
      <w:pPr>
        <w:pStyle w:val="RKnormal"/>
      </w:pPr>
    </w:p>
    <w:sectPr w:rsidR="003C67E1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BB7458" w14:textId="77777777" w:rsidR="003C67E1" w:rsidRDefault="003C67E1">
      <w:r>
        <w:separator/>
      </w:r>
    </w:p>
  </w:endnote>
  <w:endnote w:type="continuationSeparator" w:id="0">
    <w:p w14:paraId="612AEB79" w14:textId="77777777" w:rsidR="003C67E1" w:rsidRDefault="003C6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21C759" w14:textId="77777777" w:rsidR="003C67E1" w:rsidRDefault="003C67E1">
      <w:r>
        <w:separator/>
      </w:r>
    </w:p>
  </w:footnote>
  <w:footnote w:type="continuationSeparator" w:id="0">
    <w:p w14:paraId="3C357803" w14:textId="77777777" w:rsidR="003C67E1" w:rsidRDefault="003C67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CE7F8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E6C8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272C7C6" w14:textId="77777777">
      <w:trPr>
        <w:cantSplit/>
      </w:trPr>
      <w:tc>
        <w:tcPr>
          <w:tcW w:w="3119" w:type="dxa"/>
        </w:tcPr>
        <w:p w14:paraId="0FFF983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B80447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2CF36B6" w14:textId="77777777" w:rsidR="00E80146" w:rsidRDefault="00E80146">
          <w:pPr>
            <w:pStyle w:val="Sidhuvud"/>
            <w:ind w:right="360"/>
          </w:pPr>
        </w:p>
      </w:tc>
    </w:tr>
  </w:tbl>
  <w:p w14:paraId="4866C0B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CE63F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E6C88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67DDA6E" w14:textId="77777777">
      <w:trPr>
        <w:cantSplit/>
      </w:trPr>
      <w:tc>
        <w:tcPr>
          <w:tcW w:w="3119" w:type="dxa"/>
        </w:tcPr>
        <w:p w14:paraId="1FDD2C0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2EFF99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B45F968" w14:textId="77777777" w:rsidR="00E80146" w:rsidRDefault="00E80146">
          <w:pPr>
            <w:pStyle w:val="Sidhuvud"/>
            <w:ind w:right="360"/>
          </w:pPr>
        </w:p>
      </w:tc>
    </w:tr>
  </w:tbl>
  <w:p w14:paraId="3531A20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324B90" w14:textId="707A81BE" w:rsidR="003C67E1" w:rsidRDefault="00C2045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AFFEA2A" wp14:editId="2A25354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89B19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36E1B3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216B30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BDF9153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7E1"/>
    <w:rsid w:val="00103E61"/>
    <w:rsid w:val="00135CBC"/>
    <w:rsid w:val="00150384"/>
    <w:rsid w:val="00160901"/>
    <w:rsid w:val="001805B7"/>
    <w:rsid w:val="0027096C"/>
    <w:rsid w:val="002E4BF7"/>
    <w:rsid w:val="002F3000"/>
    <w:rsid w:val="00367B1C"/>
    <w:rsid w:val="003C67E1"/>
    <w:rsid w:val="00420098"/>
    <w:rsid w:val="004A328D"/>
    <w:rsid w:val="005024C5"/>
    <w:rsid w:val="0058762B"/>
    <w:rsid w:val="005A5823"/>
    <w:rsid w:val="00677CF8"/>
    <w:rsid w:val="006E4E11"/>
    <w:rsid w:val="00723494"/>
    <w:rsid w:val="007242A3"/>
    <w:rsid w:val="007A6855"/>
    <w:rsid w:val="00833389"/>
    <w:rsid w:val="008A2135"/>
    <w:rsid w:val="0092027A"/>
    <w:rsid w:val="00955E31"/>
    <w:rsid w:val="00992E72"/>
    <w:rsid w:val="00A15435"/>
    <w:rsid w:val="00A32B85"/>
    <w:rsid w:val="00AF26D1"/>
    <w:rsid w:val="00B16841"/>
    <w:rsid w:val="00B55ABF"/>
    <w:rsid w:val="00C2045F"/>
    <w:rsid w:val="00C35192"/>
    <w:rsid w:val="00CE6C88"/>
    <w:rsid w:val="00D133D7"/>
    <w:rsid w:val="00D44293"/>
    <w:rsid w:val="00D84B09"/>
    <w:rsid w:val="00D90D58"/>
    <w:rsid w:val="00DC2664"/>
    <w:rsid w:val="00DD0A86"/>
    <w:rsid w:val="00E316A6"/>
    <w:rsid w:val="00E80146"/>
    <w:rsid w:val="00E904D0"/>
    <w:rsid w:val="00EC25F9"/>
    <w:rsid w:val="00ED583F"/>
    <w:rsid w:val="00ED6CCE"/>
    <w:rsid w:val="00F6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B188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B16841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103E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03E61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D90D58"/>
    <w:rPr>
      <w:sz w:val="16"/>
      <w:szCs w:val="16"/>
    </w:rPr>
  </w:style>
  <w:style w:type="paragraph" w:styleId="Kommentarer">
    <w:name w:val="annotation text"/>
    <w:basedOn w:val="Normal"/>
    <w:link w:val="KommentarerChar"/>
    <w:rsid w:val="00D90D58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D90D58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D90D5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90D58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B16841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103E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03E61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D90D58"/>
    <w:rPr>
      <w:sz w:val="16"/>
      <w:szCs w:val="16"/>
    </w:rPr>
  </w:style>
  <w:style w:type="paragraph" w:styleId="Kommentarer">
    <w:name w:val="annotation text"/>
    <w:basedOn w:val="Normal"/>
    <w:link w:val="KommentarerChar"/>
    <w:rsid w:val="00D90D58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D90D58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D90D5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90D58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0c5e13e7-5d73-47e1-97d2-f3e8064e99bb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0C6357-9361-4BB3-BA6D-D5DE41CA32FC}"/>
</file>

<file path=customXml/itemProps2.xml><?xml version="1.0" encoding="utf-8"?>
<ds:datastoreItem xmlns:ds="http://schemas.openxmlformats.org/officeDocument/2006/customXml" ds:itemID="{2E136C29-D0E5-44A9-80F4-B1555A5CA2C2}"/>
</file>

<file path=customXml/itemProps3.xml><?xml version="1.0" encoding="utf-8"?>
<ds:datastoreItem xmlns:ds="http://schemas.openxmlformats.org/officeDocument/2006/customXml" ds:itemID="{5CE72328-D3FA-4AF0-BA59-89D33E49A5C5}"/>
</file>

<file path=customXml/itemProps4.xml><?xml version="1.0" encoding="utf-8"?>
<ds:datastoreItem xmlns:ds="http://schemas.openxmlformats.org/officeDocument/2006/customXml" ds:itemID="{EE74B884-254D-464A-932D-99316B323F88}"/>
</file>

<file path=customXml/itemProps5.xml><?xml version="1.0" encoding="utf-8"?>
<ds:datastoreItem xmlns:ds="http://schemas.openxmlformats.org/officeDocument/2006/customXml" ds:itemID="{D3C83E5B-A0A3-4516-B12B-03685F2719E6}"/>
</file>

<file path=customXml/itemProps6.xml><?xml version="1.0" encoding="utf-8"?>
<ds:datastoreItem xmlns:ds="http://schemas.openxmlformats.org/officeDocument/2006/customXml" ds:itemID="{FF32E2C8-EB27-40A5-8565-0A73CC0AEC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852</Words>
  <Characters>5418</Characters>
  <Application>Microsoft Office Word</Application>
  <DocSecurity>4</DocSecurity>
  <Lines>45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6258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Stålberg</dc:creator>
  <cp:lastModifiedBy>Carina Stålberg</cp:lastModifiedBy>
  <cp:revision>2</cp:revision>
  <cp:lastPrinted>2017-05-03T08:26:00Z</cp:lastPrinted>
  <dcterms:created xsi:type="dcterms:W3CDTF">2017-05-03T10:52:00Z</dcterms:created>
  <dcterms:modified xsi:type="dcterms:W3CDTF">2017-05-03T10:52:00Z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3;0;0;331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8a011d6f-f4af-48f6-a23b-0ff7ba0d5633</vt:lpwstr>
  </property>
</Properties>
</file>