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A9A4ACC" w14:textId="77777777">
        <w:tc>
          <w:tcPr>
            <w:tcW w:w="2268" w:type="dxa"/>
          </w:tcPr>
          <w:p w14:paraId="3882833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1F04BD8" w14:textId="77777777" w:rsidR="006E4E11" w:rsidRDefault="006E4E11" w:rsidP="007242A3">
            <w:pPr>
              <w:framePr w:w="5035" w:h="1644" w:wrap="notBeside" w:vAnchor="page" w:hAnchor="page" w:x="6573" w:y="721"/>
              <w:rPr>
                <w:rFonts w:ascii="TradeGothic" w:hAnsi="TradeGothic"/>
                <w:i/>
                <w:sz w:val="18"/>
              </w:rPr>
            </w:pPr>
          </w:p>
        </w:tc>
      </w:tr>
      <w:tr w:rsidR="006E4E11" w14:paraId="4EE1C820" w14:textId="77777777">
        <w:tc>
          <w:tcPr>
            <w:tcW w:w="2268" w:type="dxa"/>
          </w:tcPr>
          <w:p w14:paraId="0C34703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C0F0C6" w14:textId="77777777" w:rsidR="006E4E11" w:rsidRDefault="006E4E11" w:rsidP="007242A3">
            <w:pPr>
              <w:framePr w:w="5035" w:h="1644" w:wrap="notBeside" w:vAnchor="page" w:hAnchor="page" w:x="6573" w:y="721"/>
              <w:rPr>
                <w:rFonts w:ascii="TradeGothic" w:hAnsi="TradeGothic"/>
                <w:b/>
                <w:sz w:val="22"/>
              </w:rPr>
            </w:pPr>
          </w:p>
        </w:tc>
      </w:tr>
      <w:tr w:rsidR="006E4E11" w14:paraId="6BFF7220" w14:textId="77777777">
        <w:tc>
          <w:tcPr>
            <w:tcW w:w="3402" w:type="dxa"/>
            <w:gridSpan w:val="2"/>
          </w:tcPr>
          <w:p w14:paraId="46C7588E" w14:textId="77777777" w:rsidR="006E4E11" w:rsidRDefault="006E4E11" w:rsidP="007242A3">
            <w:pPr>
              <w:framePr w:w="5035" w:h="1644" w:wrap="notBeside" w:vAnchor="page" w:hAnchor="page" w:x="6573" w:y="721"/>
            </w:pPr>
          </w:p>
        </w:tc>
        <w:tc>
          <w:tcPr>
            <w:tcW w:w="1865" w:type="dxa"/>
          </w:tcPr>
          <w:p w14:paraId="689D0CC3" w14:textId="77777777" w:rsidR="006E4E11" w:rsidRDefault="006E4E11" w:rsidP="007242A3">
            <w:pPr>
              <w:framePr w:w="5035" w:h="1644" w:wrap="notBeside" w:vAnchor="page" w:hAnchor="page" w:x="6573" w:y="721"/>
            </w:pPr>
          </w:p>
        </w:tc>
      </w:tr>
      <w:tr w:rsidR="006E4E11" w14:paraId="79C2BE53" w14:textId="77777777">
        <w:tc>
          <w:tcPr>
            <w:tcW w:w="2268" w:type="dxa"/>
          </w:tcPr>
          <w:p w14:paraId="41CA14EF" w14:textId="77777777" w:rsidR="006E4E11" w:rsidRDefault="006E4E11" w:rsidP="007242A3">
            <w:pPr>
              <w:framePr w:w="5035" w:h="1644" w:wrap="notBeside" w:vAnchor="page" w:hAnchor="page" w:x="6573" w:y="721"/>
            </w:pPr>
          </w:p>
        </w:tc>
        <w:tc>
          <w:tcPr>
            <w:tcW w:w="2999" w:type="dxa"/>
            <w:gridSpan w:val="2"/>
          </w:tcPr>
          <w:p w14:paraId="0091F077" w14:textId="2D7A2CD1" w:rsidR="006E4E11" w:rsidRPr="00ED583F" w:rsidRDefault="00FA434F" w:rsidP="007242A3">
            <w:pPr>
              <w:framePr w:w="5035" w:h="1644" w:wrap="notBeside" w:vAnchor="page" w:hAnchor="page" w:x="6573" w:y="721"/>
              <w:rPr>
                <w:sz w:val="20"/>
              </w:rPr>
            </w:pPr>
            <w:r>
              <w:rPr>
                <w:sz w:val="20"/>
              </w:rPr>
              <w:t xml:space="preserve"> N2015/09016</w:t>
            </w:r>
            <w:r w:rsidR="00487545">
              <w:rPr>
                <w:sz w:val="20"/>
              </w:rPr>
              <w:t>/FÖF</w:t>
            </w:r>
          </w:p>
        </w:tc>
      </w:tr>
      <w:tr w:rsidR="006E4E11" w14:paraId="098A8A8F" w14:textId="77777777">
        <w:tc>
          <w:tcPr>
            <w:tcW w:w="2268" w:type="dxa"/>
          </w:tcPr>
          <w:p w14:paraId="3F0C5FBA" w14:textId="77777777" w:rsidR="006E4E11" w:rsidRDefault="006E4E11" w:rsidP="007242A3">
            <w:pPr>
              <w:framePr w:w="5035" w:h="1644" w:wrap="notBeside" w:vAnchor="page" w:hAnchor="page" w:x="6573" w:y="721"/>
            </w:pPr>
          </w:p>
        </w:tc>
        <w:tc>
          <w:tcPr>
            <w:tcW w:w="2999" w:type="dxa"/>
            <w:gridSpan w:val="2"/>
          </w:tcPr>
          <w:p w14:paraId="58C1454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4DD6994" w14:textId="77777777">
        <w:trPr>
          <w:trHeight w:val="284"/>
        </w:trPr>
        <w:tc>
          <w:tcPr>
            <w:tcW w:w="4911" w:type="dxa"/>
          </w:tcPr>
          <w:p w14:paraId="22F24F6A" w14:textId="77777777" w:rsidR="006E4E11" w:rsidRDefault="00487545" w:rsidP="00211EA3">
            <w:pPr>
              <w:pStyle w:val="Avsndare"/>
              <w:framePr w:h="2483" w:wrap="notBeside" w:x="1504" w:y="2251"/>
              <w:rPr>
                <w:b/>
                <w:i w:val="0"/>
                <w:sz w:val="22"/>
              </w:rPr>
            </w:pPr>
            <w:r>
              <w:rPr>
                <w:b/>
                <w:i w:val="0"/>
                <w:sz w:val="22"/>
              </w:rPr>
              <w:t>Näringsdepartementet</w:t>
            </w:r>
          </w:p>
        </w:tc>
      </w:tr>
      <w:tr w:rsidR="006E4E11" w14:paraId="081ED52D" w14:textId="77777777">
        <w:trPr>
          <w:trHeight w:val="284"/>
        </w:trPr>
        <w:tc>
          <w:tcPr>
            <w:tcW w:w="4911" w:type="dxa"/>
          </w:tcPr>
          <w:p w14:paraId="1B5CDB14" w14:textId="122CE087" w:rsidR="006E4E11" w:rsidRDefault="00487545" w:rsidP="00211EA3">
            <w:pPr>
              <w:pStyle w:val="Avsndare"/>
              <w:framePr w:h="2483" w:wrap="notBeside" w:x="1504" w:y="2251"/>
              <w:rPr>
                <w:bCs/>
                <w:iCs/>
              </w:rPr>
            </w:pPr>
            <w:r>
              <w:rPr>
                <w:bCs/>
                <w:iCs/>
              </w:rPr>
              <w:t>Närings- och innovationsministern</w:t>
            </w:r>
          </w:p>
          <w:p w14:paraId="544D43B0" w14:textId="77777777" w:rsidR="00FA434F" w:rsidRDefault="00FA434F" w:rsidP="00211EA3">
            <w:pPr>
              <w:pStyle w:val="Avsndare"/>
              <w:framePr w:h="2483" w:wrap="notBeside" w:x="1504" w:y="2251"/>
              <w:rPr>
                <w:bCs/>
                <w:iCs/>
              </w:rPr>
            </w:pPr>
          </w:p>
          <w:p w14:paraId="7D2824F5" w14:textId="08E50AC8" w:rsidR="00FA434F" w:rsidRDefault="00FA434F" w:rsidP="00211EA3">
            <w:pPr>
              <w:pStyle w:val="Avsndare"/>
              <w:framePr w:h="2483" w:wrap="notBeside" w:x="1504" w:y="2251"/>
              <w:rPr>
                <w:bCs/>
                <w:iCs/>
              </w:rPr>
            </w:pPr>
          </w:p>
        </w:tc>
      </w:tr>
      <w:tr w:rsidR="002B6360" w14:paraId="62283DF2" w14:textId="77777777">
        <w:trPr>
          <w:trHeight w:val="284"/>
        </w:trPr>
        <w:tc>
          <w:tcPr>
            <w:tcW w:w="4911" w:type="dxa"/>
          </w:tcPr>
          <w:p w14:paraId="21E4D0BA" w14:textId="7169FC1A" w:rsidR="002B6360" w:rsidRPr="002B6360" w:rsidRDefault="002B6360" w:rsidP="00211EA3">
            <w:pPr>
              <w:pStyle w:val="Avsndare"/>
              <w:framePr w:h="2483" w:wrap="notBeside" w:x="1504" w:y="2251"/>
              <w:rPr>
                <w:bCs/>
                <w:iCs/>
              </w:rPr>
            </w:pPr>
          </w:p>
        </w:tc>
      </w:tr>
      <w:tr w:rsidR="002B6360" w14:paraId="0FEA6C0C" w14:textId="77777777">
        <w:trPr>
          <w:trHeight w:val="284"/>
        </w:trPr>
        <w:tc>
          <w:tcPr>
            <w:tcW w:w="4911" w:type="dxa"/>
          </w:tcPr>
          <w:p w14:paraId="3CDD469B" w14:textId="09F95D7F" w:rsidR="002B6360" w:rsidRPr="00C80DF3" w:rsidRDefault="002B6360" w:rsidP="00211EA3">
            <w:pPr>
              <w:pStyle w:val="Avsndare"/>
              <w:framePr w:h="2483" w:wrap="notBeside" w:x="1504" w:y="2251"/>
              <w:rPr>
                <w:bCs/>
                <w:iCs/>
              </w:rPr>
            </w:pPr>
          </w:p>
        </w:tc>
      </w:tr>
      <w:tr w:rsidR="002B6360" w14:paraId="3C40C4F7" w14:textId="77777777">
        <w:trPr>
          <w:trHeight w:val="284"/>
        </w:trPr>
        <w:tc>
          <w:tcPr>
            <w:tcW w:w="4911" w:type="dxa"/>
          </w:tcPr>
          <w:p w14:paraId="2F3FC3A1" w14:textId="77777777" w:rsidR="002B6360" w:rsidRPr="00C80DF3" w:rsidRDefault="002B6360" w:rsidP="00211EA3">
            <w:pPr>
              <w:pStyle w:val="Avsndare"/>
              <w:framePr w:h="2483" w:wrap="notBeside" w:x="1504" w:y="2251"/>
              <w:rPr>
                <w:bCs/>
                <w:iCs/>
              </w:rPr>
            </w:pPr>
          </w:p>
        </w:tc>
      </w:tr>
      <w:tr w:rsidR="002B6360" w14:paraId="3D8DABDE" w14:textId="77777777">
        <w:trPr>
          <w:trHeight w:val="284"/>
        </w:trPr>
        <w:tc>
          <w:tcPr>
            <w:tcW w:w="4911" w:type="dxa"/>
          </w:tcPr>
          <w:p w14:paraId="1BD10A87" w14:textId="46FDC8B4" w:rsidR="002B6360" w:rsidRPr="002B6360" w:rsidRDefault="002B6360" w:rsidP="00211EA3">
            <w:pPr>
              <w:pStyle w:val="Avsndare"/>
              <w:framePr w:h="2483" w:wrap="notBeside" w:x="1504" w:y="2251"/>
              <w:rPr>
                <w:bCs/>
                <w:iCs/>
              </w:rPr>
            </w:pPr>
          </w:p>
        </w:tc>
      </w:tr>
      <w:tr w:rsidR="006E4E11" w14:paraId="544D3064" w14:textId="77777777">
        <w:trPr>
          <w:trHeight w:val="284"/>
        </w:trPr>
        <w:tc>
          <w:tcPr>
            <w:tcW w:w="4911" w:type="dxa"/>
          </w:tcPr>
          <w:p w14:paraId="7F0740C8" w14:textId="77777777" w:rsidR="006E4E11" w:rsidRDefault="006E4E11" w:rsidP="00211EA3">
            <w:pPr>
              <w:pStyle w:val="Avsndare"/>
              <w:framePr w:h="2483" w:wrap="notBeside" w:x="1504" w:y="2251"/>
              <w:rPr>
                <w:bCs/>
                <w:iCs/>
              </w:rPr>
            </w:pPr>
          </w:p>
        </w:tc>
      </w:tr>
      <w:tr w:rsidR="006E4E11" w14:paraId="147FDFF7" w14:textId="77777777">
        <w:trPr>
          <w:trHeight w:val="284"/>
        </w:trPr>
        <w:tc>
          <w:tcPr>
            <w:tcW w:w="4911" w:type="dxa"/>
          </w:tcPr>
          <w:p w14:paraId="30465035" w14:textId="77777777" w:rsidR="006E4E11" w:rsidRDefault="006E4E11" w:rsidP="00211EA3">
            <w:pPr>
              <w:pStyle w:val="Avsndare"/>
              <w:framePr w:h="2483" w:wrap="notBeside" w:x="1504" w:y="2251"/>
              <w:rPr>
                <w:bCs/>
                <w:iCs/>
              </w:rPr>
            </w:pPr>
          </w:p>
        </w:tc>
      </w:tr>
      <w:tr w:rsidR="006E4E11" w14:paraId="41C12D9C" w14:textId="77777777">
        <w:trPr>
          <w:trHeight w:val="284"/>
        </w:trPr>
        <w:tc>
          <w:tcPr>
            <w:tcW w:w="4911" w:type="dxa"/>
          </w:tcPr>
          <w:p w14:paraId="08BFD0FD" w14:textId="77777777" w:rsidR="006E4E11" w:rsidRDefault="006E4E11" w:rsidP="00211EA3">
            <w:pPr>
              <w:pStyle w:val="Avsndare"/>
              <w:framePr w:h="2483" w:wrap="notBeside" w:x="1504" w:y="2251"/>
              <w:rPr>
                <w:bCs/>
                <w:iCs/>
              </w:rPr>
            </w:pPr>
          </w:p>
        </w:tc>
      </w:tr>
    </w:tbl>
    <w:p w14:paraId="2AFFA040" w14:textId="77777777" w:rsidR="006E4E11" w:rsidRDefault="00487545">
      <w:pPr>
        <w:framePr w:w="4400" w:h="2523" w:wrap="notBeside" w:vAnchor="page" w:hAnchor="page" w:x="6453" w:y="2445"/>
        <w:ind w:left="142"/>
      </w:pPr>
      <w:r>
        <w:t>Till riksdagen</w:t>
      </w:r>
    </w:p>
    <w:p w14:paraId="2BB38447" w14:textId="77777777" w:rsidR="006E4E11" w:rsidRDefault="00487545" w:rsidP="00487545">
      <w:pPr>
        <w:pStyle w:val="RKrubrik"/>
        <w:pBdr>
          <w:bottom w:val="single" w:sz="4" w:space="1" w:color="auto"/>
        </w:pBdr>
        <w:spacing w:before="0" w:after="0"/>
      </w:pPr>
      <w:r>
        <w:t>Svar på fråga 2015/16:511 av Birger Lahti (V) Statens kostnader för en eventuell sanering av gruvområdet i Pajala</w:t>
      </w:r>
    </w:p>
    <w:p w14:paraId="20E66725" w14:textId="77777777" w:rsidR="006E4E11" w:rsidRDefault="006E4E11">
      <w:pPr>
        <w:pStyle w:val="RKnormal"/>
      </w:pPr>
    </w:p>
    <w:p w14:paraId="420FB7A1" w14:textId="77777777" w:rsidR="006E4E11" w:rsidRDefault="00487545">
      <w:pPr>
        <w:pStyle w:val="RKnormal"/>
      </w:pPr>
      <w:r>
        <w:t>Birger Lahti har frågat mig om det inte finns bättre användning för statens engagemang än att fylla igen ett gruvhål, vilket skulle innebära att det aldrig mer kommer att öppnas en gruva i Pajala.</w:t>
      </w:r>
    </w:p>
    <w:p w14:paraId="70047660" w14:textId="77777777" w:rsidR="008C0C53" w:rsidRDefault="008C0C53">
      <w:pPr>
        <w:pStyle w:val="RKnormal"/>
      </w:pPr>
    </w:p>
    <w:p w14:paraId="763E2760" w14:textId="22B1697C" w:rsidR="00AB12DF" w:rsidRDefault="00A14C13">
      <w:pPr>
        <w:pStyle w:val="RKnormal"/>
      </w:pPr>
      <w:r>
        <w:t>Gruvnäringen,</w:t>
      </w:r>
      <w:r w:rsidR="00D40878">
        <w:t xml:space="preserve"> och speciellt järnmalmsgruv</w:t>
      </w:r>
      <w:r>
        <w:t>orna, är i</w:t>
      </w:r>
      <w:r w:rsidR="004B24CD">
        <w:t xml:space="preserve"> </w:t>
      </w:r>
      <w:r>
        <w:t xml:space="preserve">dag hårt pressade då priset på järnmalm har fallit dramatiskt under de senaste åren. </w:t>
      </w:r>
      <w:r w:rsidR="007777DA">
        <w:t>Jag kan bara beklaga</w:t>
      </w:r>
      <w:r>
        <w:t xml:space="preserve"> att gruvverksamheten i Kaunisvaara inte bar sig ekonomiskt.</w:t>
      </w:r>
      <w:r w:rsidR="00FC32D7">
        <w:t xml:space="preserve"> Många </w:t>
      </w:r>
      <w:r w:rsidR="00A93158">
        <w:t xml:space="preserve">har </w:t>
      </w:r>
      <w:r w:rsidR="008007D1">
        <w:t xml:space="preserve">nu </w:t>
      </w:r>
      <w:r w:rsidR="00FC32D7">
        <w:t>förlora</w:t>
      </w:r>
      <w:r w:rsidR="008007D1">
        <w:t>t</w:t>
      </w:r>
      <w:r w:rsidR="0040249C">
        <w:t xml:space="preserve"> si</w:t>
      </w:r>
      <w:r w:rsidR="008007D1">
        <w:t>na</w:t>
      </w:r>
      <w:r w:rsidR="00A93158">
        <w:t xml:space="preserve"> </w:t>
      </w:r>
      <w:r w:rsidR="0040249C">
        <w:t>jobb</w:t>
      </w:r>
      <w:r w:rsidR="007A73C2">
        <w:t xml:space="preserve"> och </w:t>
      </w:r>
      <w:r w:rsidR="00AB12DF">
        <w:t>investeringar</w:t>
      </w:r>
      <w:r w:rsidR="007A73C2">
        <w:t xml:space="preserve">. </w:t>
      </w:r>
      <w:r w:rsidR="00AB12DF">
        <w:t>B</w:t>
      </w:r>
      <w:r w:rsidR="00FC32D7">
        <w:t>olag</w:t>
      </w:r>
      <w:r w:rsidR="007A73C2">
        <w:t xml:space="preserve"> som utfört arbete för gruvan</w:t>
      </w:r>
      <w:r w:rsidR="00AB12DF">
        <w:t xml:space="preserve"> har</w:t>
      </w:r>
      <w:r w:rsidR="00FC32D7">
        <w:t xml:space="preserve"> utestående fordringar. K</w:t>
      </w:r>
      <w:r w:rsidR="0040249C">
        <w:t>onkursförvaltarens uppgift är att</w:t>
      </w:r>
      <w:r w:rsidR="00B349C5">
        <w:t xml:space="preserve"> på bästa sätt </w:t>
      </w:r>
      <w:r w:rsidR="00FC32D7">
        <w:t xml:space="preserve">omhänderta den egendom som gäldenären förlorat </w:t>
      </w:r>
      <w:r w:rsidR="007A73C2">
        <w:t xml:space="preserve">sin rådighet över och utföra en affärsmässig </w:t>
      </w:r>
      <w:r w:rsidR="005535BC">
        <w:t xml:space="preserve">försäljning </w:t>
      </w:r>
      <w:r w:rsidR="007A73C2">
        <w:t xml:space="preserve">av </w:t>
      </w:r>
      <w:r w:rsidR="005535BC">
        <w:t xml:space="preserve">bolagets </w:t>
      </w:r>
      <w:r w:rsidR="007A73C2">
        <w:t>tillgångar</w:t>
      </w:r>
      <w:r w:rsidR="00AB12DF">
        <w:t xml:space="preserve"> så att </w:t>
      </w:r>
      <w:r w:rsidR="005535BC">
        <w:t xml:space="preserve">därigenom inkommen likvid </w:t>
      </w:r>
      <w:r w:rsidR="00AB12DF">
        <w:t>kan fördelas mellan olika fordringsägare</w:t>
      </w:r>
      <w:r w:rsidR="007A73C2">
        <w:t>.</w:t>
      </w:r>
      <w:r w:rsidR="00AB12DF">
        <w:t xml:space="preserve"> </w:t>
      </w:r>
      <w:r w:rsidR="00B743AC">
        <w:t>Innan konkursen är formellt slut så är försäljning av gruvverksamheten fortfarande möjlig.</w:t>
      </w:r>
      <w:r w:rsidR="002E6722">
        <w:t xml:space="preserve"> Stiger det för närvarande mycket låga priset på järnmalm så kan det skapas nya förutsättningar att </w:t>
      </w:r>
      <w:r w:rsidR="006D7C5B">
        <w:t>öppna o</w:t>
      </w:r>
      <w:r w:rsidR="004B24CD">
        <w:t>ch driva gruvverksamhet. Det är</w:t>
      </w:r>
      <w:r w:rsidR="008007D1">
        <w:t xml:space="preserve"> </w:t>
      </w:r>
      <w:r w:rsidR="006D7C5B">
        <w:t xml:space="preserve">i nuläget inte aktuellt att inleda en process kring </w:t>
      </w:r>
      <w:r w:rsidR="00D61A55">
        <w:t xml:space="preserve">återfyllnad och </w:t>
      </w:r>
      <w:r w:rsidR="009D3724">
        <w:t>efterbehandling</w:t>
      </w:r>
      <w:r w:rsidR="006D7C5B">
        <w:t>.</w:t>
      </w:r>
    </w:p>
    <w:p w14:paraId="49797A4C" w14:textId="77777777" w:rsidR="003A392C" w:rsidRDefault="003A392C">
      <w:pPr>
        <w:pStyle w:val="RKnormal"/>
      </w:pPr>
    </w:p>
    <w:p w14:paraId="54558927" w14:textId="77777777" w:rsidR="00B349C5" w:rsidRDefault="00B743AC">
      <w:pPr>
        <w:pStyle w:val="RKnormal"/>
      </w:pPr>
      <w:r>
        <w:t xml:space="preserve">Det är dock viktigt att påpeka att </w:t>
      </w:r>
      <w:r w:rsidR="007503C5">
        <w:t>Sverige</w:t>
      </w:r>
      <w:r w:rsidR="00B349C5">
        <w:t xml:space="preserve"> ska ha en gruvnäring som tar sitt finansiella ansvar</w:t>
      </w:r>
      <w:r w:rsidR="00A21EF4">
        <w:t xml:space="preserve"> och att ekonomiska säkerheter</w:t>
      </w:r>
      <w:r w:rsidR="00EF61BF">
        <w:t xml:space="preserve"> </w:t>
      </w:r>
      <w:r w:rsidR="00A21EF4">
        <w:t>i tillräcklig mån ska ställas</w:t>
      </w:r>
      <w:r w:rsidR="00EF61BF">
        <w:t xml:space="preserve"> för att efterbehandling ska kunna utföras</w:t>
      </w:r>
      <w:r w:rsidR="00B349C5">
        <w:t>. Riksrevisionen</w:t>
      </w:r>
      <w:r w:rsidR="00C9729C">
        <w:t xml:space="preserve"> </w:t>
      </w:r>
      <w:r w:rsidR="002E6722">
        <w:t xml:space="preserve">har nyligen presenterat sina </w:t>
      </w:r>
      <w:r w:rsidR="00B349C5">
        <w:t xml:space="preserve">slutsatser och rekommendationer i deras rapport </w:t>
      </w:r>
      <w:r w:rsidR="00C9729C">
        <w:rPr>
          <w:i/>
        </w:rPr>
        <w:t>G</w:t>
      </w:r>
      <w:r w:rsidR="00B349C5" w:rsidRPr="00B349C5">
        <w:rPr>
          <w:i/>
        </w:rPr>
        <w:t xml:space="preserve">ruvavfall – </w:t>
      </w:r>
      <w:r w:rsidR="00C9729C">
        <w:rPr>
          <w:i/>
        </w:rPr>
        <w:t>e</w:t>
      </w:r>
      <w:r w:rsidR="00B349C5" w:rsidRPr="00B349C5">
        <w:rPr>
          <w:i/>
        </w:rPr>
        <w:t>konomiska risker för staten</w:t>
      </w:r>
      <w:r w:rsidR="00B349C5">
        <w:t xml:space="preserve"> </w:t>
      </w:r>
      <w:r w:rsidR="002E6722">
        <w:t xml:space="preserve">och denna </w:t>
      </w:r>
      <w:r w:rsidR="00B349C5">
        <w:t xml:space="preserve">ska </w:t>
      </w:r>
      <w:r w:rsidR="00C9729C">
        <w:t>nu tas om hand inom regering</w:t>
      </w:r>
      <w:r w:rsidR="000D4458">
        <w:t>skansliet</w:t>
      </w:r>
      <w:r w:rsidR="00C9729C">
        <w:t>.</w:t>
      </w:r>
    </w:p>
    <w:p w14:paraId="707B8B4F" w14:textId="77777777" w:rsidR="00EF61BF" w:rsidRDefault="00EF61BF">
      <w:pPr>
        <w:pStyle w:val="RKnormal"/>
      </w:pPr>
    </w:p>
    <w:p w14:paraId="4E9C565A" w14:textId="77777777" w:rsidR="00487545" w:rsidRDefault="00487545">
      <w:pPr>
        <w:pStyle w:val="RKnormal"/>
      </w:pPr>
    </w:p>
    <w:p w14:paraId="5EA98FE3" w14:textId="19D5875B" w:rsidR="00487545" w:rsidRDefault="00487545">
      <w:pPr>
        <w:pStyle w:val="RKnormal"/>
      </w:pPr>
      <w:r>
        <w:t xml:space="preserve">Stockholm den </w:t>
      </w:r>
      <w:r w:rsidR="0002480E">
        <w:t>11 januari 2015</w:t>
      </w:r>
      <w:bookmarkStart w:id="0" w:name="_GoBack"/>
      <w:bookmarkEnd w:id="0"/>
    </w:p>
    <w:p w14:paraId="2A01E576" w14:textId="77777777" w:rsidR="00487545" w:rsidRDefault="00487545">
      <w:pPr>
        <w:pStyle w:val="RKnormal"/>
      </w:pPr>
    </w:p>
    <w:p w14:paraId="25CCAC39" w14:textId="77777777" w:rsidR="00487545" w:rsidRDefault="00487545">
      <w:pPr>
        <w:pStyle w:val="RKnormal"/>
      </w:pPr>
    </w:p>
    <w:p w14:paraId="37F7BDB5" w14:textId="77777777" w:rsidR="00487545" w:rsidRDefault="00487545">
      <w:pPr>
        <w:pStyle w:val="RKnormal"/>
      </w:pPr>
      <w:r>
        <w:t>Mikael Damberg</w:t>
      </w:r>
    </w:p>
    <w:sectPr w:rsidR="0048754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27B69" w14:textId="77777777" w:rsidR="00335FAF" w:rsidRDefault="00335FAF">
      <w:r>
        <w:separator/>
      </w:r>
    </w:p>
  </w:endnote>
  <w:endnote w:type="continuationSeparator" w:id="0">
    <w:p w14:paraId="1A66D653" w14:textId="77777777" w:rsidR="00335FAF" w:rsidRDefault="0033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C9CF3" w14:textId="77777777" w:rsidR="00335FAF" w:rsidRDefault="00335FAF">
      <w:r>
        <w:separator/>
      </w:r>
    </w:p>
  </w:footnote>
  <w:footnote w:type="continuationSeparator" w:id="0">
    <w:p w14:paraId="3ED1E665" w14:textId="77777777" w:rsidR="00335FAF" w:rsidRDefault="0033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C002C" w14:textId="77777777" w:rsidR="009D3724" w:rsidRDefault="009D372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11EA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D3724" w14:paraId="1A7071FF" w14:textId="77777777">
      <w:trPr>
        <w:cantSplit/>
      </w:trPr>
      <w:tc>
        <w:tcPr>
          <w:tcW w:w="3119" w:type="dxa"/>
        </w:tcPr>
        <w:p w14:paraId="54EF73C5" w14:textId="77777777" w:rsidR="009D3724" w:rsidRDefault="009D3724">
          <w:pPr>
            <w:pStyle w:val="Sidhuvud"/>
            <w:spacing w:line="200" w:lineRule="atLeast"/>
            <w:ind w:right="357"/>
            <w:rPr>
              <w:rFonts w:ascii="TradeGothic" w:hAnsi="TradeGothic"/>
              <w:b/>
              <w:bCs/>
              <w:sz w:val="16"/>
            </w:rPr>
          </w:pPr>
        </w:p>
      </w:tc>
      <w:tc>
        <w:tcPr>
          <w:tcW w:w="4111" w:type="dxa"/>
          <w:tcMar>
            <w:left w:w="567" w:type="dxa"/>
          </w:tcMar>
        </w:tcPr>
        <w:p w14:paraId="013939F7" w14:textId="77777777" w:rsidR="009D3724" w:rsidRDefault="009D3724">
          <w:pPr>
            <w:pStyle w:val="Sidhuvud"/>
            <w:ind w:right="360"/>
          </w:pPr>
        </w:p>
      </w:tc>
      <w:tc>
        <w:tcPr>
          <w:tcW w:w="1525" w:type="dxa"/>
        </w:tcPr>
        <w:p w14:paraId="0B7173B4" w14:textId="77777777" w:rsidR="009D3724" w:rsidRDefault="009D3724">
          <w:pPr>
            <w:pStyle w:val="Sidhuvud"/>
            <w:ind w:right="360"/>
          </w:pPr>
        </w:p>
      </w:tc>
    </w:tr>
  </w:tbl>
  <w:p w14:paraId="66D20C0E" w14:textId="77777777" w:rsidR="009D3724" w:rsidRDefault="009D3724">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3981E" w14:textId="77777777" w:rsidR="009D3724" w:rsidRDefault="009D372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D3724" w14:paraId="31A4F0EF" w14:textId="77777777">
      <w:trPr>
        <w:cantSplit/>
      </w:trPr>
      <w:tc>
        <w:tcPr>
          <w:tcW w:w="3119" w:type="dxa"/>
        </w:tcPr>
        <w:p w14:paraId="440FB7C6" w14:textId="77777777" w:rsidR="009D3724" w:rsidRDefault="009D3724">
          <w:pPr>
            <w:pStyle w:val="Sidhuvud"/>
            <w:spacing w:line="200" w:lineRule="atLeast"/>
            <w:ind w:right="357"/>
            <w:rPr>
              <w:rFonts w:ascii="TradeGothic" w:hAnsi="TradeGothic"/>
              <w:b/>
              <w:bCs/>
              <w:sz w:val="16"/>
            </w:rPr>
          </w:pPr>
        </w:p>
      </w:tc>
      <w:tc>
        <w:tcPr>
          <w:tcW w:w="4111" w:type="dxa"/>
          <w:tcMar>
            <w:left w:w="567" w:type="dxa"/>
          </w:tcMar>
        </w:tcPr>
        <w:p w14:paraId="2A0A10F4" w14:textId="77777777" w:rsidR="009D3724" w:rsidRDefault="009D3724">
          <w:pPr>
            <w:pStyle w:val="Sidhuvud"/>
            <w:ind w:right="360"/>
          </w:pPr>
        </w:p>
      </w:tc>
      <w:tc>
        <w:tcPr>
          <w:tcW w:w="1525" w:type="dxa"/>
        </w:tcPr>
        <w:p w14:paraId="5F393B4D" w14:textId="77777777" w:rsidR="009D3724" w:rsidRDefault="009D3724">
          <w:pPr>
            <w:pStyle w:val="Sidhuvud"/>
            <w:ind w:right="360"/>
          </w:pPr>
        </w:p>
      </w:tc>
    </w:tr>
  </w:tbl>
  <w:p w14:paraId="1FBBD33F" w14:textId="77777777" w:rsidR="009D3724" w:rsidRDefault="009D3724">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DCB2D" w14:textId="77777777" w:rsidR="009D3724" w:rsidRDefault="009D3724">
    <w:pPr>
      <w:framePr w:w="2948" w:h="1321" w:hRule="exact" w:wrap="notBeside" w:vAnchor="page" w:hAnchor="page" w:x="1362" w:y="653"/>
    </w:pPr>
    <w:r>
      <w:rPr>
        <w:noProof/>
        <w:lang w:eastAsia="sv-SE"/>
      </w:rPr>
      <w:drawing>
        <wp:inline distT="0" distB="0" distL="0" distR="0" wp14:anchorId="177AF69F" wp14:editId="6353ECF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3484CD9" w14:textId="77777777" w:rsidR="009D3724" w:rsidRDefault="009D3724">
    <w:pPr>
      <w:pStyle w:val="RKrubrik"/>
      <w:keepNext w:val="0"/>
      <w:tabs>
        <w:tab w:val="clear" w:pos="1134"/>
        <w:tab w:val="clear" w:pos="2835"/>
      </w:tabs>
      <w:spacing w:before="0" w:after="0" w:line="320" w:lineRule="atLeast"/>
      <w:rPr>
        <w:bCs/>
      </w:rPr>
    </w:pPr>
  </w:p>
  <w:p w14:paraId="27B8EFF5" w14:textId="77777777" w:rsidR="009D3724" w:rsidRDefault="009D3724">
    <w:pPr>
      <w:rPr>
        <w:rFonts w:ascii="TradeGothic" w:hAnsi="TradeGothic"/>
        <w:b/>
        <w:bCs/>
        <w:spacing w:val="12"/>
        <w:sz w:val="22"/>
      </w:rPr>
    </w:pPr>
  </w:p>
  <w:p w14:paraId="7CDA5CA5" w14:textId="77777777" w:rsidR="009D3724" w:rsidRDefault="009D3724">
    <w:pPr>
      <w:pStyle w:val="RKrubrik"/>
      <w:keepNext w:val="0"/>
      <w:tabs>
        <w:tab w:val="clear" w:pos="1134"/>
        <w:tab w:val="clear" w:pos="2835"/>
      </w:tabs>
      <w:spacing w:before="0" w:after="0" w:line="320" w:lineRule="atLeast"/>
      <w:rPr>
        <w:bCs/>
      </w:rPr>
    </w:pPr>
  </w:p>
  <w:p w14:paraId="6021338E" w14:textId="77777777" w:rsidR="009D3724" w:rsidRDefault="009D372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545"/>
    <w:rsid w:val="00023C61"/>
    <w:rsid w:val="0002480E"/>
    <w:rsid w:val="000B1EB7"/>
    <w:rsid w:val="000D4458"/>
    <w:rsid w:val="000F3801"/>
    <w:rsid w:val="001372F6"/>
    <w:rsid w:val="00141B40"/>
    <w:rsid w:val="00150384"/>
    <w:rsid w:val="00160901"/>
    <w:rsid w:val="001805B7"/>
    <w:rsid w:val="001C3E88"/>
    <w:rsid w:val="00211EA3"/>
    <w:rsid w:val="002B6360"/>
    <w:rsid w:val="002E6722"/>
    <w:rsid w:val="0031092E"/>
    <w:rsid w:val="00335FAF"/>
    <w:rsid w:val="00354DD8"/>
    <w:rsid w:val="00367B1C"/>
    <w:rsid w:val="003A392C"/>
    <w:rsid w:val="0040249C"/>
    <w:rsid w:val="004501FB"/>
    <w:rsid w:val="00487545"/>
    <w:rsid w:val="004A328D"/>
    <w:rsid w:val="004B24CD"/>
    <w:rsid w:val="005535BC"/>
    <w:rsid w:val="0058762B"/>
    <w:rsid w:val="00653F4A"/>
    <w:rsid w:val="006C117B"/>
    <w:rsid w:val="006D0A5C"/>
    <w:rsid w:val="006D7C5B"/>
    <w:rsid w:val="006E4E11"/>
    <w:rsid w:val="007242A3"/>
    <w:rsid w:val="007503C5"/>
    <w:rsid w:val="007777DA"/>
    <w:rsid w:val="00781805"/>
    <w:rsid w:val="007A6855"/>
    <w:rsid w:val="007A73C2"/>
    <w:rsid w:val="008007D1"/>
    <w:rsid w:val="0086245E"/>
    <w:rsid w:val="00881AA0"/>
    <w:rsid w:val="008C0C53"/>
    <w:rsid w:val="0092027A"/>
    <w:rsid w:val="00955E31"/>
    <w:rsid w:val="00992E72"/>
    <w:rsid w:val="009D3724"/>
    <w:rsid w:val="00A1229B"/>
    <w:rsid w:val="00A14C13"/>
    <w:rsid w:val="00A21EF4"/>
    <w:rsid w:val="00A93158"/>
    <w:rsid w:val="00AB12DF"/>
    <w:rsid w:val="00AD13EF"/>
    <w:rsid w:val="00AF26D1"/>
    <w:rsid w:val="00AF43ED"/>
    <w:rsid w:val="00B1308D"/>
    <w:rsid w:val="00B349C5"/>
    <w:rsid w:val="00B743AC"/>
    <w:rsid w:val="00C14D13"/>
    <w:rsid w:val="00C80DF3"/>
    <w:rsid w:val="00C9729C"/>
    <w:rsid w:val="00D12E3A"/>
    <w:rsid w:val="00D133D7"/>
    <w:rsid w:val="00D40878"/>
    <w:rsid w:val="00D50A4D"/>
    <w:rsid w:val="00D61A55"/>
    <w:rsid w:val="00E13608"/>
    <w:rsid w:val="00E80146"/>
    <w:rsid w:val="00E904D0"/>
    <w:rsid w:val="00EC25F9"/>
    <w:rsid w:val="00ED583F"/>
    <w:rsid w:val="00EF61BF"/>
    <w:rsid w:val="00FA434F"/>
    <w:rsid w:val="00FA4B76"/>
    <w:rsid w:val="00FB2BD8"/>
    <w:rsid w:val="00FC32D7"/>
    <w:rsid w:val="00FE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9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1AA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1AA0"/>
    <w:rPr>
      <w:rFonts w:ascii="Tahoma" w:hAnsi="Tahoma" w:cs="Tahoma"/>
      <w:sz w:val="16"/>
      <w:szCs w:val="16"/>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1AA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1AA0"/>
    <w:rPr>
      <w:rFonts w:ascii="Tahoma" w:hAnsi="Tahoma" w:cs="Tahoma"/>
      <w:sz w:val="16"/>
      <w:szCs w:val="1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769caa34-ee12-4998-9424-3bc18aa96d52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35670e95-d5a3-4c2b-9f0d-a339565e4e06" xsi:nil="true"/>
    <Nyckelord xmlns="35670e95-d5a3-4c2b-9f0d-a339565e4e06" xsi:nil="true"/>
    <RKOrdnaClass xmlns="843b1039-0dcd-4abc-8278-c515e9db5755" xsi:nil="true"/>
    <c9cd366cc722410295b9eacffbd73909 xmlns="35670e95-d5a3-4c2b-9f0d-a339565e4e06" xsi:nil="true"/>
    <TaxCatchAll xmlns="35670e95-d5a3-4c2b-9f0d-a339565e4e06"/>
    <Sekretess xmlns="35670e95-d5a3-4c2b-9f0d-a339565e4e06">false</Sekretess>
    <Diarienummer xmlns="35670e95-d5a3-4c2b-9f0d-a339565e4e06" xsi:nil="true"/>
    <RKOrdnaCheckInComment xmlns="843b1039-0dcd-4abc-8278-c515e9db5755" xsi:nil="true"/>
    <_dlc_DocId xmlns="35670e95-d5a3-4c2b-9f0d-a339565e4e06">CXFX32CTZZ3Y-64-502</_dlc_DocId>
    <_dlc_DocIdUrl xmlns="35670e95-d5a3-4c2b-9f0d-a339565e4e06">
      <Url>http://rkdhs-n/enhet/nv/fof/_layouts/DocIdRedir.aspx?ID=CXFX32CTZZ3Y-64-502</Url>
      <Description>CXFX32CTZZ3Y-64-502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44425-BA67-4110-B43B-D1DE89DF2B0C}"/>
</file>

<file path=customXml/itemProps2.xml><?xml version="1.0" encoding="utf-8"?>
<ds:datastoreItem xmlns:ds="http://schemas.openxmlformats.org/officeDocument/2006/customXml" ds:itemID="{56BEBB64-8345-4551-8B3A-04000E42A1FE}"/>
</file>

<file path=customXml/itemProps3.xml><?xml version="1.0" encoding="utf-8"?>
<ds:datastoreItem xmlns:ds="http://schemas.openxmlformats.org/officeDocument/2006/customXml" ds:itemID="{CD504C7B-8E29-4CA8-BCC1-644E2A7A6064}"/>
</file>

<file path=customXml/itemProps4.xml><?xml version="1.0" encoding="utf-8"?>
<ds:datastoreItem xmlns:ds="http://schemas.openxmlformats.org/officeDocument/2006/customXml" ds:itemID="{56BEBB64-8345-4551-8B3A-04000E42A1FE}"/>
</file>

<file path=customXml/itemProps5.xml><?xml version="1.0" encoding="utf-8"?>
<ds:datastoreItem xmlns:ds="http://schemas.openxmlformats.org/officeDocument/2006/customXml" ds:itemID="{267776DE-C253-47F1-8822-9CD7A62515A0}"/>
</file>

<file path=customXml/itemProps6.xml><?xml version="1.0" encoding="utf-8"?>
<ds:datastoreItem xmlns:ds="http://schemas.openxmlformats.org/officeDocument/2006/customXml" ds:itemID="{CD504C7B-8E29-4CA8-BCC1-644E2A7A6064}"/>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1484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Persson Nilsson</dc:creator>
  <cp:lastModifiedBy>Marianne Wallbom</cp:lastModifiedBy>
  <cp:revision>3</cp:revision>
  <cp:lastPrinted>2016-01-07T08:33:00Z</cp:lastPrinted>
  <dcterms:created xsi:type="dcterms:W3CDTF">2016-01-11T15:47:00Z</dcterms:created>
  <dcterms:modified xsi:type="dcterms:W3CDTF">2016-01-11T15:48:00Z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be4522a3-4aab-4dae-9580-283c1fc2a3c2</vt:lpwstr>
  </property>
</Properties>
</file>