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E47" w:rsidRPr="00597E47" w:rsidRDefault="00597E47">
      <w:pPr>
        <w:pStyle w:val="Frslagsrubrik"/>
      </w:pPr>
      <w:r w:rsidRPr="00597E47">
        <w:t>Förslag till riksdagsbeslut</w:t>
      </w:r>
    </w:p>
    <w:p w:rsidR="00597E47" w:rsidRPr="00597E47" w:rsidRDefault="00597E47">
      <w:pPr>
        <w:pStyle w:val="Hemstlatt"/>
        <w:ind w:left="0"/>
      </w:pPr>
      <w:r w:rsidRPr="00597E47">
        <w:t xml:space="preserve">Riksdagen avslår propositionens förslag i den del som rör </w:t>
      </w:r>
      <w:r w:rsidRPr="00597E47">
        <w:rPr>
          <w:szCs w:val="24"/>
        </w:rPr>
        <w:t xml:space="preserve">bestämmelsen i 3 kap. 2 § andra stycket utlänningslagen </w:t>
      </w:r>
      <w:r w:rsidRPr="00597E47">
        <w:t>(UtlL).</w:t>
      </w:r>
    </w:p>
    <w:p w:rsidR="00597E47" w:rsidRPr="00597E47" w:rsidRDefault="00597E47">
      <w:pPr>
        <w:pStyle w:val="Rubrik1"/>
      </w:pPr>
      <w:r w:rsidRPr="00597E47">
        <w:t>Motivering</w:t>
      </w:r>
    </w:p>
    <w:p w:rsidR="00597E47" w:rsidRPr="00597E47" w:rsidRDefault="00597E47">
      <w:r w:rsidRPr="00597E47">
        <w:t>Regeringen har lämnat förslag om ändringar i utlänningslagen föranledda av Europaparlamentets och rådets förordning (EG) nr 810/2009 om införande av en gemenskapskodex om viseringar (viseringskodex). Propositionen innehå</w:t>
      </w:r>
      <w:r w:rsidRPr="00597E47">
        <w:t>l</w:t>
      </w:r>
      <w:r w:rsidRPr="00597E47">
        <w:t>ler bl.a. bestämmelser om överklagande av viseringsbeslut i utlänningslagen. Det föreslås också vissa andra kompletteringar, t.ex. vad gäller representation mellan medlemsstater och samarbete med externa tjänsteleverantörer. Prop</w:t>
      </w:r>
      <w:r w:rsidRPr="00597E47">
        <w:t>o</w:t>
      </w:r>
      <w:r w:rsidRPr="00597E47">
        <w:t>sitionen innehåller också förslag som innebär att de bestämmelser om vise</w:t>
      </w:r>
      <w:r w:rsidRPr="00597E47">
        <w:t>r</w:t>
      </w:r>
      <w:r w:rsidRPr="00597E47">
        <w:t>ingar i utlänningslagen som inte är förenliga med viseringskodexen tas bort.</w:t>
      </w:r>
    </w:p>
    <w:p w:rsidR="00597E47" w:rsidRPr="00597E47" w:rsidRDefault="00597E47">
      <w:pPr>
        <w:pStyle w:val="Normaltindrag"/>
        <w:rPr>
          <w:szCs w:val="24"/>
        </w:rPr>
      </w:pPr>
      <w:r w:rsidRPr="00597E47">
        <w:rPr>
          <w:szCs w:val="24"/>
        </w:rPr>
        <w:t>Vänsterpartiet är kritiskt till den ökade harmonisering som sker inom detta område. Detta eftersom vi ser att det leder till en ök</w:t>
      </w:r>
      <w:r w:rsidRPr="00597E47">
        <w:rPr>
          <w:szCs w:val="24"/>
        </w:rPr>
        <w:t>ad restriktivitet inom hela flykting- och immigrationspolitiken. I detta sammanhang avvisar vi också en del av propositionens förslag till förändringar. Det rör den bevisregel i 3 kap. 2 § andra stycket UtlL som tillkom i samband med 2005 års utlänningslag. Bestämmelsen är en kodifiering av då gällande praxis. Om det vid en samlad bedömning framstår som sannolikt att avsikten med vistelsen är en annan än den uppgivna eller att utlänningen inte kommer att lämna Sverige eller Schengenstaternas territorium eft</w:t>
      </w:r>
      <w:r w:rsidRPr="00597E47">
        <w:rPr>
          <w:szCs w:val="24"/>
        </w:rPr>
        <w:t>er viseringstidens utgång, får enligt bestä</w:t>
      </w:r>
      <w:r w:rsidRPr="00597E47">
        <w:rPr>
          <w:szCs w:val="24"/>
        </w:rPr>
        <w:t>m</w:t>
      </w:r>
      <w:r w:rsidRPr="00597E47">
        <w:rPr>
          <w:szCs w:val="24"/>
        </w:rPr>
        <w:t>melsen en enhetlig visering inte beviljas. I propositionen föreslås denna b</w:t>
      </w:r>
      <w:r w:rsidRPr="00597E47">
        <w:rPr>
          <w:szCs w:val="24"/>
        </w:rPr>
        <w:t>e</w:t>
      </w:r>
      <w:r w:rsidRPr="00597E47">
        <w:rPr>
          <w:szCs w:val="24"/>
        </w:rPr>
        <w:t>visregel upphöra. Detta mot bakgrund av att viseringskodexen anses ersätta nationella bestämmelser om enhetlig visering i Schengenkonventionen. Vän</w:t>
      </w:r>
      <w:r w:rsidRPr="00597E47">
        <w:rPr>
          <w:szCs w:val="24"/>
        </w:rPr>
        <w:t>s</w:t>
      </w:r>
      <w:r w:rsidRPr="00597E47">
        <w:rPr>
          <w:szCs w:val="24"/>
        </w:rPr>
        <w:t xml:space="preserve">terpartiet menar, precis som </w:t>
      </w:r>
      <w:r w:rsidRPr="00597E47">
        <w:rPr>
          <w:iCs/>
          <w:szCs w:val="24"/>
        </w:rPr>
        <w:t xml:space="preserve">juridiska fakulteten vid Lunds universitet betonar i sitt remissvar, </w:t>
      </w:r>
      <w:r w:rsidRPr="00597E47">
        <w:rPr>
          <w:szCs w:val="24"/>
        </w:rPr>
        <w:t>att formuleringen i artikel 32.1 viseringskodexen om att s</w:t>
      </w:r>
      <w:r w:rsidRPr="00597E47">
        <w:rPr>
          <w:szCs w:val="24"/>
        </w:rPr>
        <w:t>ö</w:t>
      </w:r>
      <w:r w:rsidRPr="00597E47">
        <w:rPr>
          <w:szCs w:val="24"/>
        </w:rPr>
        <w:t xml:space="preserve">kanden ska styrka ändamålet och villkoren för vistelsen kommer att uppfattas </w:t>
      </w:r>
      <w:r w:rsidRPr="00597E47">
        <w:rPr>
          <w:szCs w:val="24"/>
        </w:rPr>
        <w:lastRenderedPageBreak/>
        <w:t>som en skä</w:t>
      </w:r>
      <w:r w:rsidRPr="00597E47">
        <w:rPr>
          <w:szCs w:val="24"/>
        </w:rPr>
        <w:t>rpning av beviskravet, vilket inte skulle motsvara den EU-rättsliga lagstiftarens avsikt. Mot denna bakgrund bör därför bestämmelsen i 3 kap. 2 § andra stycket UtlL vara kvar. Därmed bör propositionen avslås i denna del.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E47">
        <w:trPr>
          <w:cantSplit/>
        </w:trPr>
        <w:tc>
          <w:tcPr>
            <w:tcW w:w="3046" w:type="dxa"/>
          </w:tcPr>
          <w:p w:rsidR="00597E47" w:rsidRPr="00597E47" w:rsidRDefault="00597E47">
            <w:pPr>
              <w:pStyle w:val="UnderskriftDatum"/>
              <w:spacing w:before="240"/>
            </w:pPr>
            <w:r w:rsidRPr="00597E47">
              <w:t>Stockholm den 27 april 2011</w:t>
            </w:r>
          </w:p>
        </w:tc>
        <w:tc>
          <w:tcPr>
            <w:tcW w:w="3047" w:type="dxa"/>
          </w:tcPr>
          <w:p w:rsidR="00597E47" w:rsidRPr="00597E47" w:rsidRDefault="00597E47">
            <w:pPr>
              <w:pStyle w:val="Underskrifter"/>
              <w:spacing w:before="240"/>
            </w:pPr>
          </w:p>
        </w:tc>
      </w:tr>
      <w:tr w:rsidR="00000000" w:rsidRPr="00597E47">
        <w:trPr>
          <w:cantSplit/>
        </w:trPr>
        <w:tc>
          <w:tcPr>
            <w:tcW w:w="3046" w:type="dxa"/>
          </w:tcPr>
          <w:p w:rsidR="00597E47" w:rsidRPr="00597E47" w:rsidRDefault="00597E47">
            <w:pPr>
              <w:pStyle w:val="Underskrifter"/>
            </w:pPr>
            <w:r w:rsidRPr="00597E47">
              <w:t>Christina Höj Larsen (V)</w:t>
            </w:r>
          </w:p>
        </w:tc>
        <w:tc>
          <w:tcPr>
            <w:tcW w:w="3046" w:type="dxa"/>
          </w:tcPr>
          <w:p w:rsidR="00597E47" w:rsidRPr="00597E47" w:rsidRDefault="00597E47">
            <w:pPr>
              <w:pStyle w:val="Underskrifter"/>
            </w:pPr>
          </w:p>
        </w:tc>
      </w:tr>
      <w:tr w:rsidR="00000000" w:rsidRPr="00597E47">
        <w:trPr>
          <w:cantSplit/>
        </w:trPr>
        <w:tc>
          <w:tcPr>
            <w:tcW w:w="3046" w:type="dxa"/>
          </w:tcPr>
          <w:p w:rsidR="00597E47" w:rsidRPr="00597E47" w:rsidRDefault="00597E47">
            <w:pPr>
              <w:pStyle w:val="Underskrifter"/>
            </w:pPr>
            <w:r w:rsidRPr="00597E47">
              <w:t>Ulla Andersson (V)</w:t>
            </w:r>
          </w:p>
        </w:tc>
        <w:tc>
          <w:tcPr>
            <w:tcW w:w="3046" w:type="dxa"/>
          </w:tcPr>
          <w:p w:rsidR="00597E47" w:rsidRPr="00597E47" w:rsidRDefault="00597E47">
            <w:pPr>
              <w:pStyle w:val="Underskrifter"/>
            </w:pPr>
            <w:r w:rsidRPr="00597E47">
              <w:t>Josefin Brink (V)</w:t>
            </w:r>
          </w:p>
        </w:tc>
      </w:tr>
      <w:tr w:rsidR="00000000" w:rsidRPr="00597E47">
        <w:trPr>
          <w:cantSplit/>
        </w:trPr>
        <w:tc>
          <w:tcPr>
            <w:tcW w:w="3046" w:type="dxa"/>
          </w:tcPr>
          <w:p w:rsidR="00597E47" w:rsidRPr="00597E47" w:rsidRDefault="00597E47">
            <w:pPr>
              <w:pStyle w:val="Underskrifter"/>
            </w:pPr>
            <w:r w:rsidRPr="00597E47">
              <w:t>Rossana Dinamarca (V)</w:t>
            </w:r>
          </w:p>
        </w:tc>
        <w:tc>
          <w:tcPr>
            <w:tcW w:w="3046" w:type="dxa"/>
          </w:tcPr>
          <w:p w:rsidR="00597E47" w:rsidRPr="00597E47" w:rsidRDefault="00597E47">
            <w:pPr>
              <w:pStyle w:val="Underskrifter"/>
            </w:pPr>
            <w:r w:rsidRPr="00597E47">
              <w:t>Wiwi-Anne Johansson (V)</w:t>
            </w:r>
          </w:p>
        </w:tc>
      </w:tr>
      <w:tr w:rsidR="00000000" w:rsidRPr="00597E47">
        <w:trPr>
          <w:cantSplit/>
        </w:trPr>
        <w:tc>
          <w:tcPr>
            <w:tcW w:w="3046" w:type="dxa"/>
          </w:tcPr>
          <w:p w:rsidR="00597E47" w:rsidRPr="00597E47" w:rsidRDefault="00597E47">
            <w:pPr>
              <w:pStyle w:val="Underskrifter"/>
            </w:pPr>
            <w:r w:rsidRPr="00597E47">
              <w:t>Jacob Johnson (V)</w:t>
            </w:r>
          </w:p>
        </w:tc>
        <w:tc>
          <w:tcPr>
            <w:tcW w:w="3046" w:type="dxa"/>
          </w:tcPr>
          <w:p w:rsidR="00597E47" w:rsidRPr="00597E47" w:rsidRDefault="00597E47">
            <w:pPr>
              <w:pStyle w:val="Underskrifter"/>
            </w:pPr>
          </w:p>
        </w:tc>
      </w:tr>
    </w:tbl>
    <w:p w:rsidR="00597E47" w:rsidRPr="00597E47" w:rsidRDefault="00597E47">
      <w:pPr>
        <w:pStyle w:val="Normaltindrag"/>
      </w:pPr>
    </w:p>
    <w:sectPr w:rsidR="00000000" w:rsidRPr="00597E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E47" w:rsidRPr="00597E47" w:rsidRDefault="00597E47">
      <w:r w:rsidRPr="00597E47">
        <w:separator/>
      </w:r>
    </w:p>
  </w:endnote>
  <w:endnote w:type="continuationSeparator" w:id="0">
    <w:p w:rsidR="00597E47" w:rsidRPr="00597E47" w:rsidRDefault="00597E47">
      <w:r w:rsidRPr="00597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47" w:rsidRPr="00597E47" w:rsidRDefault="00597E47">
    <w:pPr>
      <w:pStyle w:val="Sidfot"/>
    </w:pPr>
    <w:r w:rsidRPr="00597E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968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47" w:rsidRDefault="00597E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E47" w:rsidRDefault="00597E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47" w:rsidRPr="00597E47" w:rsidRDefault="00597E47">
    <w:pPr>
      <w:pStyle w:val="Sidfot"/>
    </w:pPr>
    <w:r w:rsidRPr="00597E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41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47" w:rsidRDefault="00597E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E47" w:rsidRDefault="00597E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47" w:rsidRPr="00597E47" w:rsidRDefault="00597E47">
    <w:pPr>
      <w:pStyle w:val="Sidfot"/>
    </w:pPr>
    <w:r w:rsidRPr="00597E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412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47" w:rsidRDefault="00597E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E47" w:rsidRDefault="00597E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E47" w:rsidRPr="00597E47" w:rsidRDefault="00597E47">
      <w:r w:rsidRPr="00597E47">
        <w:separator/>
      </w:r>
    </w:p>
  </w:footnote>
  <w:footnote w:type="continuationSeparator" w:id="0">
    <w:p w:rsidR="00597E47" w:rsidRPr="00597E47" w:rsidRDefault="00597E47">
      <w:r w:rsidRPr="00597E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47" w:rsidRPr="00597E47" w:rsidRDefault="00597E47">
    <w:pPr>
      <w:pStyle w:val="Sidhuvud"/>
    </w:pPr>
    <w:r w:rsidRPr="00597E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323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47" w:rsidRDefault="00597E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E47" w:rsidRDefault="00597E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47" w:rsidRPr="00597E47" w:rsidRDefault="00597E47">
    <w:pPr>
      <w:pStyle w:val="Sidhuvud"/>
    </w:pPr>
    <w:r w:rsidRPr="00597E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017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47" w:rsidRDefault="00597E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E47" w:rsidRDefault="00597E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47" w:rsidRPr="00597E47" w:rsidRDefault="00597E47">
    <w:pPr>
      <w:pStyle w:val="FSHNormal"/>
      <w:tabs>
        <w:tab w:val="right" w:pos="5840"/>
      </w:tabs>
    </w:pPr>
    <w:r w:rsidRPr="00597E47">
      <w:br/>
    </w:r>
    <w:r w:rsidRPr="00597E47">
      <w:fldChar w:fldCharType="begin" w:fldLock="1"/>
    </w:r>
    <w:r w:rsidRPr="00597E47">
      <w:instrText xml:space="preserve"> DOCPROPERTY</w:instrText>
    </w:r>
    <w:r w:rsidRPr="00597E47">
      <w:rPr>
        <w:sz w:val="18"/>
      </w:rPr>
      <w:instrText xml:space="preserve"> "YearUser" *\charformat </w:instrText>
    </w:r>
    <w:r w:rsidRPr="00597E47">
      <w:fldChar w:fldCharType="separate"/>
    </w:r>
    <w:r w:rsidRPr="00597E47">
      <w:t>2010/11</w:t>
    </w:r>
    <w:r w:rsidRPr="00597E47">
      <w:fldChar w:fldCharType="end"/>
    </w:r>
    <w:r w:rsidRPr="00597E47">
      <w:t xml:space="preserve"> </w:t>
    </w:r>
    <w:r w:rsidRPr="00597E47">
      <w:tab/>
      <w:t xml:space="preserve">mnr: </w:t>
    </w:r>
    <w:r w:rsidRPr="00597E47">
      <w:fldChar w:fldCharType="begin" w:fldLock="1"/>
    </w:r>
    <w:r w:rsidRPr="00597E47">
      <w:instrText xml:space="preserve"> DOCPROPERTY</w:instrText>
    </w:r>
    <w:r w:rsidRPr="00597E47">
      <w:rPr>
        <w:sz w:val="18"/>
      </w:rPr>
      <w:instrText xml:space="preserve"> "Motionsnummer" *\charformat </w:instrText>
    </w:r>
    <w:r w:rsidRPr="00597E47">
      <w:fldChar w:fldCharType="separate"/>
    </w:r>
    <w:r w:rsidRPr="00597E47">
      <w:t>Sf7</w:t>
    </w:r>
    <w:r w:rsidRPr="00597E47">
      <w:fldChar w:fldCharType="end"/>
    </w:r>
    <w:r w:rsidRPr="00597E47">
      <w:br/>
    </w:r>
    <w:r w:rsidRPr="00597E47">
      <w:fldChar w:fldCharType="begin" w:fldLock="1"/>
    </w:r>
    <w:r w:rsidRPr="00597E47">
      <w:instrText xml:space="preserve"> DOCPROPERTY</w:instrText>
    </w:r>
    <w:r w:rsidRPr="00597E47">
      <w:rPr>
        <w:sz w:val="18"/>
      </w:rPr>
      <w:instrText xml:space="preserve"> "Samling" *\charformat </w:instrText>
    </w:r>
    <w:r w:rsidRPr="00597E47">
      <w:fldChar w:fldCharType="end"/>
    </w:r>
    <w:r w:rsidRPr="00597E47">
      <w:tab/>
      <w:t xml:space="preserve">pnr: </w:t>
    </w:r>
    <w:r w:rsidRPr="00597E47">
      <w:fldChar w:fldCharType="begin" w:fldLock="1"/>
    </w:r>
    <w:r w:rsidRPr="00597E47">
      <w:instrText xml:space="preserve"> DOCPROPERTY</w:instrText>
    </w:r>
    <w:r w:rsidRPr="00597E47">
      <w:rPr>
        <w:sz w:val="18"/>
      </w:rPr>
      <w:instrText xml:space="preserve"> "Partinummer" *\charformat </w:instrText>
    </w:r>
    <w:r w:rsidRPr="00597E47">
      <w:fldChar w:fldCharType="separate"/>
    </w:r>
    <w:r w:rsidRPr="00597E47">
      <w:t>V27</w:t>
    </w:r>
    <w:r w:rsidRPr="00597E47">
      <w:fldChar w:fldCharType="end"/>
    </w:r>
  </w:p>
  <w:p w:rsidR="00597E47" w:rsidRPr="00597E47" w:rsidRDefault="00597E47">
    <w:pPr>
      <w:pStyle w:val="FSHRub1"/>
    </w:pPr>
    <w:r w:rsidRPr="00597E47">
      <w:t>Motion till riksdagen</w:t>
    </w:r>
    <w:r w:rsidRPr="00597E47">
      <w:br/>
    </w:r>
    <w:r w:rsidRPr="00597E47">
      <w:fldChar w:fldCharType="begin" w:fldLock="1"/>
    </w:r>
    <w:r w:rsidRPr="00597E47">
      <w:instrText xml:space="preserve"> DOCPROPERTY "YearUser" *\charformat </w:instrText>
    </w:r>
    <w:r w:rsidRPr="00597E47">
      <w:fldChar w:fldCharType="separate"/>
    </w:r>
    <w:r w:rsidRPr="00597E47">
      <w:t>2010/11</w:t>
    </w:r>
    <w:r w:rsidRPr="00597E47">
      <w:fldChar w:fldCharType="end"/>
    </w:r>
    <w:r w:rsidRPr="00597E47">
      <w:t>:</w:t>
    </w:r>
    <w:r w:rsidRPr="00597E47">
      <w:fldChar w:fldCharType="begin" w:fldLock="1"/>
    </w:r>
    <w:r w:rsidRPr="00597E47">
      <w:instrText xml:space="preserve"> DOCPROPERTY "Motionsnummer" *\charformat </w:instrText>
    </w:r>
    <w:r w:rsidRPr="00597E47">
      <w:fldChar w:fldCharType="separate"/>
    </w:r>
    <w:r w:rsidRPr="00597E47">
      <w:t>Sf7</w:t>
    </w:r>
    <w:r w:rsidRPr="00597E47">
      <w:fldChar w:fldCharType="end"/>
    </w:r>
  </w:p>
  <w:p w:rsidR="00597E47" w:rsidRPr="00597E47" w:rsidRDefault="00597E47">
    <w:pPr>
      <w:pStyle w:val="FSHNormalS5"/>
    </w:pPr>
    <w:r w:rsidRPr="00597E47">
      <w:fldChar w:fldCharType="begin" w:fldLock="1"/>
    </w:r>
    <w:r w:rsidRPr="00597E47">
      <w:instrText xml:space="preserve"> DOCPROPERTY "MotionarText" *\charformat </w:instrText>
    </w:r>
    <w:r w:rsidRPr="00597E47">
      <w:fldChar w:fldCharType="separate"/>
    </w:r>
    <w:r w:rsidRPr="00597E47">
      <w:t>av Christina Höj Larsen m.fl. (V)</w:t>
    </w:r>
    <w:r w:rsidRPr="00597E47">
      <w:fldChar w:fldCharType="end"/>
    </w:r>
    <w:r w:rsidRPr="00597E47">
      <w:br/>
    </w:r>
    <w:r w:rsidRPr="00597E47">
      <w:fldChar w:fldCharType="begin" w:fldLock="1"/>
    </w:r>
    <w:r w:rsidRPr="00597E47">
      <w:instrText xml:space="preserve"> DOCPROPERTY "SvarFrasKort" *\charformat </w:instrText>
    </w:r>
    <w:r w:rsidRPr="00597E47">
      <w:fldChar w:fldCharType="separate"/>
    </w:r>
    <w:r w:rsidRPr="00597E47">
      <w:t>med anledning av prop. 2010/11:121</w:t>
    </w:r>
    <w:r w:rsidRPr="00597E47">
      <w:fldChar w:fldCharType="end"/>
    </w:r>
  </w:p>
  <w:p w:rsidR="00597E47" w:rsidRPr="00597E47" w:rsidRDefault="00597E47">
    <w:pPr>
      <w:pStyle w:val="FSHTitel"/>
    </w:pPr>
    <w:r w:rsidRPr="00597E47">
      <w:fldChar w:fldCharType="begin" w:fldLock="1"/>
    </w:r>
    <w:r w:rsidRPr="00597E47">
      <w:instrText xml:space="preserve"> DOCPROPERTY</w:instrText>
    </w:r>
    <w:r w:rsidRPr="00597E47">
      <w:rPr>
        <w:sz w:val="18"/>
      </w:rPr>
      <w:instrText xml:space="preserve"> "RubrikSvar" *\charformat </w:instrText>
    </w:r>
    <w:r w:rsidRPr="00597E47">
      <w:fldChar w:fldCharType="separate"/>
    </w:r>
    <w:r w:rsidRPr="00597E47">
      <w:t>EU:s viseringskodex</w:t>
    </w:r>
    <w:r w:rsidRPr="00597E47">
      <w:fldChar w:fldCharType="end"/>
    </w:r>
  </w:p>
  <w:p w:rsidR="00597E47" w:rsidRPr="00597E47" w:rsidRDefault="00597E47">
    <w:pPr>
      <w:pStyle w:val="Normal00"/>
    </w:pPr>
  </w:p>
  <w:p w:rsidR="00597E47" w:rsidRPr="00597E47" w:rsidRDefault="00597E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577021">
    <w:abstractNumId w:val="3"/>
  </w:num>
  <w:num w:numId="2" w16cid:durableId="679356377">
    <w:abstractNumId w:val="2"/>
  </w:num>
  <w:num w:numId="3" w16cid:durableId="1462919348">
    <w:abstractNumId w:val="1"/>
  </w:num>
  <w:num w:numId="4" w16cid:durableId="304168701">
    <w:abstractNumId w:val="0"/>
  </w:num>
  <w:num w:numId="5" w16cid:durableId="506332953">
    <w:abstractNumId w:val="7"/>
  </w:num>
  <w:num w:numId="6" w16cid:durableId="1835756481">
    <w:abstractNumId w:val="6"/>
  </w:num>
  <w:num w:numId="7" w16cid:durableId="480194830">
    <w:abstractNumId w:val="5"/>
  </w:num>
  <w:num w:numId="8" w16cid:durableId="670108637">
    <w:abstractNumId w:val="4"/>
  </w:num>
  <w:num w:numId="9" w16cid:durableId="1195459730">
    <w:abstractNumId w:val="8"/>
  </w:num>
  <w:num w:numId="10" w16cid:durableId="1406100202">
    <w:abstractNumId w:val="9"/>
  </w:num>
  <w:num w:numId="11" w16cid:durableId="1813717564">
    <w:abstractNumId w:val="10"/>
  </w:num>
  <w:num w:numId="12" w16cid:durableId="63914709">
    <w:abstractNumId w:val="13"/>
  </w:num>
  <w:num w:numId="13" w16cid:durableId="856697282">
    <w:abstractNumId w:val="15"/>
  </w:num>
  <w:num w:numId="14" w16cid:durableId="945699836">
    <w:abstractNumId w:val="16"/>
  </w:num>
  <w:num w:numId="15" w16cid:durableId="1695231044">
    <w:abstractNumId w:val="11"/>
  </w:num>
  <w:num w:numId="16" w16cid:durableId="2052996053">
    <w:abstractNumId w:val="18"/>
  </w:num>
  <w:num w:numId="17" w16cid:durableId="365525466">
    <w:abstractNumId w:val="17"/>
  </w:num>
  <w:num w:numId="18" w16cid:durableId="10493865">
    <w:abstractNumId w:val="14"/>
  </w:num>
  <w:num w:numId="19" w16cid:durableId="1143935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655152DA-9738-498E-8F40-529248027960},{9757EBE9-5352-471C-B04A-E35C112BD16A},{3E8E9A56-310F-4C36-91B1-43045BD53986},{A91A0519-8886-4C65-9424-5F1F036166D5},{8AB62037-4390-43A4-8774-82C1A5291ED3},{CDE55E54-9331-43CF-956C-25A3AB2FE7A8}"/>
  </w:docVars>
  <w:rsids>
    <w:rsidRoot w:val="00E61AB5"/>
    <w:rsid w:val="00597E47"/>
    <w:rsid w:val="00E61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9D1E0E25-0869-4F58-B1D4-2B319D80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2006</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v027</vt:lpstr>
    </vt:vector>
  </TitlesOfParts>
  <Company>Riksdagen</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v027</dc:title>
  <dc:subject>v027</dc:subject>
  <dc:creator>Riksdagen</dc:creator>
  <cp:keywords>Riksdagen</cp:keywords>
  <dc:description>Versal/gemen i partibeteckning. Gemen i tryck för 0910, versal för 1011 och nyare</dc:description>
  <cp:lastModifiedBy>Lars Brink</cp:lastModifiedBy>
  <cp:revision>2</cp:revision>
  <cp:lastPrinted>2011-05-09T13:34:00Z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mot2000_524_2011-04-27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2010/11:121 EU:s viseringskodex</vt:lpwstr>
  </property>
  <property fmtid="{D5CDD505-2E9C-101B-9397-08002B2CF9AE}" pid="11" name="SvarFrasKort">
    <vt:lpwstr>med anledning av prop. 2010/11:121</vt:lpwstr>
  </property>
  <property fmtid="{D5CDD505-2E9C-101B-9397-08002B2CF9AE}" pid="12" name="Svar">
    <vt:lpwstr>Proposition</vt:lpwstr>
  </property>
  <property fmtid="{D5CDD505-2E9C-101B-9397-08002B2CF9AE}" pid="13" name="SvarNr">
    <vt:lpwstr>2010/11:121</vt:lpwstr>
  </property>
  <property fmtid="{D5CDD505-2E9C-101B-9397-08002B2CF9AE}" pid="14" name="RubrikSvar">
    <vt:lpwstr>EU:s viseringskodex</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20102011000000000118000000270075</vt:lpwstr>
  </property>
  <property fmtid="{D5CDD505-2E9C-101B-9397-08002B2CF9AE}" pid="47" name="datum">
    <vt:lpwstr>110427</vt:lpwstr>
  </property>
  <property fmtid="{D5CDD505-2E9C-101B-9397-08002B2CF9AE}" pid="48" name="avsändar-e-post">
    <vt:lpwstr>maya.ek@riksdagen.se</vt:lpwstr>
  </property>
  <property fmtid="{D5CDD505-2E9C-101B-9397-08002B2CF9AE}" pid="49" name="id">
    <vt:lpwstr>20102011000000000118000000270075</vt:lpwstr>
  </property>
  <property fmtid="{D5CDD505-2E9C-101B-9397-08002B2CF9AE}" pid="50" name="nummer">
    <vt:lpwstr>7</vt:lpwstr>
  </property>
  <property fmtid="{D5CDD505-2E9C-101B-9397-08002B2CF9AE}" pid="51" name="utskottsbeteckning">
    <vt:lpwstr>Sf</vt:lpwstr>
  </property>
  <property fmtid="{D5CDD505-2E9C-101B-9397-08002B2CF9AE}" pid="52" name="GlobalUID">
    <vt:lpwstr>{7A517E0F-3211-41B1-8D25-5FD2751459D9}</vt:lpwstr>
  </property>
  <property fmtid="{D5CDD505-2E9C-101B-9397-08002B2CF9AE}" pid="53" name="Överföringar">
    <vt:i4>0</vt:i4>
  </property>
  <property fmtid="{D5CDD505-2E9C-101B-9397-08002B2CF9AE}" pid="54" name="Checksum">
    <vt:lpwstr>*0016725569784*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110509 15:34:09.676</vt:lpwstr>
  </property>
  <property fmtid="{D5CDD505-2E9C-101B-9397-08002B2CF9AE}" pid="58" name="urixGuid">
    <vt:lpwstr>{6A76BDE2-B954-447E-908C-1E1D2FC9D746}</vt:lpwstr>
  </property>
</Properties>
</file>