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438F" w:rsidRPr="004C58FF" w:rsidRDefault="00FD438F">
      <w:pPr>
        <w:pStyle w:val="Hemstlrubrik"/>
      </w:pPr>
      <w:r w:rsidRPr="004C58FF">
        <w:t>Förslag till riksdagsbeslut</w:t>
      </w:r>
    </w:p>
    <w:p w:rsidR="00FD438F" w:rsidRPr="004C58FF" w:rsidRDefault="00FD438F">
      <w:pPr>
        <w:pStyle w:val="Hemstlatt"/>
        <w:ind w:left="0"/>
      </w:pPr>
      <w:r w:rsidRPr="004C58FF">
        <w:t>Riksdagen tillkännager för regeringen som sin mening vad som anförs i motionen om en utvidgad substitutionspri</w:t>
      </w:r>
      <w:r w:rsidRPr="004C58FF">
        <w:t>n</w:t>
      </w:r>
      <w:r w:rsidRPr="004C58FF">
        <w:t>cip.</w:t>
      </w:r>
    </w:p>
    <w:p w:rsidR="00FD438F" w:rsidRPr="004C58FF" w:rsidRDefault="00FD438F">
      <w:pPr>
        <w:pStyle w:val="Rubrik1"/>
      </w:pPr>
      <w:r w:rsidRPr="004C58FF">
        <w:t>Motivering</w:t>
      </w:r>
    </w:p>
    <w:p w:rsidR="00FD438F" w:rsidRPr="004C58FF" w:rsidRDefault="00FD438F">
      <w:pPr>
        <w:autoSpaceDE w:val="0"/>
        <w:autoSpaceDN w:val="0"/>
        <w:adjustRightInd w:val="0"/>
        <w:rPr>
          <w:color w:val="000000"/>
          <w:szCs w:val="24"/>
        </w:rPr>
      </w:pPr>
      <w:r w:rsidRPr="004C58FF">
        <w:rPr>
          <w:color w:val="000000"/>
          <w:szCs w:val="24"/>
        </w:rPr>
        <w:t>Efter många års intensiv kemikaliedebatt beslutade EU:s ministerråd i d</w:t>
      </w:r>
      <w:r w:rsidRPr="004C58FF">
        <w:rPr>
          <w:color w:val="000000"/>
          <w:szCs w:val="24"/>
        </w:rPr>
        <w:t>e</w:t>
      </w:r>
      <w:r w:rsidRPr="004C58FF">
        <w:rPr>
          <w:color w:val="000000"/>
          <w:szCs w:val="24"/>
        </w:rPr>
        <w:t>cember 2006 att införa en ny kemikalielagstiftning kallad Reach (Registr</w:t>
      </w:r>
      <w:r w:rsidRPr="004C58FF">
        <w:rPr>
          <w:color w:val="000000"/>
          <w:szCs w:val="24"/>
        </w:rPr>
        <w:t>a</w:t>
      </w:r>
      <w:r w:rsidRPr="004C58FF">
        <w:rPr>
          <w:color w:val="000000"/>
          <w:szCs w:val="24"/>
        </w:rPr>
        <w:t>tion, Evaluation, Authorization and Restriction of Chemicals; registrering, utvärdering, godkännande och begränsning av kemikalier).</w:t>
      </w:r>
    </w:p>
    <w:p w:rsidR="00FD438F" w:rsidRPr="004C58FF" w:rsidRDefault="00FD438F">
      <w:pPr>
        <w:pStyle w:val="Normaltindrag"/>
      </w:pPr>
      <w:r w:rsidRPr="004C58FF">
        <w:t>Den nya lagstiftningen – en kompromiss som tidigare godkänts av EU-parlamentetet – gäller i dag i hela EU och ska för Sveriges del ersätta de n</w:t>
      </w:r>
      <w:r w:rsidRPr="004C58FF">
        <w:t>a</w:t>
      </w:r>
      <w:r w:rsidRPr="004C58FF">
        <w:t>tionella kemikalieregler som finns i miljöbalken, i regeringens förordningar och i Kemikalieinspektionens föreskrifter.</w:t>
      </w:r>
    </w:p>
    <w:p w:rsidR="00FD438F" w:rsidRPr="004C58FF" w:rsidRDefault="00FD438F">
      <w:pPr>
        <w:pStyle w:val="Normaltindrag"/>
      </w:pPr>
      <w:r w:rsidRPr="004C58FF">
        <w:t>Genomförandet av Reach i Sverige har dock tagit tid. Den borgerliga r</w:t>
      </w:r>
      <w:r w:rsidRPr="004C58FF">
        <w:t>e</w:t>
      </w:r>
      <w:r w:rsidRPr="004C58FF">
        <w:t>geringen valde att först tillsätta en utredning för att se över de svenska regle</w:t>
      </w:r>
      <w:r w:rsidRPr="004C58FF">
        <w:t>r</w:t>
      </w:r>
      <w:r w:rsidRPr="004C58FF">
        <w:t xml:space="preserve">na. Från socialdemokratisk sida menar vi att propositionen </w:t>
      </w:r>
      <w:r w:rsidRPr="004C58FF">
        <w:rPr>
          <w:i/>
        </w:rPr>
        <w:t xml:space="preserve">Miljöbalken och EG-förordningen om kemikalieregistrering </w:t>
      </w:r>
      <w:r w:rsidRPr="004C58FF">
        <w:t>mycket väl kunde ha påskyndats eftersom huvuddelen av lagstiftningen träder i kraft redan i juni i år och efte</w:t>
      </w:r>
      <w:r w:rsidRPr="004C58FF">
        <w:t>r</w:t>
      </w:r>
      <w:r w:rsidRPr="004C58FF">
        <w:t>som det är företagen själva som har ansvaret för tillämpningen. De bör ha en ri</w:t>
      </w:r>
      <w:r w:rsidRPr="004C58FF">
        <w:t>m</w:t>
      </w:r>
      <w:r w:rsidRPr="004C58FF">
        <w:t>lig chans till omställning.</w:t>
      </w:r>
    </w:p>
    <w:p w:rsidR="00FD438F" w:rsidRPr="004C58FF" w:rsidRDefault="00FD438F">
      <w:pPr>
        <w:pStyle w:val="Normaltindrag"/>
      </w:pPr>
      <w:r w:rsidRPr="004C58FF">
        <w:t>Den borgerliga regeringens företrädare i Bryssel har därtill bidragit till den långa handläggni</w:t>
      </w:r>
      <w:r w:rsidRPr="004C58FF">
        <w:t>ngstiden i EU. När Margot Wallström i början av 2000-talet lade fram sitt första förslag till en ny kemikalielag anade varken hon, som miljökommissionär, eller hennes medarbetare att det skulle ta så många år innan Reach stod klart. Motståndet från den tyska kemikalieindustrin var stenhårt, och ett flertal svenska borgerliga politiker lierade sig med de ko</w:t>
      </w:r>
      <w:r w:rsidRPr="004C58FF">
        <w:t>n</w:t>
      </w:r>
      <w:r w:rsidRPr="004C58FF">
        <w:t>servativa parlamentsledamöterna i ett intensivt lobbyarbete.</w:t>
      </w:r>
    </w:p>
    <w:p w:rsidR="00FD438F" w:rsidRPr="004C58FF" w:rsidRDefault="00FD438F">
      <w:pPr>
        <w:pStyle w:val="Normaltindrag"/>
      </w:pPr>
      <w:r w:rsidRPr="004C58FF">
        <w:lastRenderedPageBreak/>
        <w:t>Trots svårigheterna har EU i dag världens mest ambitiösa kemikaliela</w:t>
      </w:r>
      <w:r w:rsidRPr="004C58FF">
        <w:t>g</w:t>
      </w:r>
      <w:r w:rsidRPr="004C58FF">
        <w:t>stiftning. Den kan dock göras ännu bättre i sin svenska tillämpning.</w:t>
      </w:r>
    </w:p>
    <w:p w:rsidR="00FD438F" w:rsidRPr="004C58FF" w:rsidRDefault="00FD438F">
      <w:pPr>
        <w:pStyle w:val="Normaltindrag"/>
        <w:rPr>
          <w:color w:val="000000"/>
          <w:szCs w:val="24"/>
        </w:rPr>
      </w:pPr>
      <w:r w:rsidRPr="004C58FF">
        <w:t>Vi socialdemokrater anser till exempel att omfattningen av substitution</w:t>
      </w:r>
      <w:r w:rsidRPr="004C58FF">
        <w:t>s</w:t>
      </w:r>
      <w:r w:rsidRPr="004C58FF">
        <w:t>principen bör utvidgas. Begreppet produktval, såsom vi ofta använder det i Sverige när vi menar substitution, omfattar endast bytet från en kemisk pr</w:t>
      </w:r>
      <w:r w:rsidRPr="004C58FF">
        <w:t>o</w:t>
      </w:r>
      <w:r w:rsidRPr="004C58FF">
        <w:t>dukt till en annan produkt. Begreppet substitution, i sin mer internationella betydelse, betyder att farliga ämnen kan undvikas inte bara genom att ett farligt ämne byts mot ett mindre farligt, utan också genom att alternativa tekniska lösnin</w:t>
      </w:r>
      <w:r w:rsidRPr="004C58FF">
        <w:t>g</w:t>
      </w:r>
      <w:r w:rsidRPr="004C58FF">
        <w:t>ar används. Det kallas funktionell substitution och bör ha en given tilläm</w:t>
      </w:r>
      <w:r w:rsidRPr="004C58FF">
        <w:t>p</w:t>
      </w:r>
      <w:r w:rsidRPr="004C58FF">
        <w:t>ning också i Sverige.</w:t>
      </w:r>
    </w:p>
    <w:p w:rsidR="00FD438F" w:rsidRPr="004C58FF" w:rsidRDefault="00FD438F">
      <w:pPr>
        <w:pStyle w:val="Normaltindrag"/>
      </w:pPr>
      <w:r w:rsidRPr="004C58FF">
        <w:t>Svenskt miljöarbete h</w:t>
      </w:r>
      <w:r w:rsidRPr="004C58FF">
        <w:t>ar nått internationell ryktbarhet genom vår framsynta användning av just substitutions- och försiktighetsprinciperna. Vi sociald</w:t>
      </w:r>
      <w:r w:rsidRPr="004C58FF">
        <w:t>e</w:t>
      </w:r>
      <w:r w:rsidRPr="004C58FF">
        <w:t>mokrater anser att en utvidgad substitutionsprincip ska genomsyra Reach. Det gäller också i situationer där fullständig kunskap om riskerna saknas, vilket är vanligt vid hantering av kemikalier. Substitutionsprincipen är ett verktyg för god tillämpning av försiktighetsprincipen.</w:t>
      </w:r>
    </w:p>
    <w:p w:rsidR="00FD438F" w:rsidRPr="004C58FF" w:rsidRDefault="00FD438F">
      <w:pPr>
        <w:pStyle w:val="Normaltindrag"/>
      </w:pPr>
      <w:r w:rsidRPr="004C58FF">
        <w:t>Vi anser också att stödet till företagens arbete med substitutionen kan b</w:t>
      </w:r>
      <w:r w:rsidRPr="004C58FF">
        <w:t>e</w:t>
      </w:r>
      <w:r w:rsidRPr="004C58FF">
        <w:t>höva förstärkas.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C58FF">
        <w:trPr>
          <w:cantSplit/>
        </w:trPr>
        <w:tc>
          <w:tcPr>
            <w:tcW w:w="3046" w:type="dxa"/>
          </w:tcPr>
          <w:p w:rsidR="00FD438F" w:rsidRPr="004C58FF" w:rsidRDefault="00FD438F">
            <w:pPr>
              <w:pStyle w:val="UnderskriftDatum"/>
              <w:spacing w:before="240"/>
            </w:pPr>
            <w:r w:rsidRPr="004C58FF">
              <w:t>Stockholm den 26 mars 2008</w:t>
            </w:r>
          </w:p>
        </w:tc>
        <w:tc>
          <w:tcPr>
            <w:tcW w:w="3047" w:type="dxa"/>
          </w:tcPr>
          <w:p w:rsidR="00FD438F" w:rsidRPr="004C58FF" w:rsidRDefault="00FD438F">
            <w:pPr>
              <w:pStyle w:val="Underskrifter"/>
              <w:spacing w:before="240"/>
            </w:pPr>
          </w:p>
        </w:tc>
      </w:tr>
      <w:tr w:rsidR="00000000" w:rsidRPr="004C58FF">
        <w:trPr>
          <w:cantSplit/>
        </w:trPr>
        <w:tc>
          <w:tcPr>
            <w:tcW w:w="3046" w:type="dxa"/>
          </w:tcPr>
          <w:p w:rsidR="00FD438F" w:rsidRPr="004C58FF" w:rsidRDefault="00FD438F">
            <w:pPr>
              <w:pStyle w:val="Underskrifter"/>
            </w:pPr>
            <w:r w:rsidRPr="004C58FF">
              <w:t>Anders Ygeman (s)</w:t>
            </w:r>
          </w:p>
        </w:tc>
        <w:tc>
          <w:tcPr>
            <w:tcW w:w="3046" w:type="dxa"/>
          </w:tcPr>
          <w:p w:rsidR="00FD438F" w:rsidRPr="004C58FF" w:rsidRDefault="00FD438F">
            <w:pPr>
              <w:pStyle w:val="Underskrifter"/>
            </w:pPr>
          </w:p>
        </w:tc>
      </w:tr>
      <w:tr w:rsidR="00000000" w:rsidRPr="004C58FF">
        <w:trPr>
          <w:cantSplit/>
        </w:trPr>
        <w:tc>
          <w:tcPr>
            <w:tcW w:w="3046" w:type="dxa"/>
          </w:tcPr>
          <w:p w:rsidR="00FD438F" w:rsidRPr="004C58FF" w:rsidRDefault="00FD438F">
            <w:pPr>
              <w:pStyle w:val="Underskrifter"/>
            </w:pPr>
            <w:r w:rsidRPr="004C58FF">
              <w:t>Carina Ohlsson (s)</w:t>
            </w:r>
          </w:p>
        </w:tc>
        <w:tc>
          <w:tcPr>
            <w:tcW w:w="3046" w:type="dxa"/>
          </w:tcPr>
          <w:p w:rsidR="00FD438F" w:rsidRPr="004C58FF" w:rsidRDefault="00FD438F">
            <w:pPr>
              <w:pStyle w:val="Underskrifter"/>
            </w:pPr>
            <w:r w:rsidRPr="004C58FF">
              <w:t>Bo Bernhardsson (s)</w:t>
            </w:r>
          </w:p>
        </w:tc>
      </w:tr>
      <w:tr w:rsidR="00000000" w:rsidRPr="004C58FF">
        <w:trPr>
          <w:cantSplit/>
        </w:trPr>
        <w:tc>
          <w:tcPr>
            <w:tcW w:w="3046" w:type="dxa"/>
          </w:tcPr>
          <w:p w:rsidR="00FD438F" w:rsidRPr="004C58FF" w:rsidRDefault="00FD438F">
            <w:pPr>
              <w:pStyle w:val="Underskrifter"/>
            </w:pPr>
            <w:r w:rsidRPr="004C58FF">
              <w:t>Ann-Kristine Johansson (s)</w:t>
            </w:r>
          </w:p>
        </w:tc>
        <w:tc>
          <w:tcPr>
            <w:tcW w:w="3046" w:type="dxa"/>
          </w:tcPr>
          <w:p w:rsidR="00FD438F" w:rsidRPr="004C58FF" w:rsidRDefault="00FD438F">
            <w:pPr>
              <w:pStyle w:val="Underskrifter"/>
            </w:pPr>
            <w:r w:rsidRPr="004C58FF">
              <w:t>Jan-Olof Larsson (s)</w:t>
            </w:r>
          </w:p>
        </w:tc>
      </w:tr>
      <w:tr w:rsidR="00000000" w:rsidRPr="004C58FF">
        <w:trPr>
          <w:cantSplit/>
        </w:trPr>
        <w:tc>
          <w:tcPr>
            <w:tcW w:w="3046" w:type="dxa"/>
          </w:tcPr>
          <w:p w:rsidR="00FD438F" w:rsidRPr="004C58FF" w:rsidRDefault="00FD438F">
            <w:pPr>
              <w:pStyle w:val="Underskrifter"/>
            </w:pPr>
            <w:r w:rsidRPr="004C58FF">
              <w:t>Dan Nilsson (s)</w:t>
            </w:r>
          </w:p>
        </w:tc>
        <w:tc>
          <w:tcPr>
            <w:tcW w:w="3046" w:type="dxa"/>
          </w:tcPr>
          <w:p w:rsidR="00FD438F" w:rsidRPr="004C58FF" w:rsidRDefault="00FD438F">
            <w:pPr>
              <w:pStyle w:val="Underskrifter"/>
            </w:pPr>
            <w:r w:rsidRPr="004C58FF">
              <w:t>Aleksander Gabelic (s)</w:t>
            </w:r>
          </w:p>
        </w:tc>
      </w:tr>
      <w:tr w:rsidR="00000000" w:rsidRPr="004C58FF">
        <w:trPr>
          <w:cantSplit/>
        </w:trPr>
        <w:tc>
          <w:tcPr>
            <w:tcW w:w="3046" w:type="dxa"/>
          </w:tcPr>
          <w:p w:rsidR="00FD438F" w:rsidRPr="004C58FF" w:rsidRDefault="00FD438F">
            <w:pPr>
              <w:pStyle w:val="Underskrifter"/>
            </w:pPr>
            <w:r w:rsidRPr="004C58FF">
              <w:t>Helén Pettersson i Umeå (s)</w:t>
            </w:r>
          </w:p>
        </w:tc>
        <w:tc>
          <w:tcPr>
            <w:tcW w:w="3046" w:type="dxa"/>
          </w:tcPr>
          <w:p w:rsidR="00FD438F" w:rsidRPr="004C58FF" w:rsidRDefault="00FD438F">
            <w:pPr>
              <w:pStyle w:val="Underskrifter"/>
            </w:pPr>
          </w:p>
        </w:tc>
      </w:tr>
    </w:tbl>
    <w:p w:rsidR="00FD438F" w:rsidRPr="004C58FF" w:rsidRDefault="00FD438F">
      <w:pPr>
        <w:pStyle w:val="Normaltindrag"/>
      </w:pPr>
    </w:p>
    <w:sectPr w:rsidR="00FD438F" w:rsidRPr="004C58F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438F" w:rsidRPr="004C58FF" w:rsidRDefault="00FD438F">
      <w:r w:rsidRPr="004C58FF">
        <w:separator/>
      </w:r>
    </w:p>
  </w:endnote>
  <w:endnote w:type="continuationSeparator" w:id="0">
    <w:p w:rsidR="00FD438F" w:rsidRPr="004C58FF" w:rsidRDefault="00FD438F">
      <w:r w:rsidRPr="004C58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438F" w:rsidRPr="004C58FF" w:rsidRDefault="004C58FF">
    <w:pPr>
      <w:pStyle w:val="Sidfot"/>
    </w:pPr>
    <w:r w:rsidRPr="004C58F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9572222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438F" w:rsidRDefault="00FD438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D438F" w:rsidRDefault="00FD438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438F" w:rsidRPr="004C58FF" w:rsidRDefault="004C58FF">
    <w:pPr>
      <w:pStyle w:val="Sidfot"/>
    </w:pPr>
    <w:r w:rsidRPr="004C58F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687980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438F" w:rsidRDefault="00FD438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D438F" w:rsidRDefault="00FD438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438F" w:rsidRPr="004C58FF" w:rsidRDefault="004C58FF">
    <w:pPr>
      <w:pStyle w:val="Sidfot"/>
    </w:pPr>
    <w:r w:rsidRPr="004C58F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47294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438F" w:rsidRDefault="00FD438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D438F" w:rsidRDefault="00FD438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438F" w:rsidRPr="004C58FF" w:rsidRDefault="00FD438F">
      <w:r w:rsidRPr="004C58FF">
        <w:separator/>
      </w:r>
    </w:p>
  </w:footnote>
  <w:footnote w:type="continuationSeparator" w:id="0">
    <w:p w:rsidR="00FD438F" w:rsidRPr="004C58FF" w:rsidRDefault="00FD438F">
      <w:r w:rsidRPr="004C58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438F" w:rsidRPr="004C58FF" w:rsidRDefault="004C58FF">
    <w:pPr>
      <w:pStyle w:val="Sidhuvud"/>
    </w:pPr>
    <w:r w:rsidRPr="004C58F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308140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438F" w:rsidRDefault="00FD438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D438F" w:rsidRDefault="00FD438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438F" w:rsidRPr="004C58FF" w:rsidRDefault="004C58FF">
    <w:pPr>
      <w:pStyle w:val="Sidhuvud"/>
    </w:pPr>
    <w:r w:rsidRPr="004C58F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369986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438F" w:rsidRDefault="00FD438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D438F" w:rsidRDefault="00FD438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438F" w:rsidRPr="004C58FF" w:rsidRDefault="00FD438F">
    <w:pPr>
      <w:pStyle w:val="FSHNormal"/>
      <w:tabs>
        <w:tab w:val="right" w:pos="5840"/>
      </w:tabs>
    </w:pPr>
    <w:r w:rsidRPr="004C58FF">
      <w:br/>
    </w:r>
    <w:r w:rsidRPr="004C58FF">
      <w:fldChar w:fldCharType="begin" w:fldLock="1"/>
    </w:r>
    <w:r w:rsidRPr="004C58FF">
      <w:instrText xml:space="preserve"> DOCPROPERTY</w:instrText>
    </w:r>
    <w:r w:rsidRPr="004C58FF">
      <w:rPr>
        <w:sz w:val="18"/>
      </w:rPr>
      <w:instrText xml:space="preserve"> "YearUser" *\charformat </w:instrText>
    </w:r>
    <w:r w:rsidRPr="004C58FF">
      <w:fldChar w:fldCharType="separate"/>
    </w:r>
    <w:r w:rsidRPr="004C58FF">
      <w:t>2007/08</w:t>
    </w:r>
    <w:r w:rsidRPr="004C58FF">
      <w:fldChar w:fldCharType="end"/>
    </w:r>
    <w:r w:rsidRPr="004C58FF">
      <w:t xml:space="preserve"> </w:t>
    </w:r>
    <w:r w:rsidRPr="004C58FF">
      <w:tab/>
      <w:t xml:space="preserve">mnr: </w:t>
    </w:r>
    <w:r w:rsidRPr="004C58FF">
      <w:fldChar w:fldCharType="begin" w:fldLock="1"/>
    </w:r>
    <w:r w:rsidRPr="004C58FF">
      <w:instrText xml:space="preserve"> DOCPROPERTY</w:instrText>
    </w:r>
    <w:r w:rsidRPr="004C58FF">
      <w:rPr>
        <w:sz w:val="18"/>
      </w:rPr>
      <w:instrText xml:space="preserve"> "Motionsnummer" *\charformat </w:instrText>
    </w:r>
    <w:r w:rsidRPr="004C58FF">
      <w:fldChar w:fldCharType="separate"/>
    </w:r>
    <w:r w:rsidRPr="004C58FF">
      <w:t>MJ7</w:t>
    </w:r>
    <w:r w:rsidRPr="004C58FF">
      <w:fldChar w:fldCharType="end"/>
    </w:r>
    <w:r w:rsidRPr="004C58FF">
      <w:br/>
    </w:r>
    <w:r w:rsidRPr="004C58FF">
      <w:fldChar w:fldCharType="begin" w:fldLock="1"/>
    </w:r>
    <w:r w:rsidRPr="004C58FF">
      <w:instrText xml:space="preserve"> DOCPROPERTY</w:instrText>
    </w:r>
    <w:r w:rsidRPr="004C58FF">
      <w:rPr>
        <w:sz w:val="18"/>
      </w:rPr>
      <w:instrText xml:space="preserve"> "Samling" *\charformat </w:instrText>
    </w:r>
    <w:r w:rsidRPr="004C58FF">
      <w:fldChar w:fldCharType="end"/>
    </w:r>
    <w:r w:rsidRPr="004C58FF">
      <w:tab/>
      <w:t xml:space="preserve">pnr: </w:t>
    </w:r>
    <w:r w:rsidRPr="004C58FF">
      <w:fldChar w:fldCharType="begin" w:fldLock="1"/>
    </w:r>
    <w:r w:rsidRPr="004C58FF">
      <w:instrText xml:space="preserve"> DOCPROPERTY</w:instrText>
    </w:r>
    <w:r w:rsidRPr="004C58FF">
      <w:rPr>
        <w:sz w:val="18"/>
      </w:rPr>
      <w:instrText xml:space="preserve"> "Partinummer" *\charformat </w:instrText>
    </w:r>
    <w:r w:rsidRPr="004C58FF">
      <w:fldChar w:fldCharType="separate"/>
    </w:r>
    <w:r w:rsidRPr="004C58FF">
      <w:t>s12073</w:t>
    </w:r>
    <w:r w:rsidRPr="004C58FF">
      <w:fldChar w:fldCharType="end"/>
    </w:r>
  </w:p>
  <w:p w:rsidR="00FD438F" w:rsidRPr="004C58FF" w:rsidRDefault="00FD438F">
    <w:pPr>
      <w:pStyle w:val="FSHRub1"/>
    </w:pPr>
    <w:r w:rsidRPr="004C58FF">
      <w:t>Motion till riksdagen</w:t>
    </w:r>
    <w:r w:rsidRPr="004C58FF">
      <w:br/>
    </w:r>
    <w:r w:rsidRPr="004C58FF">
      <w:fldChar w:fldCharType="begin" w:fldLock="1"/>
    </w:r>
    <w:r w:rsidRPr="004C58FF">
      <w:instrText xml:space="preserve"> DOCPROPERTY "YearUser" *\charformat </w:instrText>
    </w:r>
    <w:r w:rsidRPr="004C58FF">
      <w:fldChar w:fldCharType="separate"/>
    </w:r>
    <w:r w:rsidRPr="004C58FF">
      <w:t>2007/08</w:t>
    </w:r>
    <w:r w:rsidRPr="004C58FF">
      <w:fldChar w:fldCharType="end"/>
    </w:r>
    <w:r w:rsidRPr="004C58FF">
      <w:t>:</w:t>
    </w:r>
    <w:r w:rsidRPr="004C58FF">
      <w:fldChar w:fldCharType="begin" w:fldLock="1"/>
    </w:r>
    <w:r w:rsidRPr="004C58FF">
      <w:instrText xml:space="preserve"> DOCPROPERTY "Motionsnummer" *\charformat </w:instrText>
    </w:r>
    <w:r w:rsidRPr="004C58FF">
      <w:fldChar w:fldCharType="separate"/>
    </w:r>
    <w:r w:rsidRPr="004C58FF">
      <w:t>MJ7</w:t>
    </w:r>
    <w:r w:rsidRPr="004C58FF">
      <w:fldChar w:fldCharType="end"/>
    </w:r>
  </w:p>
  <w:p w:rsidR="00FD438F" w:rsidRPr="004C58FF" w:rsidRDefault="00FD438F">
    <w:pPr>
      <w:pStyle w:val="FSHNormalS5"/>
    </w:pPr>
    <w:r w:rsidRPr="004C58FF">
      <w:fldChar w:fldCharType="begin" w:fldLock="1"/>
    </w:r>
    <w:r w:rsidRPr="004C58FF">
      <w:instrText xml:space="preserve"> DOCPROPERTY "MotionarText" *\charformat </w:instrText>
    </w:r>
    <w:r w:rsidRPr="004C58FF">
      <w:fldChar w:fldCharType="separate"/>
    </w:r>
    <w:r w:rsidRPr="004C58FF">
      <w:t>av Anders Ygeman m.fl. (s)</w:t>
    </w:r>
    <w:r w:rsidRPr="004C58FF">
      <w:fldChar w:fldCharType="end"/>
    </w:r>
    <w:r w:rsidRPr="004C58FF">
      <w:br/>
    </w:r>
    <w:r w:rsidRPr="004C58FF">
      <w:fldChar w:fldCharType="begin" w:fldLock="1"/>
    </w:r>
    <w:r w:rsidRPr="004C58FF">
      <w:instrText xml:space="preserve"> DOCPROPERTY "SvarFrasKort" *\charformat </w:instrText>
    </w:r>
    <w:r w:rsidRPr="004C58FF">
      <w:fldChar w:fldCharType="separate"/>
    </w:r>
    <w:r w:rsidRPr="004C58FF">
      <w:t>med anledning av prop. 2007/08:80</w:t>
    </w:r>
    <w:r w:rsidRPr="004C58FF">
      <w:fldChar w:fldCharType="end"/>
    </w:r>
  </w:p>
  <w:p w:rsidR="00FD438F" w:rsidRPr="004C58FF" w:rsidRDefault="00FD438F">
    <w:pPr>
      <w:pStyle w:val="FSHTitel"/>
    </w:pPr>
    <w:r w:rsidRPr="004C58FF">
      <w:fldChar w:fldCharType="begin" w:fldLock="1"/>
    </w:r>
    <w:r w:rsidRPr="004C58FF">
      <w:instrText xml:space="preserve"> DOCPROPERTY</w:instrText>
    </w:r>
    <w:r w:rsidRPr="004C58FF">
      <w:rPr>
        <w:sz w:val="18"/>
      </w:rPr>
      <w:instrText xml:space="preserve"> "RubrikSvar" *\charformat </w:instrText>
    </w:r>
    <w:r w:rsidRPr="004C58FF">
      <w:fldChar w:fldCharType="separate"/>
    </w:r>
    <w:r w:rsidRPr="004C58FF">
      <w:t>Miljöbalken och EG-förordningen om kemikalieregistrering</w:t>
    </w:r>
    <w:r w:rsidRPr="004C58FF">
      <w:fldChar w:fldCharType="end"/>
    </w:r>
  </w:p>
  <w:p w:rsidR="00FD438F" w:rsidRPr="004C58FF" w:rsidRDefault="00FD438F">
    <w:pPr>
      <w:pStyle w:val="Normal00"/>
    </w:pPr>
  </w:p>
  <w:p w:rsidR="00FD438F" w:rsidRPr="004C58FF" w:rsidRDefault="00FD438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54451335">
    <w:abstractNumId w:val="8"/>
  </w:num>
  <w:num w:numId="2" w16cid:durableId="1515070974">
    <w:abstractNumId w:val="9"/>
  </w:num>
  <w:num w:numId="3" w16cid:durableId="754744527">
    <w:abstractNumId w:val="8"/>
  </w:num>
  <w:num w:numId="4" w16cid:durableId="1436513683">
    <w:abstractNumId w:val="9"/>
  </w:num>
  <w:num w:numId="5" w16cid:durableId="1253196459">
    <w:abstractNumId w:val="13"/>
  </w:num>
  <w:num w:numId="6" w16cid:durableId="1385522324">
    <w:abstractNumId w:val="10"/>
  </w:num>
  <w:num w:numId="7" w16cid:durableId="1620257038">
    <w:abstractNumId w:val="11"/>
  </w:num>
  <w:num w:numId="8" w16cid:durableId="831220656">
    <w:abstractNumId w:val="12"/>
  </w:num>
  <w:num w:numId="9" w16cid:durableId="69037458">
    <w:abstractNumId w:val="8"/>
  </w:num>
  <w:num w:numId="10" w16cid:durableId="1373845690">
    <w:abstractNumId w:val="3"/>
  </w:num>
  <w:num w:numId="11" w16cid:durableId="112749902">
    <w:abstractNumId w:val="2"/>
  </w:num>
  <w:num w:numId="12" w16cid:durableId="86998006">
    <w:abstractNumId w:val="1"/>
  </w:num>
  <w:num w:numId="13" w16cid:durableId="1506627924">
    <w:abstractNumId w:val="0"/>
  </w:num>
  <w:num w:numId="14" w16cid:durableId="1165975277">
    <w:abstractNumId w:val="9"/>
  </w:num>
  <w:num w:numId="15" w16cid:durableId="1832986890">
    <w:abstractNumId w:val="7"/>
  </w:num>
  <w:num w:numId="16" w16cid:durableId="446782266">
    <w:abstractNumId w:val="6"/>
  </w:num>
  <w:num w:numId="17" w16cid:durableId="437650862">
    <w:abstractNumId w:val="5"/>
  </w:num>
  <w:num w:numId="18" w16cid:durableId="6543416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3-25"/>
    <w:docVar w:name="PersonGUIDs" w:val="{A507F21D-0507-473C-BE5A-C36D18D583BF},{9911A249-5F34-4F66-8E06-5194917FEC0D},{EED2426B-3519-4AE2-A1BA-C078C52A3AC2},{8C3EC858-7F68-4FA3-8A98-4E77EC8BCEA1},{2A510361-2DB0-49A0-A348-7593CE268EB9},{48A599AF-71F8-4231-AE51-83E47CC5E0DB},{B9BC986C-06D5-4428-B703-83622FDB0471},{6C8EA419-EA53-4D0D-85B4-7E9172F2D162}"/>
  </w:docVars>
  <w:rsids>
    <w:rsidRoot w:val="00961D86"/>
    <w:rsid w:val="004C58FF"/>
    <w:rsid w:val="00961D86"/>
    <w:rsid w:val="00FD438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7EEA795-7B77-4501-8E09-948BCBACE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433</Words>
  <Characters>2695</Characters>
  <Application>Microsoft Office Word</Application>
  <DocSecurity>4</DocSecurity>
  <Lines>57</Lines>
  <Paragraphs>23</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2008-03-27T15:04:00Z</cp:lastPrinted>
  <dcterms:created xsi:type="dcterms:W3CDTF">2025-12-17T07:14:00Z</dcterms:created>
  <dcterms:modified xsi:type="dcterms:W3CDTF">2025-12-17T07:14:00Z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mot2000_492_2008-03-25</vt:lpwstr>
  </property>
  <property fmtid="{D5CDD505-2E9C-101B-9397-08002B2CF9AE}" pid="3" name="version">
    <vt:lpwstr>mot2000_492_2008-03-25</vt:lpwstr>
  </property>
  <property fmtid="{D5CDD505-2E9C-101B-9397-08002B2CF9AE}" pid="4" name="dokumenttyp">
    <vt:lpwstr>motion</vt:lpwstr>
  </property>
  <property fmtid="{D5CDD505-2E9C-101B-9397-08002B2CF9AE}" pid="5" name="Sekr">
    <vt:lpwstr>ea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2007/08:80 Miljöbalken och EG-förordningen om kemikalieregistrering</vt:lpwstr>
  </property>
  <property fmtid="{D5CDD505-2E9C-101B-9397-08002B2CF9AE}" pid="11" name="SvarFrasKort">
    <vt:lpwstr>med anledning av prop. 2007/08:80</vt:lpwstr>
  </property>
  <property fmtid="{D5CDD505-2E9C-101B-9397-08002B2CF9AE}" pid="12" name="Svar">
    <vt:lpwstr>Proposition</vt:lpwstr>
  </property>
  <property fmtid="{D5CDD505-2E9C-101B-9397-08002B2CF9AE}" pid="13" name="SvarNr">
    <vt:lpwstr>2007/08:80</vt:lpwstr>
  </property>
  <property fmtid="{D5CDD505-2E9C-101B-9397-08002B2CF9AE}" pid="14" name="RubrikSvar">
    <vt:lpwstr>Miljöbalken och EG-förordningen om kemikalieregistrering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s12073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Anders Ygeman m.fl. (s)</vt:lpwstr>
  </property>
  <property fmtid="{D5CDD505-2E9C-101B-9397-08002B2CF9AE}" pid="26" name="MotionarLista">
    <vt:lpwstr>Ygeman, Anders (s)\Ohlsson, Carina (s)\Bernhardsson, Bo (s)\Johansson, Ann-Kristine (s)\Larsson, Jan-Olof (s)\Nilsson, Dan (s)\Gabelic, Aleksander (s)\Pettersson i Umeå, Helén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Ygeman (s), Carina Ohlsson (s), Bo Bernhardsson (s), Ann-Kristine Johansson (s), Jan-Olof Larsson (s), Dan Nilsson (s), Aleksander Gabelic (s), Helén Pettersson i Umeå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MJ7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mars 2008</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20072008000000000115000120730075</vt:lpwstr>
  </property>
  <property fmtid="{D5CDD505-2E9C-101B-9397-08002B2CF9AE}" pid="47" name="datum">
    <vt:lpwstr>080326</vt:lpwstr>
  </property>
  <property fmtid="{D5CDD505-2E9C-101B-9397-08002B2CF9AE}" pid="48" name="avsändar-e-post">
    <vt:lpwstr>stefan.froding@riksdagen.se</vt:lpwstr>
  </property>
  <property fmtid="{D5CDD505-2E9C-101B-9397-08002B2CF9AE}" pid="49" name="id">
    <vt:lpwstr>20072008000000000115000120730075</vt:lpwstr>
  </property>
  <property fmtid="{D5CDD505-2E9C-101B-9397-08002B2CF9AE}" pid="50" name="nummer">
    <vt:lpwstr>7</vt:lpwstr>
  </property>
  <property fmtid="{D5CDD505-2E9C-101B-9397-08002B2CF9AE}" pid="51" name="utskottsbeteckning">
    <vt:lpwstr>MJ</vt:lpwstr>
  </property>
  <property fmtid="{D5CDD505-2E9C-101B-9397-08002B2CF9AE}" pid="52" name="GlobalUID">
    <vt:lpwstr>{C42D4D88-6041-4358-8ACD-D5732F717603}</vt:lpwstr>
  </property>
  <property fmtid="{D5CDD505-2E9C-101B-9397-08002B2CF9AE}" pid="53" name="Överföringar">
    <vt:i4>1</vt:i4>
  </property>
  <property fmtid="{D5CDD505-2E9C-101B-9397-08002B2CF9AE}" pid="54" name="Checksum">
    <vt:lpwstr>*0001639643118*</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080327 16:06:05.561</vt:lpwstr>
  </property>
  <property fmtid="{D5CDD505-2E9C-101B-9397-08002B2CF9AE}" pid="58" name="urixGuid">
    <vt:lpwstr>{41C8AAEC-EF07-44F6-8719-5CB889395A9E}</vt:lpwstr>
  </property>
</Properties>
</file>