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314B30">
        <w:tc>
          <w:tcPr>
            <w:tcW w:w="2268" w:type="dxa"/>
          </w:tcPr>
          <w:p w:rsidR="00314B30" w:rsidRDefault="00314B30">
            <w:pPr>
              <w:framePr w:w="4400" w:h="1644" w:wrap="notBeside" w:vAnchor="page" w:hAnchor="page" w:x="6573" w:y="721"/>
              <w:rPr>
                <w:rFonts w:ascii="TradeGothic" w:hAnsi="TradeGothic"/>
                <w:i/>
                <w:sz w:val="18"/>
              </w:rPr>
            </w:pPr>
          </w:p>
        </w:tc>
        <w:tc>
          <w:tcPr>
            <w:tcW w:w="2347" w:type="dxa"/>
            <w:gridSpan w:val="2"/>
          </w:tcPr>
          <w:p w:rsidR="00314B30" w:rsidRDefault="00314B30">
            <w:pPr>
              <w:framePr w:w="4400" w:h="1644" w:wrap="notBeside" w:vAnchor="page" w:hAnchor="page" w:x="6573" w:y="721"/>
              <w:rPr>
                <w:rFonts w:ascii="TradeGothic" w:hAnsi="TradeGothic"/>
                <w:i/>
                <w:sz w:val="18"/>
              </w:rPr>
            </w:pPr>
          </w:p>
        </w:tc>
      </w:tr>
      <w:tr w:rsidR="00314B30">
        <w:tc>
          <w:tcPr>
            <w:tcW w:w="2268" w:type="dxa"/>
          </w:tcPr>
          <w:p w:rsidR="00314B30" w:rsidRDefault="00314B30">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314B30" w:rsidRDefault="00314B30">
            <w:pPr>
              <w:framePr w:w="4400" w:h="1644" w:wrap="notBeside" w:vAnchor="page" w:hAnchor="page" w:x="6573" w:y="721"/>
              <w:rPr>
                <w:rFonts w:ascii="TradeGothic" w:hAnsi="TradeGothic"/>
                <w:b/>
              </w:rPr>
            </w:pPr>
          </w:p>
        </w:tc>
      </w:tr>
      <w:tr w:rsidR="00314B30">
        <w:trPr>
          <w:trHeight w:val="343"/>
        </w:trPr>
        <w:tc>
          <w:tcPr>
            <w:tcW w:w="3402" w:type="dxa"/>
            <w:gridSpan w:val="2"/>
          </w:tcPr>
          <w:p w:rsidR="00314B30" w:rsidRDefault="00314B30">
            <w:pPr>
              <w:framePr w:w="4400" w:h="1644" w:wrap="notBeside" w:vAnchor="page" w:hAnchor="page" w:x="6573" w:y="721"/>
            </w:pPr>
          </w:p>
        </w:tc>
        <w:tc>
          <w:tcPr>
            <w:tcW w:w="1213" w:type="dxa"/>
          </w:tcPr>
          <w:p w:rsidR="00314B30" w:rsidRDefault="00314B30">
            <w:pPr>
              <w:framePr w:w="4400" w:h="1644" w:wrap="notBeside" w:vAnchor="page" w:hAnchor="page" w:x="6573" w:y="721"/>
            </w:pPr>
          </w:p>
        </w:tc>
      </w:tr>
      <w:tr w:rsidR="00314B30">
        <w:tc>
          <w:tcPr>
            <w:tcW w:w="2268" w:type="dxa"/>
          </w:tcPr>
          <w:p w:rsidR="00314B30" w:rsidRDefault="00314B30">
            <w:pPr>
              <w:framePr w:w="4400" w:h="1644" w:wrap="notBeside" w:vAnchor="page" w:hAnchor="page" w:x="6573" w:y="721"/>
            </w:pPr>
            <w:fldSimple w:instr=" CREATEDATE  \@ &quot;yyyy-MM-dd&quot;  \* MERGEFORMAT ">
              <w:r>
                <w:rPr>
                  <w:noProof/>
                </w:rPr>
                <w:t>2011-12-08</w:t>
              </w:r>
            </w:fldSimple>
          </w:p>
        </w:tc>
        <w:tc>
          <w:tcPr>
            <w:tcW w:w="2347" w:type="dxa"/>
            <w:gridSpan w:val="2"/>
          </w:tcPr>
          <w:p w:rsidR="00314B30" w:rsidRDefault="00314B30">
            <w:pPr>
              <w:framePr w:w="4400" w:h="1644" w:wrap="notBeside" w:vAnchor="page" w:hAnchor="page" w:x="6573" w:y="721"/>
            </w:pPr>
          </w:p>
        </w:tc>
      </w:tr>
      <w:tr w:rsidR="00314B30">
        <w:tc>
          <w:tcPr>
            <w:tcW w:w="2268" w:type="dxa"/>
          </w:tcPr>
          <w:p w:rsidR="00314B30" w:rsidRDefault="00314B30">
            <w:pPr>
              <w:framePr w:w="4400" w:h="1644" w:wrap="notBeside" w:vAnchor="page" w:hAnchor="page" w:x="6573" w:y="721"/>
            </w:pPr>
          </w:p>
        </w:tc>
        <w:tc>
          <w:tcPr>
            <w:tcW w:w="2347" w:type="dxa"/>
            <w:gridSpan w:val="2"/>
          </w:tcPr>
          <w:p w:rsidR="00314B30" w:rsidRDefault="00314B30">
            <w:pPr>
              <w:framePr w:w="4400" w:h="1644" w:wrap="notBeside" w:vAnchor="page" w:hAnchor="page" w:x="6573" w:y="721"/>
            </w:pPr>
          </w:p>
        </w:tc>
      </w:tr>
    </w:tbl>
    <w:tbl>
      <w:tblPr>
        <w:tblW w:w="0" w:type="auto"/>
        <w:tblLayout w:type="fixed"/>
        <w:tblLook w:val="0000"/>
      </w:tblPr>
      <w:tblGrid>
        <w:gridCol w:w="4911"/>
      </w:tblGrid>
      <w:tr w:rsidR="00314B30">
        <w:trPr>
          <w:trHeight w:val="2400"/>
        </w:trPr>
        <w:tc>
          <w:tcPr>
            <w:tcW w:w="4911" w:type="dxa"/>
          </w:tcPr>
          <w:p w:rsidR="00314B30" w:rsidRDefault="00314B30">
            <w:pPr>
              <w:pStyle w:val="Avsndare"/>
              <w:framePr w:h="2483" w:wrap="notBeside" w:x="1504"/>
              <w:rPr>
                <w:b/>
                <w:i w:val="0"/>
                <w:sz w:val="22"/>
              </w:rPr>
            </w:pPr>
            <w:r>
              <w:rPr>
                <w:b/>
                <w:i w:val="0"/>
                <w:sz w:val="22"/>
              </w:rPr>
              <w:t>Statsrådsberedningen</w:t>
            </w:r>
          </w:p>
          <w:p w:rsidR="00314B30" w:rsidRDefault="00314B30">
            <w:pPr>
              <w:pStyle w:val="Avsndare"/>
              <w:framePr w:h="2483" w:wrap="notBeside" w:x="1504"/>
            </w:pPr>
          </w:p>
          <w:p w:rsidR="00314B30" w:rsidRDefault="00314B30">
            <w:pPr>
              <w:pStyle w:val="Avsndare"/>
              <w:framePr w:h="2483" w:wrap="notBeside" w:x="1504"/>
            </w:pPr>
            <w:r>
              <w:t>EU-kansliet</w:t>
            </w:r>
          </w:p>
          <w:p w:rsidR="00314B30" w:rsidRDefault="00314B30">
            <w:pPr>
              <w:pStyle w:val="Avsndare"/>
              <w:framePr w:h="2483" w:wrap="notBeside" w:x="1504"/>
            </w:pPr>
          </w:p>
          <w:p w:rsidR="00314B30" w:rsidRDefault="00314B30">
            <w:pPr>
              <w:pStyle w:val="Avsndare"/>
              <w:framePr w:h="2483" w:wrap="notBeside" w:x="1504"/>
            </w:pPr>
          </w:p>
          <w:p w:rsidR="00314B30" w:rsidRDefault="00314B30">
            <w:pPr>
              <w:pStyle w:val="Avsndare"/>
              <w:framePr w:h="2483" w:wrap="notBeside" w:x="1504"/>
            </w:pPr>
          </w:p>
          <w:p w:rsidR="00314B30" w:rsidRDefault="00314B30">
            <w:pPr>
              <w:pStyle w:val="Avsndare"/>
              <w:framePr w:h="2483" w:wrap="notBeside" w:x="1504"/>
              <w:rPr>
                <w:b/>
                <w:i w:val="0"/>
                <w:sz w:val="22"/>
              </w:rPr>
            </w:pPr>
          </w:p>
        </w:tc>
      </w:tr>
    </w:tbl>
    <w:p w:rsidR="00314B30" w:rsidRDefault="00314B30">
      <w:pPr>
        <w:framePr w:w="4400" w:h="2523" w:wrap="notBeside" w:vAnchor="page" w:hAnchor="page" w:x="6453" w:y="2445"/>
        <w:ind w:left="142"/>
      </w:pPr>
    </w:p>
    <w:p w:rsidR="00314B30" w:rsidRDefault="00314B30">
      <w:pPr>
        <w:pStyle w:val="UDrubrik"/>
        <w:tabs>
          <w:tab w:val="left" w:pos="1701"/>
          <w:tab w:val="left" w:pos="1985"/>
        </w:tabs>
      </w:pPr>
      <w:bookmarkStart w:id="0" w:name="_Toc67391946"/>
      <w:bookmarkStart w:id="1" w:name="_Toc70473239"/>
      <w:r>
        <w:rPr>
          <w:rFonts w:cs="Arial"/>
          <w:sz w:val="28"/>
        </w:rPr>
        <w:t>Troliga A-punkter inför kommande rådsmöten som godkändes vid Coreper I vecka 49.</w:t>
      </w:r>
      <w:bookmarkEnd w:id="0"/>
      <w:bookmarkEnd w:id="1"/>
    </w:p>
    <w:p w:rsidR="00314B30" w:rsidRDefault="00314B30">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314B30" w:rsidRDefault="00314B30">
      <w:pPr>
        <w:pStyle w:val="RKnormal"/>
        <w:ind w:left="0"/>
        <w:rPr>
          <w:bCs/>
        </w:rPr>
      </w:pPr>
      <w:r w:rsidRPr="00E64FB4">
        <w:rPr>
          <w:bCs/>
        </w:rPr>
        <w:t>Överlämnas för skriftligt samråd vecka 49.</w:t>
      </w:r>
    </w:p>
    <w:p w:rsidR="00314B30" w:rsidRDefault="00314B30">
      <w:pPr>
        <w:spacing w:line="240" w:lineRule="auto"/>
        <w:rPr>
          <w:bCs/>
        </w:rPr>
      </w:pPr>
      <w:r>
        <w:rPr>
          <w:bCs/>
        </w:rPr>
        <w:br w:type="page"/>
      </w:r>
    </w:p>
    <w:p w:rsidR="00314B30" w:rsidRPr="00E64FB4" w:rsidRDefault="00314B30">
      <w:pPr>
        <w:pStyle w:val="RKnormal"/>
        <w:ind w:left="0"/>
        <w:rPr>
          <w:bCs/>
        </w:rPr>
      </w:pPr>
    </w:p>
    <w:p w:rsidR="00314B30" w:rsidRDefault="00314B30">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11097394" w:history="1">
        <w:r w:rsidRPr="00B96E66">
          <w:rPr>
            <w:rStyle w:val="Hyperlink"/>
            <w:noProof/>
          </w:rPr>
          <w:t>Frågor som lösts i förberedande instanser</w:t>
        </w:r>
        <w:r>
          <w:rPr>
            <w:noProof/>
            <w:webHidden/>
          </w:rPr>
          <w:tab/>
        </w:r>
        <w:r>
          <w:rPr>
            <w:noProof/>
            <w:webHidden/>
          </w:rPr>
          <w:fldChar w:fldCharType="begin"/>
        </w:r>
        <w:r>
          <w:rPr>
            <w:noProof/>
            <w:webHidden/>
          </w:rPr>
          <w:instrText xml:space="preserve"> PAGEREF _Toc311097394 \h </w:instrText>
        </w:r>
        <w:r>
          <w:rPr>
            <w:noProof/>
            <w:webHidden/>
          </w:rPr>
        </w:r>
        <w:r>
          <w:rPr>
            <w:noProof/>
            <w:webHidden/>
          </w:rPr>
          <w:fldChar w:fldCharType="separate"/>
        </w:r>
        <w:r>
          <w:rPr>
            <w:noProof/>
            <w:webHidden/>
          </w:rPr>
          <w:t>4</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395" w:history="1">
        <w:r w:rsidRPr="00B96E66">
          <w:rPr>
            <w:rStyle w:val="Hyperlink"/>
            <w:noProof/>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_Toc311097395 \h </w:instrText>
        </w:r>
        <w:r>
          <w:rPr>
            <w:noProof/>
            <w:webHidden/>
          </w:rPr>
        </w:r>
        <w:r>
          <w:rPr>
            <w:noProof/>
            <w:webHidden/>
          </w:rPr>
          <w:fldChar w:fldCharType="separate"/>
        </w:r>
        <w:r>
          <w:rPr>
            <w:noProof/>
            <w:webHidden/>
          </w:rPr>
          <w:t>4</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396" w:history="1">
        <w:r w:rsidRPr="00B96E66">
          <w:rPr>
            <w:rStyle w:val="Hyperlink"/>
            <w:noProof/>
          </w:rPr>
          <w:t>2. Draft agenda for the forthcoming part-session of the European Parliament in Strasbourg from 12 to 15 December 2011</w:t>
        </w:r>
        <w:r>
          <w:rPr>
            <w:noProof/>
            <w:webHidden/>
          </w:rPr>
          <w:tab/>
        </w:r>
        <w:r>
          <w:rPr>
            <w:noProof/>
            <w:webHidden/>
          </w:rPr>
          <w:fldChar w:fldCharType="begin"/>
        </w:r>
        <w:r>
          <w:rPr>
            <w:noProof/>
            <w:webHidden/>
          </w:rPr>
          <w:instrText xml:space="preserve"> PAGEREF _Toc311097396 \h </w:instrText>
        </w:r>
        <w:r>
          <w:rPr>
            <w:noProof/>
            <w:webHidden/>
          </w:rPr>
        </w:r>
        <w:r>
          <w:rPr>
            <w:noProof/>
            <w:webHidden/>
          </w:rPr>
          <w:fldChar w:fldCharType="separate"/>
        </w:r>
        <w:r>
          <w:rPr>
            <w:noProof/>
            <w:webHidden/>
          </w:rPr>
          <w:t>4</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397" w:history="1">
        <w:r w:rsidRPr="00B96E66">
          <w:rPr>
            <w:rStyle w:val="Hyperlink"/>
            <w:noProof/>
          </w:rPr>
          <w:t>3. Case before the General Court Case T-521/11 (Deutsche Bahn AG a.o. v. European Commission) Application for annulment of the Commission decision dated 14 March 2011 (K(2011)1774 in case COMP/39.678 and COMP/39.731)= Information note for the Permanent Representatives Committee (Part 1)</w:t>
        </w:r>
        <w:r>
          <w:rPr>
            <w:noProof/>
            <w:webHidden/>
          </w:rPr>
          <w:tab/>
        </w:r>
        <w:r>
          <w:rPr>
            <w:noProof/>
            <w:webHidden/>
          </w:rPr>
          <w:fldChar w:fldCharType="begin"/>
        </w:r>
        <w:r>
          <w:rPr>
            <w:noProof/>
            <w:webHidden/>
          </w:rPr>
          <w:instrText xml:space="preserve"> PAGEREF _Toc311097397 \h </w:instrText>
        </w:r>
        <w:r>
          <w:rPr>
            <w:noProof/>
            <w:webHidden/>
          </w:rPr>
        </w:r>
        <w:r>
          <w:rPr>
            <w:noProof/>
            <w:webHidden/>
          </w:rPr>
          <w:fldChar w:fldCharType="separate"/>
        </w:r>
        <w:r>
          <w:rPr>
            <w:noProof/>
            <w:webHidden/>
          </w:rPr>
          <w:t>5</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398" w:history="1">
        <w:r w:rsidRPr="00B96E66">
          <w:rPr>
            <w:rStyle w:val="Hyperlink"/>
            <w:noProof/>
          </w:rPr>
          <w:t>4. Consumption of EAGF appropriations for the period from 16 October 2010 to 15 October 2011 = Information note for the Permanent Representatives Committee (Part 1)</w:t>
        </w:r>
        <w:r>
          <w:rPr>
            <w:noProof/>
            <w:webHidden/>
          </w:rPr>
          <w:tab/>
        </w:r>
        <w:r>
          <w:rPr>
            <w:noProof/>
            <w:webHidden/>
          </w:rPr>
          <w:fldChar w:fldCharType="begin"/>
        </w:r>
        <w:r>
          <w:rPr>
            <w:noProof/>
            <w:webHidden/>
          </w:rPr>
          <w:instrText xml:space="preserve"> PAGEREF _Toc311097398 \h </w:instrText>
        </w:r>
        <w:r>
          <w:rPr>
            <w:noProof/>
            <w:webHidden/>
          </w:rPr>
        </w:r>
        <w:r>
          <w:rPr>
            <w:noProof/>
            <w:webHidden/>
          </w:rPr>
          <w:fldChar w:fldCharType="separate"/>
        </w:r>
        <w:r>
          <w:rPr>
            <w:noProof/>
            <w:webHidden/>
          </w:rPr>
          <w:t>5</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399" w:history="1">
        <w:r w:rsidRPr="00B96E66">
          <w:rPr>
            <w:rStyle w:val="Hyperlink"/>
            <w:noProof/>
          </w:rPr>
          <w:t>5. Governing Board of the European Foundation for the Improvement of Living and Working Conditions Appointment of Mr Javier BLASCO DE LUNA, Spanish alternate member, in place of Ms Rosario ESCOLAR POLO, who has resigned = Adoption</w:t>
        </w:r>
        <w:r>
          <w:rPr>
            <w:noProof/>
            <w:webHidden/>
          </w:rPr>
          <w:tab/>
        </w:r>
        <w:r>
          <w:rPr>
            <w:noProof/>
            <w:webHidden/>
          </w:rPr>
          <w:fldChar w:fldCharType="begin"/>
        </w:r>
        <w:r>
          <w:rPr>
            <w:noProof/>
            <w:webHidden/>
          </w:rPr>
          <w:instrText xml:space="preserve"> PAGEREF _Toc311097399 \h </w:instrText>
        </w:r>
        <w:r>
          <w:rPr>
            <w:noProof/>
            <w:webHidden/>
          </w:rPr>
        </w:r>
        <w:r>
          <w:rPr>
            <w:noProof/>
            <w:webHidden/>
          </w:rPr>
          <w:fldChar w:fldCharType="separate"/>
        </w:r>
        <w:r>
          <w:rPr>
            <w:noProof/>
            <w:webHidden/>
          </w:rPr>
          <w:t>6</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0" w:history="1">
        <w:r w:rsidRPr="00B96E66">
          <w:rPr>
            <w:rStyle w:val="Hyperlink"/>
            <w:noProof/>
          </w:rPr>
          <w:t>6. Common Understanding between the Governments of the Member States of the European Union on an Equalisation Mechanism pertaining to the Agreed Principles = Approval by the representatives of the Governments of the Member States of the European Union meeting within the Council</w:t>
        </w:r>
        <w:r>
          <w:rPr>
            <w:noProof/>
            <w:webHidden/>
          </w:rPr>
          <w:tab/>
        </w:r>
        <w:r>
          <w:rPr>
            <w:noProof/>
            <w:webHidden/>
          </w:rPr>
          <w:fldChar w:fldCharType="begin"/>
        </w:r>
        <w:r>
          <w:rPr>
            <w:noProof/>
            <w:webHidden/>
          </w:rPr>
          <w:instrText xml:space="preserve"> PAGEREF _Toc311097400 \h </w:instrText>
        </w:r>
        <w:r>
          <w:rPr>
            <w:noProof/>
            <w:webHidden/>
          </w:rPr>
        </w:r>
        <w:r>
          <w:rPr>
            <w:noProof/>
            <w:webHidden/>
          </w:rPr>
          <w:fldChar w:fldCharType="separate"/>
        </w:r>
        <w:r>
          <w:rPr>
            <w:noProof/>
            <w:webHidden/>
          </w:rPr>
          <w:t>6</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1" w:history="1">
        <w:r w:rsidRPr="00B96E66">
          <w:rPr>
            <w:rStyle w:val="Hyperlink"/>
            <w:noProof/>
          </w:rPr>
          <w:t>7. Commission Decision of XXX on a method for the collection of premiums for excess CO2 emissions from new passenger cars pursuant to Regulation (EC) No 443/2009 of the European Parliament and of the Council = Decision not to oppose adoption</w:t>
        </w:r>
        <w:r>
          <w:rPr>
            <w:noProof/>
            <w:webHidden/>
          </w:rPr>
          <w:tab/>
        </w:r>
        <w:r>
          <w:rPr>
            <w:noProof/>
            <w:webHidden/>
          </w:rPr>
          <w:fldChar w:fldCharType="begin"/>
        </w:r>
        <w:r>
          <w:rPr>
            <w:noProof/>
            <w:webHidden/>
          </w:rPr>
          <w:instrText xml:space="preserve"> PAGEREF _Toc311097401 \h </w:instrText>
        </w:r>
        <w:r>
          <w:rPr>
            <w:noProof/>
            <w:webHidden/>
          </w:rPr>
        </w:r>
        <w:r>
          <w:rPr>
            <w:noProof/>
            <w:webHidden/>
          </w:rPr>
          <w:fldChar w:fldCharType="separate"/>
        </w:r>
        <w:r>
          <w:rPr>
            <w:noProof/>
            <w:webHidden/>
          </w:rPr>
          <w:t>7</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2" w:history="1">
        <w:r w:rsidRPr="00B96E66">
          <w:rPr>
            <w:rStyle w:val="Hyperlink"/>
            <w:noProof/>
          </w:rPr>
          <w:t>8. Draft Commission Directive ../.../EU of XXX amending, for the purpose of adaptation to technical progress, part III of Annex II to Directive 2009/48/EC of the European Parliament and of the Council relating to toy safety = Decision not to oppose adoption</w:t>
        </w:r>
        <w:r>
          <w:rPr>
            <w:noProof/>
            <w:webHidden/>
          </w:rPr>
          <w:tab/>
        </w:r>
        <w:r>
          <w:rPr>
            <w:noProof/>
            <w:webHidden/>
          </w:rPr>
          <w:fldChar w:fldCharType="begin"/>
        </w:r>
        <w:r>
          <w:rPr>
            <w:noProof/>
            <w:webHidden/>
          </w:rPr>
          <w:instrText xml:space="preserve"> PAGEREF _Toc311097402 \h </w:instrText>
        </w:r>
        <w:r>
          <w:rPr>
            <w:noProof/>
            <w:webHidden/>
          </w:rPr>
        </w:r>
        <w:r>
          <w:rPr>
            <w:noProof/>
            <w:webHidden/>
          </w:rPr>
          <w:fldChar w:fldCharType="separate"/>
        </w:r>
        <w:r>
          <w:rPr>
            <w:noProof/>
            <w:webHidden/>
          </w:rPr>
          <w:t>8</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3" w:history="1">
        <w:r w:rsidRPr="00B96E66">
          <w:rPr>
            <w:rStyle w:val="Hyperlink"/>
            <w:noProof/>
          </w:rPr>
          <w:t>9. Proposal for a Council Decision on access by fishing vessels flying the flag of the Bolivarian Republic of Venezuela to the exclusive economic zone off the coast of the French department of Guiana = Adoption</w:t>
        </w:r>
        <w:r>
          <w:rPr>
            <w:noProof/>
            <w:webHidden/>
          </w:rPr>
          <w:tab/>
        </w:r>
        <w:r>
          <w:rPr>
            <w:noProof/>
            <w:webHidden/>
          </w:rPr>
          <w:fldChar w:fldCharType="begin"/>
        </w:r>
        <w:r>
          <w:rPr>
            <w:noProof/>
            <w:webHidden/>
          </w:rPr>
          <w:instrText xml:space="preserve"> PAGEREF _Toc311097403 \h </w:instrText>
        </w:r>
        <w:r>
          <w:rPr>
            <w:noProof/>
            <w:webHidden/>
          </w:rPr>
        </w:r>
        <w:r>
          <w:rPr>
            <w:noProof/>
            <w:webHidden/>
          </w:rPr>
          <w:fldChar w:fldCharType="separate"/>
        </w:r>
        <w:r>
          <w:rPr>
            <w:noProof/>
            <w:webHidden/>
          </w:rPr>
          <w:t>8</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4" w:history="1">
        <w:r w:rsidRPr="00B96E66">
          <w:rPr>
            <w:rStyle w:val="Hyperlink"/>
            <w:noProof/>
          </w:rPr>
          <w:t>10. Draft Commission Regulation (EU) No .../.. of [...] implementing Regulation (EC) No 1177/2003 of the European Parliament and of the Council concerning Community statistics on income and living conditions (EU-SILC), as regards the 2013 list of target secondary variables on well being = Adoption</w:t>
        </w:r>
        <w:r>
          <w:rPr>
            <w:noProof/>
            <w:webHidden/>
          </w:rPr>
          <w:tab/>
        </w:r>
        <w:r>
          <w:rPr>
            <w:noProof/>
            <w:webHidden/>
          </w:rPr>
          <w:fldChar w:fldCharType="begin"/>
        </w:r>
        <w:r>
          <w:rPr>
            <w:noProof/>
            <w:webHidden/>
          </w:rPr>
          <w:instrText xml:space="preserve"> PAGEREF _Toc311097404 \h </w:instrText>
        </w:r>
        <w:r>
          <w:rPr>
            <w:noProof/>
            <w:webHidden/>
          </w:rPr>
        </w:r>
        <w:r>
          <w:rPr>
            <w:noProof/>
            <w:webHidden/>
          </w:rPr>
          <w:fldChar w:fldCharType="separate"/>
        </w:r>
        <w:r>
          <w:rPr>
            <w:noProof/>
            <w:webHidden/>
          </w:rPr>
          <w:t>9</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5" w:history="1">
        <w:r w:rsidRPr="00B96E66">
          <w:rPr>
            <w:rStyle w:val="Hyperlink"/>
            <w:noProof/>
          </w:rPr>
          <w:t>11. Proposal for a Council Decision on the signature and provisional application, on behalf of the European Union, of the Agreement on Scientific and Technological cooperation between the European Union of the one part and the People's Democratic Republic of Algeria of the other part = Adoption</w:t>
        </w:r>
        <w:r>
          <w:rPr>
            <w:noProof/>
            <w:webHidden/>
          </w:rPr>
          <w:tab/>
        </w:r>
        <w:r>
          <w:rPr>
            <w:noProof/>
            <w:webHidden/>
          </w:rPr>
          <w:fldChar w:fldCharType="begin"/>
        </w:r>
        <w:r>
          <w:rPr>
            <w:noProof/>
            <w:webHidden/>
          </w:rPr>
          <w:instrText xml:space="preserve"> PAGEREF _Toc311097405 \h </w:instrText>
        </w:r>
        <w:r>
          <w:rPr>
            <w:noProof/>
            <w:webHidden/>
          </w:rPr>
        </w:r>
        <w:r>
          <w:rPr>
            <w:noProof/>
            <w:webHidden/>
          </w:rPr>
          <w:fldChar w:fldCharType="separate"/>
        </w:r>
        <w:r>
          <w:rPr>
            <w:noProof/>
            <w:webHidden/>
          </w:rPr>
          <w:t>9</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6" w:history="1">
        <w:r w:rsidRPr="00B96E66">
          <w:rPr>
            <w:rStyle w:val="Hyperlink"/>
            <w:noProof/>
          </w:rPr>
          <w:t>12. Proposal for a Regulation of the European Parliament and of the Council on statistical returns in respect of the carriage of goods by road (Recast) (First reading) (Legislative deliberation) = Adoption of the legislative act</w:t>
        </w:r>
        <w:r>
          <w:rPr>
            <w:noProof/>
            <w:webHidden/>
          </w:rPr>
          <w:tab/>
        </w:r>
        <w:r>
          <w:rPr>
            <w:noProof/>
            <w:webHidden/>
          </w:rPr>
          <w:fldChar w:fldCharType="begin"/>
        </w:r>
        <w:r>
          <w:rPr>
            <w:noProof/>
            <w:webHidden/>
          </w:rPr>
          <w:instrText xml:space="preserve"> PAGEREF _Toc311097406 \h </w:instrText>
        </w:r>
        <w:r>
          <w:rPr>
            <w:noProof/>
            <w:webHidden/>
          </w:rPr>
        </w:r>
        <w:r>
          <w:rPr>
            <w:noProof/>
            <w:webHidden/>
          </w:rPr>
          <w:fldChar w:fldCharType="separate"/>
        </w:r>
        <w:r>
          <w:rPr>
            <w:noProof/>
            <w:webHidden/>
          </w:rPr>
          <w:t>10</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7" w:history="1">
        <w:r w:rsidRPr="00B96E66">
          <w:rPr>
            <w:rStyle w:val="Hyperlink"/>
            <w:noProof/>
          </w:rPr>
          <w:t>13. Proposal for a Directive of the European Parliament and of the Council amending Directive 2000/75/EC as regards vaccination against bluetongue (First reading) (Legislative deliberation + Statement) = Adoption (a) of the position of the Council in first reading (b) of the statement of the Council reasons</w:t>
        </w:r>
        <w:r>
          <w:rPr>
            <w:noProof/>
            <w:webHidden/>
          </w:rPr>
          <w:tab/>
        </w:r>
        <w:r>
          <w:rPr>
            <w:noProof/>
            <w:webHidden/>
          </w:rPr>
          <w:fldChar w:fldCharType="begin"/>
        </w:r>
        <w:r>
          <w:rPr>
            <w:noProof/>
            <w:webHidden/>
          </w:rPr>
          <w:instrText xml:space="preserve"> PAGEREF _Toc311097407 \h </w:instrText>
        </w:r>
        <w:r>
          <w:rPr>
            <w:noProof/>
            <w:webHidden/>
          </w:rPr>
        </w:r>
        <w:r>
          <w:rPr>
            <w:noProof/>
            <w:webHidden/>
          </w:rPr>
          <w:fldChar w:fldCharType="separate"/>
        </w:r>
        <w:r>
          <w:rPr>
            <w:noProof/>
            <w:webHidden/>
          </w:rPr>
          <w:t>10</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8" w:history="1">
        <w:r w:rsidRPr="00B96E66">
          <w:rPr>
            <w:rStyle w:val="Hyperlink"/>
            <w:noProof/>
          </w:rPr>
          <w:t>14. Enlargement Accession negotiations with Iceland = Chapter 33: Financial and budgetary provisions</w:t>
        </w:r>
        <w:r>
          <w:rPr>
            <w:noProof/>
            <w:webHidden/>
          </w:rPr>
          <w:tab/>
        </w:r>
        <w:r>
          <w:rPr>
            <w:noProof/>
            <w:webHidden/>
          </w:rPr>
          <w:fldChar w:fldCharType="begin"/>
        </w:r>
        <w:r>
          <w:rPr>
            <w:noProof/>
            <w:webHidden/>
          </w:rPr>
          <w:instrText xml:space="preserve"> PAGEREF _Toc311097408 \h </w:instrText>
        </w:r>
        <w:r>
          <w:rPr>
            <w:noProof/>
            <w:webHidden/>
          </w:rPr>
        </w:r>
        <w:r>
          <w:rPr>
            <w:noProof/>
            <w:webHidden/>
          </w:rPr>
          <w:fldChar w:fldCharType="separate"/>
        </w:r>
        <w:r>
          <w:rPr>
            <w:noProof/>
            <w:webHidden/>
          </w:rPr>
          <w:t>11</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09" w:history="1">
        <w:r w:rsidRPr="00B96E66">
          <w:rPr>
            <w:rStyle w:val="Hyperlink"/>
            <w:noProof/>
          </w:rPr>
          <w:t>15. Enlargement Accession negotiations with Iceland = Chapter 6: Company Law</w:t>
        </w:r>
        <w:r>
          <w:rPr>
            <w:noProof/>
            <w:webHidden/>
          </w:rPr>
          <w:tab/>
        </w:r>
        <w:r>
          <w:rPr>
            <w:noProof/>
            <w:webHidden/>
          </w:rPr>
          <w:fldChar w:fldCharType="begin"/>
        </w:r>
        <w:r>
          <w:rPr>
            <w:noProof/>
            <w:webHidden/>
          </w:rPr>
          <w:instrText xml:space="preserve"> PAGEREF _Toc311097409 \h </w:instrText>
        </w:r>
        <w:r>
          <w:rPr>
            <w:noProof/>
            <w:webHidden/>
          </w:rPr>
        </w:r>
        <w:r>
          <w:rPr>
            <w:noProof/>
            <w:webHidden/>
          </w:rPr>
          <w:fldChar w:fldCharType="separate"/>
        </w:r>
        <w:r>
          <w:rPr>
            <w:noProof/>
            <w:webHidden/>
          </w:rPr>
          <w:t>12</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10" w:history="1">
        <w:r w:rsidRPr="00B96E66">
          <w:rPr>
            <w:rStyle w:val="Hyperlink"/>
            <w:noProof/>
          </w:rPr>
          <w:t>16. Enlargement Accession Negotiations with Iceland= Chapter 20: Enterprise and industrial policy</w:t>
        </w:r>
        <w:r>
          <w:rPr>
            <w:noProof/>
            <w:webHidden/>
          </w:rPr>
          <w:tab/>
        </w:r>
        <w:r>
          <w:rPr>
            <w:noProof/>
            <w:webHidden/>
          </w:rPr>
          <w:fldChar w:fldCharType="begin"/>
        </w:r>
        <w:r>
          <w:rPr>
            <w:noProof/>
            <w:webHidden/>
          </w:rPr>
          <w:instrText xml:space="preserve"> PAGEREF _Toc311097410 \h </w:instrText>
        </w:r>
        <w:r>
          <w:rPr>
            <w:noProof/>
            <w:webHidden/>
          </w:rPr>
        </w:r>
        <w:r>
          <w:rPr>
            <w:noProof/>
            <w:webHidden/>
          </w:rPr>
          <w:fldChar w:fldCharType="separate"/>
        </w:r>
        <w:r>
          <w:rPr>
            <w:noProof/>
            <w:webHidden/>
          </w:rPr>
          <w:t>12</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11" w:history="1">
        <w:r w:rsidRPr="00B96E66">
          <w:rPr>
            <w:rStyle w:val="Hyperlink"/>
            <w:noProof/>
          </w:rPr>
          <w:t>17. Enlargement Accession Negotiations with Iceland = Chapter 21: Trans-European networks</w:t>
        </w:r>
        <w:r>
          <w:rPr>
            <w:noProof/>
            <w:webHidden/>
          </w:rPr>
          <w:tab/>
        </w:r>
        <w:r>
          <w:rPr>
            <w:noProof/>
            <w:webHidden/>
          </w:rPr>
          <w:fldChar w:fldCharType="begin"/>
        </w:r>
        <w:r>
          <w:rPr>
            <w:noProof/>
            <w:webHidden/>
          </w:rPr>
          <w:instrText xml:space="preserve"> PAGEREF _Toc311097411 \h </w:instrText>
        </w:r>
        <w:r>
          <w:rPr>
            <w:noProof/>
            <w:webHidden/>
          </w:rPr>
        </w:r>
        <w:r>
          <w:rPr>
            <w:noProof/>
            <w:webHidden/>
          </w:rPr>
          <w:fldChar w:fldCharType="separate"/>
        </w:r>
        <w:r>
          <w:rPr>
            <w:noProof/>
            <w:webHidden/>
          </w:rPr>
          <w:t>13</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12" w:history="1">
        <w:r w:rsidRPr="00B96E66">
          <w:rPr>
            <w:rStyle w:val="Hyperlink"/>
            <w:noProof/>
          </w:rPr>
          <w:t>18. Enlargement Accession Negotiations with Iceland = Chapter 23: Judiciary and fundamental rights</w:t>
        </w:r>
        <w:r>
          <w:rPr>
            <w:noProof/>
            <w:webHidden/>
          </w:rPr>
          <w:tab/>
        </w:r>
        <w:r>
          <w:rPr>
            <w:noProof/>
            <w:webHidden/>
          </w:rPr>
          <w:fldChar w:fldCharType="begin"/>
        </w:r>
        <w:r>
          <w:rPr>
            <w:noProof/>
            <w:webHidden/>
          </w:rPr>
          <w:instrText xml:space="preserve"> PAGEREF _Toc311097412 \h </w:instrText>
        </w:r>
        <w:r>
          <w:rPr>
            <w:noProof/>
            <w:webHidden/>
          </w:rPr>
        </w:r>
        <w:r>
          <w:rPr>
            <w:noProof/>
            <w:webHidden/>
          </w:rPr>
          <w:fldChar w:fldCharType="separate"/>
        </w:r>
        <w:r>
          <w:rPr>
            <w:noProof/>
            <w:webHidden/>
          </w:rPr>
          <w:t>14</w:t>
        </w:r>
        <w:r>
          <w:rPr>
            <w:noProof/>
            <w:webHidden/>
          </w:rPr>
          <w:fldChar w:fldCharType="end"/>
        </w:r>
      </w:hyperlink>
    </w:p>
    <w:p w:rsidR="00314B30" w:rsidRDefault="00314B30">
      <w:pPr>
        <w:pStyle w:val="TOC2"/>
        <w:tabs>
          <w:tab w:val="right" w:leader="dot" w:pos="7644"/>
        </w:tabs>
        <w:rPr>
          <w:rFonts w:ascii="Calibri" w:hAnsi="Calibri"/>
          <w:b w:val="0"/>
          <w:bCs w:val="0"/>
          <w:noProof/>
          <w:sz w:val="22"/>
          <w:szCs w:val="22"/>
          <w:lang w:eastAsia="sv-SE"/>
        </w:rPr>
      </w:pPr>
      <w:hyperlink w:anchor="_Toc311097413" w:history="1">
        <w:r w:rsidRPr="00B96E66">
          <w:rPr>
            <w:rStyle w:val="Hyperlink"/>
            <w:noProof/>
          </w:rPr>
          <w:t>19. Accession negotiations with Iceland = Outcome of screening on Chapter 12: Food safety, veterinary and phytosanitary policy</w:t>
        </w:r>
        <w:r>
          <w:rPr>
            <w:noProof/>
            <w:webHidden/>
          </w:rPr>
          <w:tab/>
        </w:r>
        <w:r>
          <w:rPr>
            <w:noProof/>
            <w:webHidden/>
          </w:rPr>
          <w:fldChar w:fldCharType="begin"/>
        </w:r>
        <w:r>
          <w:rPr>
            <w:noProof/>
            <w:webHidden/>
          </w:rPr>
          <w:instrText xml:space="preserve"> PAGEREF _Toc311097413 \h </w:instrText>
        </w:r>
        <w:r>
          <w:rPr>
            <w:noProof/>
            <w:webHidden/>
          </w:rPr>
        </w:r>
        <w:r>
          <w:rPr>
            <w:noProof/>
            <w:webHidden/>
          </w:rPr>
          <w:fldChar w:fldCharType="separate"/>
        </w:r>
        <w:r>
          <w:rPr>
            <w:noProof/>
            <w:webHidden/>
          </w:rPr>
          <w:t>14</w:t>
        </w:r>
        <w:r>
          <w:rPr>
            <w:noProof/>
            <w:webHidden/>
          </w:rPr>
          <w:fldChar w:fldCharType="end"/>
        </w:r>
      </w:hyperlink>
    </w:p>
    <w:p w:rsidR="00314B30" w:rsidRDefault="00314B30">
      <w:pPr>
        <w:pStyle w:val="RKnormal"/>
        <w:ind w:left="0"/>
        <w:rPr>
          <w:b/>
          <w:bCs/>
        </w:rPr>
      </w:pPr>
      <w:r>
        <w:rPr>
          <w:b/>
          <w:bCs/>
        </w:rPr>
        <w:fldChar w:fldCharType="end"/>
      </w:r>
    </w:p>
    <w:p w:rsidR="00314B30" w:rsidRDefault="00314B30">
      <w:pPr>
        <w:spacing w:line="240" w:lineRule="auto"/>
        <w:rPr>
          <w:b/>
          <w:bCs/>
        </w:rPr>
      </w:pPr>
      <w:r>
        <w:rPr>
          <w:b/>
          <w:bCs/>
        </w:rPr>
        <w:br w:type="page"/>
      </w:r>
    </w:p>
    <w:p w:rsidR="00314B30" w:rsidRDefault="00314B30">
      <w:pPr>
        <w:pStyle w:val="RKnormal"/>
        <w:ind w:left="0"/>
        <w:rPr>
          <w:b/>
          <w:bCs/>
        </w:rPr>
      </w:pPr>
    </w:p>
    <w:p w:rsidR="00314B30" w:rsidRDefault="00314B30">
      <w:pPr>
        <w:pStyle w:val="Heading1"/>
        <w:tabs>
          <w:tab w:val="clear" w:pos="1134"/>
          <w:tab w:val="left" w:pos="0"/>
        </w:tabs>
      </w:pP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1109739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314B30" w:rsidRDefault="00314B30">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314B30" w:rsidRDefault="00314B30">
      <w:pPr>
        <w:tabs>
          <w:tab w:val="left" w:pos="1843"/>
        </w:tabs>
      </w:pPr>
    </w:p>
    <w:p w:rsidR="00314B30" w:rsidRDefault="00314B30">
      <w:pPr>
        <w:pStyle w:val="Heading1"/>
        <w:spacing w:before="0" w:after="0"/>
      </w:pPr>
      <w:r>
        <w:t xml:space="preserve"> </w:t>
      </w:r>
      <w:bookmarkStart w:id="54" w:name="Punkt"/>
      <w:bookmarkEnd w:id="54"/>
    </w:p>
    <w:p w:rsidR="00314B30" w:rsidRDefault="00314B30" w:rsidP="00E64FB4">
      <w:pPr>
        <w:pStyle w:val="UDrubrik"/>
        <w:tabs>
          <w:tab w:val="left" w:pos="1701"/>
          <w:tab w:val="left" w:pos="1985"/>
        </w:tabs>
      </w:pPr>
      <w:r>
        <w:rPr>
          <w:rFonts w:cs="Arial"/>
          <w:sz w:val="28"/>
        </w:rPr>
        <w:t>Troliga A-punkter inför kommande rådsmöten som godkändes vid Coreper I 2011-12-07</w:t>
      </w:r>
    </w:p>
    <w:p w:rsidR="00314B30" w:rsidRDefault="00314B30">
      <w:pPr>
        <w:pStyle w:val="RKnormal"/>
        <w:tabs>
          <w:tab w:val="clear" w:pos="1843"/>
          <w:tab w:val="left" w:pos="0"/>
        </w:tabs>
        <w:ind w:left="0"/>
      </w:pPr>
      <w:r>
        <w:t xml:space="preserve"> </w:t>
      </w:r>
    </w:p>
    <w:p w:rsidR="00314B30" w:rsidRDefault="00314B30" w:rsidP="0070584B">
      <w:pPr>
        <w:pStyle w:val="Heading2"/>
      </w:pPr>
      <w:bookmarkStart w:id="55" w:name="_Toc311097395"/>
      <w:r>
        <w:t>1. Replies to written questions put to the Council by Members of the European Parliament (+)</w:t>
      </w:r>
      <w:bookmarkEnd w:id="55"/>
    </w:p>
    <w:p w:rsidR="00314B30" w:rsidRPr="0070584B" w:rsidRDefault="00314B30" w:rsidP="00C26CA3">
      <w:r>
        <w:t>(a) n° E-008813/2011 put by Cornelis de Jong "Human rights violations by Frontex in refugee detention centres in Greece" (b) n° E-009358/2011 put by Eider Gardiazábal Rubial, Damien Abad and Franziska Katharina Brantner "Support for civil society in neighbouring countries"</w:t>
      </w:r>
    </w:p>
    <w:p w:rsidR="00314B30" w:rsidRDefault="00314B30" w:rsidP="0070584B"/>
    <w:p w:rsidR="00314B30" w:rsidRPr="0070584B" w:rsidRDefault="00314B30" w:rsidP="0070584B">
      <w:r>
        <w:t>17807/11, 16919/11</w:t>
      </w:r>
    </w:p>
    <w:p w:rsidR="00314B30" w:rsidRDefault="00314B30">
      <w:pPr>
        <w:pStyle w:val="RKnormal"/>
        <w:tabs>
          <w:tab w:val="clear" w:pos="1843"/>
          <w:tab w:val="left" w:pos="0"/>
        </w:tabs>
        <w:ind w:left="0"/>
      </w:pPr>
    </w:p>
    <w:p w:rsidR="00314B30" w:rsidRPr="0070584B" w:rsidRDefault="00314B30" w:rsidP="0070584B">
      <w:r>
        <w:t>Ansvarigt departement: Statsrådsberedningen</w:t>
      </w:r>
    </w:p>
    <w:p w:rsidR="00314B30" w:rsidRDefault="00314B30">
      <w:pPr>
        <w:pStyle w:val="RKnormal"/>
        <w:tabs>
          <w:tab w:val="clear" w:pos="1843"/>
          <w:tab w:val="left" w:pos="0"/>
        </w:tabs>
        <w:ind w:left="0"/>
      </w:pPr>
    </w:p>
    <w:p w:rsidR="00314B30" w:rsidRPr="0070584B" w:rsidRDefault="00314B30" w:rsidP="0070584B">
      <w:r>
        <w:t>Ansvarigt statsråd: Birgitta Ohlsson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F32929">
      <w:r>
        <w:t xml:space="preserve">Föranleder ingen annotering. </w:t>
      </w:r>
    </w:p>
    <w:p w:rsidR="00314B30" w:rsidRPr="0070584B" w:rsidRDefault="00314B30" w:rsidP="0070584B">
      <w:pPr>
        <w:pStyle w:val="Heading2"/>
      </w:pPr>
      <w:bookmarkStart w:id="56" w:name="_Toc311097396"/>
      <w:r>
        <w:t>2. Draft agenda for the forthcoming part-session of the European Parliament in Strasbourg from 12 to 15 December 2011</w:t>
      </w:r>
      <w:bookmarkEnd w:id="56"/>
    </w:p>
    <w:p w:rsidR="00314B30" w:rsidRPr="0070584B" w:rsidRDefault="00314B30" w:rsidP="0070584B">
      <w:r>
        <w:t>17915/11, 17918/11</w:t>
      </w:r>
    </w:p>
    <w:p w:rsidR="00314B30" w:rsidRDefault="00314B30">
      <w:pPr>
        <w:pStyle w:val="RKnormal"/>
        <w:tabs>
          <w:tab w:val="clear" w:pos="1843"/>
          <w:tab w:val="left" w:pos="0"/>
        </w:tabs>
        <w:ind w:left="0"/>
      </w:pPr>
    </w:p>
    <w:p w:rsidR="00314B30" w:rsidRPr="0070584B" w:rsidRDefault="00314B30" w:rsidP="0070584B">
      <w:r>
        <w:t>Ansvarigt departement: Statsrådsberedningen</w:t>
      </w:r>
    </w:p>
    <w:p w:rsidR="00314B30" w:rsidRDefault="00314B30">
      <w:pPr>
        <w:pStyle w:val="RKnormal"/>
        <w:tabs>
          <w:tab w:val="clear" w:pos="1843"/>
          <w:tab w:val="left" w:pos="0"/>
        </w:tabs>
        <w:ind w:left="0"/>
      </w:pPr>
    </w:p>
    <w:p w:rsidR="00314B30" w:rsidRPr="0070584B" w:rsidRDefault="00314B30" w:rsidP="0070584B">
      <w:r>
        <w:t>Ansvarigt statsråd: Birgitta Ohlsson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Pr="0070584B" w:rsidRDefault="00314B30" w:rsidP="0070584B">
      <w:r>
        <w:t>Föranleder ingen annotering.</w:t>
      </w:r>
    </w:p>
    <w:p w:rsidR="00314B30" w:rsidRDefault="00314B30">
      <w:pPr>
        <w:pStyle w:val="RKnormal"/>
        <w:tabs>
          <w:tab w:val="clear" w:pos="1843"/>
          <w:tab w:val="left" w:pos="0"/>
        </w:tabs>
        <w:ind w:left="0"/>
      </w:pPr>
      <w:r>
        <w:t xml:space="preserve"> </w:t>
      </w:r>
    </w:p>
    <w:p w:rsidR="00314B30" w:rsidRDefault="00314B30">
      <w:pPr>
        <w:spacing w:line="240" w:lineRule="auto"/>
        <w:rPr>
          <w:rFonts w:ascii="Arial" w:hAnsi="Arial" w:cs="Arial"/>
          <w:b/>
          <w:i/>
          <w:iCs/>
          <w:kern w:val="28"/>
        </w:rPr>
      </w:pPr>
      <w:r>
        <w:br w:type="page"/>
      </w:r>
    </w:p>
    <w:p w:rsidR="00314B30" w:rsidRPr="0070584B" w:rsidRDefault="00314B30" w:rsidP="0070584B">
      <w:pPr>
        <w:pStyle w:val="Heading2"/>
      </w:pPr>
      <w:bookmarkStart w:id="57" w:name="_Toc311097397"/>
      <w:r>
        <w:t xml:space="preserve">3. Case before the General Court Case T-521/11 (Deutsche Bahn AG a.o. v. European Commission) Application for annulment of the Commission decision dated 14 March 2011 (K(2011)1774 in case COMP/39.678 and COMP/39.731) </w:t>
      </w:r>
      <w:bookmarkStart w:id="58" w:name="_GoBack"/>
      <w:bookmarkEnd w:id="58"/>
      <w:r>
        <w:t>= Information note for the Permanent Representatives Committee (Part 1)</w:t>
      </w:r>
      <w:bookmarkEnd w:id="57"/>
    </w:p>
    <w:p w:rsidR="00314B30" w:rsidRPr="0070584B" w:rsidRDefault="00314B30" w:rsidP="0070584B">
      <w:r>
        <w:t>17138/11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Birgitta Ohlsson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F32929">
      <w:r>
        <w:t xml:space="preserve">Föranleder ingen annotering </w:t>
      </w:r>
    </w:p>
    <w:p w:rsidR="00314B30" w:rsidRPr="0070584B" w:rsidRDefault="00314B30" w:rsidP="0070584B">
      <w:pPr>
        <w:pStyle w:val="Heading2"/>
      </w:pPr>
      <w:bookmarkStart w:id="59" w:name="_Toc311097398"/>
      <w:r>
        <w:t>4. Consumption of EAGF appropriations for the period from 16 October 2010 to 15 October 2011 = Information note for the Permanent Representatives Committee (Part 1)</w:t>
      </w:r>
      <w:bookmarkEnd w:id="59"/>
      <w:r>
        <w:t xml:space="preserve"> </w:t>
      </w:r>
    </w:p>
    <w:p w:rsidR="00314B30" w:rsidRPr="0070584B" w:rsidRDefault="00314B30" w:rsidP="0070584B">
      <w:r>
        <w:t>18028/11</w:t>
      </w:r>
    </w:p>
    <w:p w:rsidR="00314B30" w:rsidRDefault="00314B30">
      <w:pPr>
        <w:pStyle w:val="RKnormal"/>
        <w:tabs>
          <w:tab w:val="clear" w:pos="1843"/>
          <w:tab w:val="left" w:pos="0"/>
        </w:tabs>
        <w:ind w:left="0"/>
      </w:pPr>
    </w:p>
    <w:p w:rsidR="00314B30" w:rsidRPr="0070584B" w:rsidRDefault="00314B30" w:rsidP="0070584B">
      <w:r>
        <w:t>Ansvarigt departement: Finansdepartementet</w:t>
      </w:r>
    </w:p>
    <w:p w:rsidR="00314B30" w:rsidRDefault="00314B30">
      <w:pPr>
        <w:pStyle w:val="RKnormal"/>
        <w:tabs>
          <w:tab w:val="clear" w:pos="1843"/>
          <w:tab w:val="left" w:pos="0"/>
        </w:tabs>
        <w:ind w:left="0"/>
      </w:pPr>
    </w:p>
    <w:p w:rsidR="00314B30" w:rsidRPr="0070584B" w:rsidRDefault="00314B30" w:rsidP="0070584B">
      <w:r>
        <w:t>Ansvarigt statsråd: Anders Borg</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Informationsnot om implementeringen av budgeten för Europeiska garantifonden för jordbruket (EGFJ) för hela jordbruksbudgetåret</w:t>
      </w:r>
    </w:p>
    <w:p w:rsidR="00314B30" w:rsidRDefault="00314B30" w:rsidP="0070584B">
      <w:r>
        <w:t>16 oktober 2010 till 15 oktober 2011. Kommissionen noterar i sin rapport att de faktiska utgifterna under budgetåret har överstigit de anslagna medlen med 1087 miljoner euro under räkenskapsåret. Detta täcks dock upp av 1 572 miljoner euro i öronmärkta intäkter</w:t>
      </w:r>
    </w:p>
    <w:p w:rsidR="00314B30" w:rsidRDefault="00314B30" w:rsidP="0070584B">
      <w:r>
        <w:t>under EGFJ varför det finns ett visst överskott för budgeten som helhet.</w:t>
      </w:r>
    </w:p>
    <w:p w:rsidR="00314B30" w:rsidRPr="0070584B" w:rsidRDefault="00314B30" w:rsidP="0070584B"/>
    <w:p w:rsidR="00314B30" w:rsidRDefault="00314B30">
      <w:pPr>
        <w:pStyle w:val="RKnormal"/>
        <w:tabs>
          <w:tab w:val="clear" w:pos="1843"/>
          <w:tab w:val="left" w:pos="0"/>
        </w:tabs>
        <w:ind w:left="0"/>
      </w:pPr>
      <w:r>
        <w:t xml:space="preserve"> </w:t>
      </w:r>
    </w:p>
    <w:p w:rsidR="00314B30" w:rsidRPr="0070584B" w:rsidRDefault="00314B30" w:rsidP="0070584B">
      <w:pPr>
        <w:pStyle w:val="Heading2"/>
      </w:pPr>
      <w:bookmarkStart w:id="60" w:name="_Toc311097399"/>
      <w:r>
        <w:t>5. Governing Board of the European Foundation for the Improvement of Living and Working Conditions Appointment of Mr Javier BLASCO DE LUNA, Spanish alternate member, in place of Ms Rosario ESCOLAR POLO, who has resigned = Adoption</w:t>
      </w:r>
      <w:bookmarkEnd w:id="60"/>
    </w:p>
    <w:p w:rsidR="00314B30" w:rsidRPr="0070584B" w:rsidRDefault="00314B30" w:rsidP="0070584B">
      <w:r>
        <w:t>17741/11</w:t>
      </w:r>
    </w:p>
    <w:p w:rsidR="00314B30" w:rsidRDefault="00314B30">
      <w:pPr>
        <w:pStyle w:val="RKnormal"/>
        <w:tabs>
          <w:tab w:val="clear" w:pos="1843"/>
          <w:tab w:val="left" w:pos="0"/>
        </w:tabs>
        <w:ind w:left="0"/>
      </w:pPr>
    </w:p>
    <w:p w:rsidR="00314B30" w:rsidRPr="0070584B" w:rsidRDefault="00314B30" w:rsidP="0070584B">
      <w:r>
        <w:t>Ansvarigt departement: Arbetsmarknadsdepartementet</w:t>
      </w:r>
    </w:p>
    <w:p w:rsidR="00314B30" w:rsidRDefault="00314B30">
      <w:pPr>
        <w:pStyle w:val="RKnormal"/>
        <w:tabs>
          <w:tab w:val="clear" w:pos="1843"/>
          <w:tab w:val="left" w:pos="0"/>
        </w:tabs>
        <w:ind w:left="0"/>
      </w:pPr>
    </w:p>
    <w:p w:rsidR="00314B30" w:rsidRPr="0070584B" w:rsidRDefault="00314B30" w:rsidP="0070584B">
      <w:r>
        <w:t>Ansvarigt statsråd: Hillevi Engström</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F32929">
      <w:r>
        <w:t xml:space="preserve">Föranleder ingen annotering </w:t>
      </w:r>
    </w:p>
    <w:p w:rsidR="00314B30" w:rsidRPr="0070584B" w:rsidRDefault="00314B30" w:rsidP="0070584B">
      <w:pPr>
        <w:pStyle w:val="Heading2"/>
      </w:pPr>
      <w:bookmarkStart w:id="61" w:name="_Toc311097400"/>
      <w:r>
        <w:t>6. Common Understanding between the Governments of the Member States of the European Union on an Equalisation Mechanism pertaining to the Agreed Principles = Approval by the representatives of the Governments of the Member States of the European Union meeting within the Council</w:t>
      </w:r>
      <w:bookmarkEnd w:id="61"/>
    </w:p>
    <w:p w:rsidR="00314B30" w:rsidRPr="0070584B" w:rsidRDefault="00314B30" w:rsidP="0070584B">
      <w:r>
        <w:t>14346/11, 17529/1/11</w:t>
      </w:r>
    </w:p>
    <w:p w:rsidR="00314B30" w:rsidRDefault="00314B30">
      <w:pPr>
        <w:pStyle w:val="RKnormal"/>
        <w:tabs>
          <w:tab w:val="clear" w:pos="1843"/>
          <w:tab w:val="left" w:pos="0"/>
        </w:tabs>
        <w:ind w:left="0"/>
      </w:pPr>
    </w:p>
    <w:p w:rsidR="00314B30" w:rsidRPr="0070584B" w:rsidRDefault="00314B30" w:rsidP="0070584B">
      <w:r>
        <w:t>Ansvarigt departement: Näringsdepartementet</w:t>
      </w:r>
    </w:p>
    <w:p w:rsidR="00314B30" w:rsidRDefault="00314B30">
      <w:pPr>
        <w:pStyle w:val="RKnormal"/>
        <w:tabs>
          <w:tab w:val="clear" w:pos="1843"/>
          <w:tab w:val="left" w:pos="0"/>
        </w:tabs>
        <w:ind w:left="0"/>
      </w:pPr>
    </w:p>
    <w:p w:rsidR="00314B30" w:rsidRPr="0070584B" w:rsidRDefault="00314B30" w:rsidP="0070584B">
      <w:r>
        <w:t>Ansvarigt statsråd: Catharina Elmsäter-Svärd</w:t>
      </w:r>
    </w:p>
    <w:p w:rsidR="00314B30" w:rsidRDefault="00314B30">
      <w:pPr>
        <w:pStyle w:val="RKnormal"/>
        <w:tabs>
          <w:tab w:val="clear" w:pos="1843"/>
          <w:tab w:val="left" w:pos="0"/>
        </w:tabs>
        <w:ind w:left="0"/>
      </w:pPr>
    </w:p>
    <w:p w:rsidR="00314B30" w:rsidRPr="0070584B" w:rsidRDefault="00314B30" w:rsidP="0070584B">
      <w:r>
        <w:t>Tidigare behandling vid rådsmöte: Transport-, telekom- och energifrågor</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Ovan nämnda Utjämningsmekanism hör ihop med brevväxlingen mellan EU och Ryssland om ”Överenskomna principer för modernisering av det nuvarande systemet för utnyttjande av de transsibiriska rutterna”, som är ett resultat av det mandat kommissionen fick av rådet den 27 mars 2006 i syfte att förhandla med Ryssland i frågan om betalning för överflygningar över Sibirien. Den 24 november 2011 godkände rådet ovannämnda brevväxling, som medför att kommissionen kan bekräfta för Ryssland att EU och dess medlemsstater är förpliktade att tillse att de Överenskomna Principerna implementeras efter ikraftträdandet.</w:t>
      </w:r>
    </w:p>
    <w:p w:rsidR="00314B30" w:rsidRDefault="00314B30" w:rsidP="0070584B"/>
    <w:p w:rsidR="00314B30" w:rsidRDefault="00314B30" w:rsidP="0070584B">
      <w:r>
        <w:t>I samband med förhandlingarna, kom medlemsstaterna överens om att inrätta en Utjämningsmekanism, som ett viktigt instrument för att låta EU:s flygbolag så snart som möjligt njuta frukterna av avtalet, och för att undvika konkurrenssnedvridning under övergångsperioden.</w:t>
      </w:r>
    </w:p>
    <w:p w:rsidR="00314B30" w:rsidRDefault="00314B30" w:rsidP="0070584B"/>
    <w:p w:rsidR="00314B30" w:rsidRDefault="00314B30" w:rsidP="0070584B">
      <w:r>
        <w:t>Utjämningsmekanismen var ursprungligen en del av rådsbeslutet om undertecknande och provisorisk tillämpning av avtalet med Ryssland. Eftersom brevväxlingen inte längre är att anse som ett internationellt avtal, och på grund av avsevärda förseningar av implementeringen av överenskommelsen, måste Utjämningsmekanismen anpassas för att reflektera nuvarande situation. Mot den bakgrunden diskuterade arbetsgruppen för luftfart den 21 november och den 5 december 2011 en reviderad version av Utjämningsmekanismen. Kommissionen informerade också om att Eurocontrol är villigt att åta sig rollen som ”manager” av den fond som förutses i mekanismen.</w:t>
      </w:r>
    </w:p>
    <w:p w:rsidR="00314B30" w:rsidRDefault="00314B30" w:rsidP="00F32929"/>
    <w:p w:rsidR="00314B30" w:rsidRDefault="00314B30" w:rsidP="00F32929">
      <w:r>
        <w:t xml:space="preserve">Beslutet nu innebär att den föreslagna proceduren och förslaget till slutsatser godkänns. </w:t>
      </w:r>
    </w:p>
    <w:p w:rsidR="00314B30" w:rsidRPr="0070584B" w:rsidRDefault="00314B30" w:rsidP="0070584B">
      <w:pPr>
        <w:pStyle w:val="Heading2"/>
      </w:pPr>
      <w:bookmarkStart w:id="62" w:name="_Toc311097401"/>
      <w:r>
        <w:t>7. Commission Decision of XXX on a method for the collection of premiums for excess CO2 emissions from new passenger cars pursuant to Regulation (EC) No 443/2009 of the European Parliament and of the Council = Decision not to oppose adoption</w:t>
      </w:r>
      <w:bookmarkEnd w:id="62"/>
    </w:p>
    <w:p w:rsidR="00314B30" w:rsidRPr="0070584B" w:rsidRDefault="00314B30" w:rsidP="0070584B">
      <w:r>
        <w:t>17454/11, 16484/11</w:t>
      </w:r>
    </w:p>
    <w:p w:rsidR="00314B30" w:rsidRDefault="00314B30">
      <w:pPr>
        <w:pStyle w:val="RKnormal"/>
        <w:tabs>
          <w:tab w:val="clear" w:pos="1843"/>
          <w:tab w:val="left" w:pos="0"/>
        </w:tabs>
        <w:ind w:left="0"/>
      </w:pPr>
    </w:p>
    <w:p w:rsidR="00314B30" w:rsidRPr="0070584B" w:rsidRDefault="00314B30" w:rsidP="0070584B">
      <w:r>
        <w:t>Ansvarigt departement: Miljödepartementet</w:t>
      </w:r>
    </w:p>
    <w:p w:rsidR="00314B30" w:rsidRDefault="00314B30">
      <w:pPr>
        <w:pStyle w:val="RKnormal"/>
        <w:tabs>
          <w:tab w:val="clear" w:pos="1843"/>
          <w:tab w:val="left" w:pos="0"/>
        </w:tabs>
        <w:ind w:left="0"/>
      </w:pPr>
    </w:p>
    <w:p w:rsidR="00314B30" w:rsidRPr="0070584B" w:rsidRDefault="00314B30" w:rsidP="0070584B">
      <w:r>
        <w:t>Ansvarigt statsråd: Lena Ek</w:t>
      </w:r>
    </w:p>
    <w:p w:rsidR="00314B30" w:rsidRDefault="00314B30">
      <w:pPr>
        <w:pStyle w:val="RKnormal"/>
        <w:tabs>
          <w:tab w:val="clear" w:pos="1843"/>
          <w:tab w:val="left" w:pos="0"/>
        </w:tabs>
        <w:ind w:left="0"/>
      </w:pPr>
    </w:p>
    <w:p w:rsidR="00314B30" w:rsidRPr="0070584B" w:rsidRDefault="00314B30" w:rsidP="0070584B">
      <w:r>
        <w:t>Tidigare behandling vid rådsmöte: Miljörådet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I april 2009 beslutade EU om koldioxidkrav för nya personbilar genom förordning 443/2009. Syftet med förordningen är att reglera hur den genomsnittliga utsläppsnivån av koldioxid från nya personbilar inom EU ska minska till 130 g/km till 2012-2015. Enligt förslaget ges varje biltillverkare ett specifikt utsläppsmål. Den biltillverkare som överskrider sitt utsläppsmål åläggs att betala avgifter.</w:t>
      </w:r>
    </w:p>
    <w:p w:rsidR="00314B30" w:rsidRDefault="00314B30" w:rsidP="0070584B"/>
    <w:p w:rsidR="00314B30" w:rsidRDefault="00314B30" w:rsidP="0070584B">
      <w:r>
        <w:t>I förordningen gavs kommissionen i uppgift att fastställa en metod för inkassering av dessa avgifter för extra utsläpp. Kommissionens förslag innebär att kommissionen ska inkassera avgifter för extra utsläpp genom att ställa ut ett betalningskrav och en debetnota till den berörda biltillverkaren.</w:t>
      </w:r>
    </w:p>
    <w:p w:rsidR="00314B30" w:rsidRDefault="00314B30" w:rsidP="0070584B"/>
    <w:p w:rsidR="00314B30" w:rsidRPr="0070584B" w:rsidRDefault="00314B30" w:rsidP="0070584B">
      <w:r>
        <w:t>Sverige kan stödja kommissionens förslag.</w:t>
      </w:r>
    </w:p>
    <w:p w:rsidR="00314B30" w:rsidRDefault="00314B30">
      <w:pPr>
        <w:pStyle w:val="RKnormal"/>
        <w:tabs>
          <w:tab w:val="clear" w:pos="1843"/>
          <w:tab w:val="left" w:pos="0"/>
        </w:tabs>
        <w:ind w:left="0"/>
      </w:pPr>
      <w:r>
        <w:t xml:space="preserve"> </w:t>
      </w:r>
    </w:p>
    <w:p w:rsidR="00314B30" w:rsidRPr="0070584B" w:rsidRDefault="00314B30" w:rsidP="0070584B">
      <w:pPr>
        <w:pStyle w:val="Heading2"/>
      </w:pPr>
      <w:bookmarkStart w:id="63" w:name="_Toc311097402"/>
      <w:r>
        <w:t>8. Draft Commission Directive ../.../EU of XXX amending, for the purpose of adaptation to technical progress, part III of Annex II to Directive 2009/48/EC of the European Parliament and of the Council relating to toy safety = Decision not to oppose adoption</w:t>
      </w:r>
      <w:bookmarkEnd w:id="63"/>
    </w:p>
    <w:p w:rsidR="00314B30" w:rsidRPr="0070584B" w:rsidRDefault="00314B30" w:rsidP="0070584B">
      <w:r>
        <w:t>17950/11, 16284/11</w:t>
      </w:r>
    </w:p>
    <w:p w:rsidR="00314B30" w:rsidRDefault="00314B30">
      <w:pPr>
        <w:pStyle w:val="RKnormal"/>
        <w:tabs>
          <w:tab w:val="clear" w:pos="1843"/>
          <w:tab w:val="left" w:pos="0"/>
        </w:tabs>
        <w:ind w:left="0"/>
      </w:pPr>
    </w:p>
    <w:p w:rsidR="00314B30" w:rsidRPr="0070584B" w:rsidRDefault="00314B30" w:rsidP="0070584B">
      <w:r>
        <w:t>Ansvarigt departement: Miljödepartementet</w:t>
      </w:r>
    </w:p>
    <w:p w:rsidR="00314B30" w:rsidRDefault="00314B30">
      <w:pPr>
        <w:pStyle w:val="RKnormal"/>
        <w:tabs>
          <w:tab w:val="clear" w:pos="1843"/>
          <w:tab w:val="left" w:pos="0"/>
        </w:tabs>
        <w:ind w:left="0"/>
      </w:pPr>
    </w:p>
    <w:p w:rsidR="00314B30" w:rsidRPr="0070584B" w:rsidRDefault="00314B30" w:rsidP="0070584B">
      <w:r>
        <w:t>Ansvarigt statsråd: Lena Ek</w:t>
      </w:r>
    </w:p>
    <w:p w:rsidR="00314B30" w:rsidRDefault="00314B30">
      <w:pPr>
        <w:pStyle w:val="RKnormal"/>
        <w:tabs>
          <w:tab w:val="clear" w:pos="1843"/>
          <w:tab w:val="left" w:pos="0"/>
        </w:tabs>
        <w:ind w:left="0"/>
      </w:pPr>
    </w:p>
    <w:p w:rsidR="00314B30" w:rsidRPr="0070584B" w:rsidRDefault="00314B30" w:rsidP="0070584B">
      <w:r>
        <w:t>Tidigare behandling vid rådsmöte: Miljörådet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Toy Safety Committee behandlade den 11 oktober 2011 ett förslag till sänkta migrationsgränser för kadmium i leksaker. </w:t>
      </w:r>
    </w:p>
    <w:p w:rsidR="00314B30" w:rsidRDefault="00314B30" w:rsidP="00F32929">
      <w:r>
        <w:t xml:space="preserve">Vid omröstningen röstade alla medlemsländer för KOMs förslag. </w:t>
      </w:r>
    </w:p>
    <w:p w:rsidR="00314B30" w:rsidRPr="0070584B" w:rsidRDefault="00314B30" w:rsidP="0070584B">
      <w:pPr>
        <w:pStyle w:val="Heading2"/>
      </w:pPr>
      <w:bookmarkStart w:id="64" w:name="_Toc311097403"/>
      <w:r>
        <w:t>9. Proposal for a Council Decision on access by fishing vessels flying the flag of the Bolivarian Republic of Venezuela to the exclusive economic zone off the coast of the French department of Guiana = Adoption</w:t>
      </w:r>
      <w:bookmarkEnd w:id="64"/>
    </w:p>
    <w:p w:rsidR="00314B30" w:rsidRPr="0070584B" w:rsidRDefault="00314B30" w:rsidP="0070584B">
      <w:r>
        <w:t>8202/11, 17668/11</w:t>
      </w:r>
    </w:p>
    <w:p w:rsidR="00314B30" w:rsidRDefault="00314B30">
      <w:pPr>
        <w:pStyle w:val="RKnormal"/>
        <w:tabs>
          <w:tab w:val="clear" w:pos="1843"/>
          <w:tab w:val="left" w:pos="0"/>
        </w:tabs>
        <w:ind w:left="0"/>
      </w:pPr>
    </w:p>
    <w:p w:rsidR="00314B30" w:rsidRPr="0070584B" w:rsidRDefault="00314B30" w:rsidP="0070584B">
      <w:r>
        <w:t>Ansvarigt departement: Landsbygdsdepartementet</w:t>
      </w:r>
    </w:p>
    <w:p w:rsidR="00314B30" w:rsidRDefault="00314B30">
      <w:pPr>
        <w:pStyle w:val="RKnormal"/>
        <w:tabs>
          <w:tab w:val="clear" w:pos="1843"/>
          <w:tab w:val="left" w:pos="0"/>
        </w:tabs>
        <w:ind w:left="0"/>
      </w:pPr>
    </w:p>
    <w:p w:rsidR="00314B30" w:rsidRPr="0070584B" w:rsidRDefault="00314B30" w:rsidP="0070584B">
      <w:r>
        <w:t>Ansvarigt statsråd: Eskil Erlandsson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Pr="0070584B" w:rsidRDefault="00314B30" w:rsidP="0070584B">
      <w:r>
        <w:t>Den 7 januari 2011 presenterade kommissionen ett förslag till rådets beslut om tillträde för fiskefartyg som för Bolivianska republiken Venezuelas flagg till den exklusiva ekonomiska zonen utanför Franska Guyanas kust. Förslagets rättsliga grund artikel 43.3 och artikel 218.6b i EUF-fördraget innebär att förslaget kräver Europaparlamentets godkännande. Rådet har därför uppmanat Europaparlamentet att avge sitt yttrande i enlighet med förfarandet för brådskande ärenden senast vid Europaparlamentets plenarsammanträde den 12-15 december. Europaparlamentet har också informerats om att rådet för det fall parlamentet inte kan avge sitt yttrande vid angiven tidpunkt, förbehåller sig rätten att fatta beslut utan yttrandet med stöd av artikel 43.3 i EUF-fördraget.</w:t>
      </w:r>
    </w:p>
    <w:p w:rsidR="00314B30" w:rsidRDefault="00314B30">
      <w:pPr>
        <w:pStyle w:val="RKnormal"/>
        <w:tabs>
          <w:tab w:val="clear" w:pos="1843"/>
          <w:tab w:val="left" w:pos="0"/>
        </w:tabs>
        <w:ind w:left="0"/>
      </w:pPr>
      <w:r>
        <w:t xml:space="preserve"> </w:t>
      </w:r>
    </w:p>
    <w:p w:rsidR="00314B30" w:rsidRPr="0070584B" w:rsidRDefault="00314B30" w:rsidP="0070584B">
      <w:pPr>
        <w:pStyle w:val="Heading2"/>
      </w:pPr>
      <w:bookmarkStart w:id="65" w:name="_Toc311097404"/>
      <w:r>
        <w:t>10. Draft Commission Regulation (EU) No .../.. of [...] implementing Regulation (EC) No 1177/2003 of the European Parliament and of the Council concerning Community statistics on income and living conditions (EU-SILC), as regards the 2013 list of target secondary variables on well being = Adoption</w:t>
      </w:r>
      <w:bookmarkEnd w:id="65"/>
    </w:p>
    <w:p w:rsidR="00314B30" w:rsidRPr="0070584B" w:rsidRDefault="00314B30" w:rsidP="0070584B">
      <w:r>
        <w:t>16695/1/11</w:t>
      </w:r>
    </w:p>
    <w:p w:rsidR="00314B30" w:rsidRDefault="00314B30">
      <w:pPr>
        <w:pStyle w:val="RKnormal"/>
        <w:tabs>
          <w:tab w:val="clear" w:pos="1843"/>
          <w:tab w:val="left" w:pos="0"/>
        </w:tabs>
        <w:ind w:left="0"/>
      </w:pPr>
    </w:p>
    <w:p w:rsidR="00314B30" w:rsidRPr="0070584B" w:rsidRDefault="00314B30" w:rsidP="0070584B">
      <w:r>
        <w:t>Ansvarigt departement: Finansdepartementet</w:t>
      </w:r>
    </w:p>
    <w:p w:rsidR="00314B30" w:rsidRDefault="00314B30">
      <w:pPr>
        <w:pStyle w:val="RKnormal"/>
        <w:tabs>
          <w:tab w:val="clear" w:pos="1843"/>
          <w:tab w:val="left" w:pos="0"/>
        </w:tabs>
        <w:ind w:left="0"/>
      </w:pPr>
    </w:p>
    <w:p w:rsidR="00314B30" w:rsidRPr="0070584B" w:rsidRDefault="00314B30" w:rsidP="0070584B">
      <w:r>
        <w:t>Ansvarigt statsråd: Peter Norman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Genom förordning (EG) nr 1177/2003 inrättades en gemensam ram för systematisk framställning av gemenskapsstatistik över inkomst- och levnadsvillkor (EU-SILC), med jämförbara och aktuella tvärsnittsdata och longitudinella data om inkomstfördelning och om graden av fattigdom och social utslagning, och hur dessa företeelser är fördelade i befolkningen på nationell nivå och på EU-nivå. </w:t>
      </w:r>
    </w:p>
    <w:p w:rsidR="00314B30" w:rsidRDefault="00314B30" w:rsidP="0070584B"/>
    <w:p w:rsidR="00314B30" w:rsidRDefault="00314B30" w:rsidP="0070584B">
      <w:r>
        <w:t xml:space="preserve">Enligt artikel 15 i förordningen behövs det tillämpningsåtgärder för att fastställa den förteckning över sekundära målområden och variabler som varje år ska ingå i tvärsnittsdelstudien för EU–SILC. Förteckningen över de sekundära målvariablerna, variabelkoderna och definitionerna för 2013 års modul om välbefinnande fastställs i föreliggande utkast till förordning. </w:t>
      </w:r>
    </w:p>
    <w:p w:rsidR="00314B30" w:rsidRDefault="00314B30" w:rsidP="00F32929">
      <w:r>
        <w:t xml:space="preserve">Regeringen avser rösta ja till förordningen. </w:t>
      </w:r>
    </w:p>
    <w:p w:rsidR="00314B30" w:rsidRPr="0070584B" w:rsidRDefault="00314B30" w:rsidP="0070584B">
      <w:pPr>
        <w:pStyle w:val="Heading2"/>
      </w:pPr>
      <w:bookmarkStart w:id="66" w:name="_Toc311097405"/>
      <w:r>
        <w:t>11. Proposal for a Council Decision on the signature and provisional application, on behalf of the European Union, of the Agreement on Scientific and Technological cooperation between the European Union of the one part and the People's Democratic Republic of Algeria of the other part = Adoption</w:t>
      </w:r>
      <w:bookmarkEnd w:id="66"/>
    </w:p>
    <w:p w:rsidR="00314B30" w:rsidRPr="0070584B" w:rsidRDefault="00314B30" w:rsidP="0070584B">
      <w:r>
        <w:t>17218/11, 17318/11, 17959/11</w:t>
      </w:r>
    </w:p>
    <w:p w:rsidR="00314B30" w:rsidRDefault="00314B30">
      <w:pPr>
        <w:pStyle w:val="RKnormal"/>
        <w:tabs>
          <w:tab w:val="clear" w:pos="1843"/>
          <w:tab w:val="left" w:pos="0"/>
        </w:tabs>
        <w:ind w:left="0"/>
      </w:pPr>
    </w:p>
    <w:p w:rsidR="00314B30" w:rsidRPr="0070584B" w:rsidRDefault="00314B30" w:rsidP="0070584B">
      <w:r>
        <w:t>Ansvarigt departement: Utbildningsdepartementet</w:t>
      </w:r>
    </w:p>
    <w:p w:rsidR="00314B30" w:rsidRDefault="00314B30">
      <w:pPr>
        <w:pStyle w:val="RKnormal"/>
        <w:tabs>
          <w:tab w:val="clear" w:pos="1843"/>
          <w:tab w:val="left" w:pos="0"/>
        </w:tabs>
        <w:ind w:left="0"/>
      </w:pPr>
    </w:p>
    <w:p w:rsidR="00314B30" w:rsidRPr="0070584B" w:rsidRDefault="00314B30" w:rsidP="0070584B">
      <w:r>
        <w:t>Ansvarigt statsråd: Jan Björklund</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r>
        <w:t xml:space="preserve"> </w:t>
      </w:r>
    </w:p>
    <w:p w:rsidR="00314B30" w:rsidRDefault="00314B30" w:rsidP="00B623DD">
      <w:pPr>
        <w:autoSpaceDE w:val="0"/>
        <w:autoSpaceDN w:val="0"/>
        <w:adjustRightInd w:val="0"/>
        <w:spacing w:line="240" w:lineRule="auto"/>
      </w:pPr>
      <w:r w:rsidRPr="00471868">
        <w:t>Punkten rör ett provisoriskt avtal mellan EU och Algeriet i väntan på att ett slutligt avtal kan ingås. Den 16 november 2009 bemyndigade rådet kommissionen att på unionens vägnar inleda förhandlingar om ett avtal mellan Europeiska unionen, å ena sidan, och Demokratiska folkrepubliken Algeriet, å andra sidan om vetenskapligt och tekniskt samarbete. Det paraferades den 14 oktober 2010. Avtalet ingås i enlighet med artikel 186 och 218.5. Rådsarbetsgruppen för forskning informerades om avtalet under sommaren 2011 men inget diskussion har skett.</w:t>
      </w:r>
    </w:p>
    <w:p w:rsidR="00314B30" w:rsidRPr="0070584B" w:rsidRDefault="00314B30" w:rsidP="0070584B">
      <w:pPr>
        <w:pStyle w:val="Heading2"/>
      </w:pPr>
      <w:bookmarkStart w:id="67" w:name="_Toc311097406"/>
      <w:r>
        <w:t>12. Proposal for a Regulation of the European Parliament and of the Council on statistical returns in respect of the carriage of goods by road (Recast) (First reading) (Legislative deliberation) = Adoption of the legislative act</w:t>
      </w:r>
      <w:bookmarkEnd w:id="67"/>
    </w:p>
    <w:p w:rsidR="00314B30" w:rsidRPr="0070584B" w:rsidRDefault="00314B30" w:rsidP="0070584B">
      <w:r>
        <w:t>61/11, 17896/11</w:t>
      </w:r>
    </w:p>
    <w:p w:rsidR="00314B30" w:rsidRDefault="00314B30">
      <w:pPr>
        <w:pStyle w:val="RKnormal"/>
        <w:tabs>
          <w:tab w:val="clear" w:pos="1843"/>
          <w:tab w:val="left" w:pos="0"/>
        </w:tabs>
        <w:ind w:left="0"/>
      </w:pPr>
    </w:p>
    <w:p w:rsidR="00314B30" w:rsidRPr="0070584B" w:rsidRDefault="00314B30" w:rsidP="0070584B">
      <w:r>
        <w:t>Ansvarigt departement: Finansdepartementet</w:t>
      </w:r>
    </w:p>
    <w:p w:rsidR="00314B30" w:rsidRDefault="00314B30">
      <w:pPr>
        <w:pStyle w:val="RKnormal"/>
        <w:tabs>
          <w:tab w:val="clear" w:pos="1843"/>
          <w:tab w:val="left" w:pos="0"/>
        </w:tabs>
        <w:ind w:left="0"/>
      </w:pPr>
    </w:p>
    <w:p w:rsidR="00314B30" w:rsidRPr="0070584B" w:rsidRDefault="00314B30" w:rsidP="0070584B">
      <w:r>
        <w:t>Ansvarigt statsråd: Peter Norman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F32929">
      <w:r>
        <w:t xml:space="preserve">Genom förordningen fastställs en gemensam ram för statistikrapportering om varutransporter på väg. Regeringen avser att rösta ja till förordningen. </w:t>
      </w:r>
    </w:p>
    <w:p w:rsidR="00314B30" w:rsidRPr="0070584B" w:rsidRDefault="00314B30" w:rsidP="0070584B">
      <w:pPr>
        <w:pStyle w:val="Heading2"/>
      </w:pPr>
      <w:bookmarkStart w:id="68" w:name="_Toc311097407"/>
      <w:r>
        <w:t>13. Proposal for a Directive of the European Parliament and of the Council amending Directive 2000/75/EC as regards vaccination against bluetongue (First reading) (Legislative deliberation + Statement) = Adoption (a) of the position of the Council in first reading (b) of the statement of the Council reasons</w:t>
      </w:r>
      <w:bookmarkEnd w:id="68"/>
      <w:r>
        <w:t xml:space="preserve"> </w:t>
      </w:r>
    </w:p>
    <w:p w:rsidR="00314B30" w:rsidRPr="0070584B" w:rsidRDefault="00314B30" w:rsidP="0070584B">
      <w:r>
        <w:t>16696/11, 17688/11</w:t>
      </w:r>
    </w:p>
    <w:p w:rsidR="00314B30" w:rsidRDefault="00314B30">
      <w:pPr>
        <w:pStyle w:val="RKnormal"/>
        <w:tabs>
          <w:tab w:val="clear" w:pos="1843"/>
          <w:tab w:val="left" w:pos="0"/>
        </w:tabs>
        <w:ind w:left="0"/>
      </w:pPr>
    </w:p>
    <w:p w:rsidR="00314B30" w:rsidRPr="0070584B" w:rsidRDefault="00314B30" w:rsidP="0070584B">
      <w:r>
        <w:t>Ansvarigt departement: Landsbygdsdepartementet</w:t>
      </w:r>
    </w:p>
    <w:p w:rsidR="00314B30" w:rsidRDefault="00314B30">
      <w:pPr>
        <w:pStyle w:val="RKnormal"/>
        <w:tabs>
          <w:tab w:val="clear" w:pos="1843"/>
          <w:tab w:val="left" w:pos="0"/>
        </w:tabs>
        <w:ind w:left="0"/>
      </w:pPr>
    </w:p>
    <w:p w:rsidR="00314B30" w:rsidRPr="0070584B" w:rsidRDefault="00314B30" w:rsidP="0070584B">
      <w:r>
        <w:t>Ansvarigt statsråd: Eskil Erlandsson</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 november 2010 överlämnade kommissionen ett förslag till direktiv om ändringar i rådets direktiv 2000/75/EG av den 20 november 2000 om fastställande av särskilda bestämmelser om åtgärder för bekämpning och utrotning av bluetongue. </w:t>
      </w:r>
    </w:p>
    <w:p w:rsidR="00314B30" w:rsidRDefault="00314B30" w:rsidP="0070584B"/>
    <w:p w:rsidR="00314B30" w:rsidRDefault="00314B30" w:rsidP="0070584B">
      <w:r>
        <w:t xml:space="preserve">Syftet med kommissionens förslag är att göra reglerna om vaccination mot idisslarsjukdomen blåtunga mer flexibla. Enligt nuvarande lydelse av direktiv 2000/75/EG får vaccination mot blåtunga endast ske inom särskilda restriktionsområden, eftersom vaccination kan leda till virusspridning. Kommissionens ändringsförslag innebär att djur får vaccineras även utanför restriktionsområden med s.k. inaktiverade vacciner eftersom denna nya typ av vaccin inte medför risk för virusspridning.  </w:t>
      </w:r>
    </w:p>
    <w:p w:rsidR="00314B30" w:rsidRDefault="00314B30" w:rsidP="0070584B"/>
    <w:p w:rsidR="00314B30" w:rsidRDefault="00314B30" w:rsidP="0070584B">
      <w:r>
        <w:t>Enligt kommissionens förslag skulle medlemsstaterna rapportera införlivandeföreskrifter till kommissionen i  s.k. korrelationstabeller. Rådet motsatte sig kravet på korrelationstabeller medan Europaparlamentet (EP) motsatte sig en strykning av kravet. Det polska ordförandeskapet överlämnade i oktober 2011 ett förslag till kompromisstext till rapportören i EP. Kompromissförslaget innebär att kravet på korrelationstabeller har strukits och att tiden för genomförandet av direktivet i nationell lagstiftning har utsträckts till 6 månader efter ikraftträdandet. Överenskommelse har nåtts mellan ordförandeskapet och EP kring kompromissförslaget.</w:t>
      </w:r>
    </w:p>
    <w:p w:rsidR="00314B30" w:rsidRDefault="00314B30" w:rsidP="0070584B"/>
    <w:p w:rsidR="00314B30" w:rsidRDefault="00314B30" w:rsidP="00F32929">
      <w:r>
        <w:t xml:space="preserve">Förslaget till direktiv om ändringar av direktiv 2000/75/EG ska därför antas som en a-punkt. </w:t>
      </w:r>
    </w:p>
    <w:p w:rsidR="00314B30" w:rsidRPr="0070584B" w:rsidRDefault="00314B30" w:rsidP="0070584B">
      <w:pPr>
        <w:pStyle w:val="Heading2"/>
      </w:pPr>
      <w:bookmarkStart w:id="69" w:name="_Toc311097408"/>
      <w:r>
        <w:t>14. Enlargement Accession negotiations with Iceland = Chapter 33: Financial and budgetary provisions</w:t>
      </w:r>
      <w:bookmarkEnd w:id="69"/>
    </w:p>
    <w:p w:rsidR="00314B30" w:rsidRPr="0070584B" w:rsidRDefault="00314B30" w:rsidP="0070584B">
      <w:r>
        <w:t>18053/11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Inom ramen för Islands anslutningsförhandlingar med EU ska Rådet godkänna den av Kommissionen föreslagna gemensamma EU-positionen gällande förhandlingskapitel 33, Finansiella och budgetära bestämmelser, som därefter kommer att sändas till Island inför dess anslutningskonferens med EU. </w:t>
      </w:r>
    </w:p>
    <w:p w:rsidR="00314B30" w:rsidRDefault="00314B30" w:rsidP="0070584B"/>
    <w:p w:rsidR="00314B30" w:rsidRDefault="00314B30" w:rsidP="0070584B">
      <w:r>
        <w:t>I sin förhandlingsposition har Island begärt en övergångsperiod samt ytterligare förhandlingar gällande landets bidrag till EU:s budget. Kommissionen bedömer att Island har uppnått en relativt god anpassning till EU:s regelverk för kapitel 33. Ytterligare anpassning efterfrågas dock och följande stängningsvillkor är uppsatt:</w:t>
      </w:r>
    </w:p>
    <w:p w:rsidR="00314B30" w:rsidRDefault="00314B30" w:rsidP="0070584B"/>
    <w:p w:rsidR="00314B30" w:rsidRDefault="00314B30" w:rsidP="0070584B">
      <w:r>
        <w:t>“Iceland increases its administrative capacity and adopts an action plan for its further development and the preparation of procedural rules to ensure it will be able, from accession, to correctly calculate, forecast, account for, collect, pay, control and report to the EU on own resources in line with the acquis.”</w:t>
      </w:r>
    </w:p>
    <w:p w:rsidR="00314B30" w:rsidRDefault="00314B30" w:rsidP="0070584B"/>
    <w:p w:rsidR="00314B30" w:rsidRDefault="00314B30" w:rsidP="00352BD9">
      <w:r>
        <w:t xml:space="preserve">Sverige delar Kommissionens bedömning och välkomnar en stängning av kapitlet när ovanstående stängningsvillkor har uppnåtts. </w:t>
      </w:r>
    </w:p>
    <w:p w:rsidR="00314B30" w:rsidRPr="0070584B" w:rsidRDefault="00314B30" w:rsidP="0070584B">
      <w:pPr>
        <w:pStyle w:val="Heading2"/>
      </w:pPr>
      <w:bookmarkStart w:id="70" w:name="_Toc311097409"/>
      <w:r>
        <w:t>15. Enlargement Accession negotiations with Iceland = Chapter 6: Company Law</w:t>
      </w:r>
      <w:bookmarkEnd w:id="70"/>
    </w:p>
    <w:p w:rsidR="00314B30" w:rsidRPr="0070584B" w:rsidRDefault="00314B30" w:rsidP="0070584B">
      <w:r>
        <w:t>18048/11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Inom ramen för Islands anslutningsförhandlingar med EU ska Rådet godkänna den av Kommissionen föreslagna gemensamma EU-positionen gällande förhandlingskapitel 6, Bolagsrätt, som därefter kommer att sändas till Island inför dess anslutningskonferens med EU. </w:t>
      </w:r>
    </w:p>
    <w:p w:rsidR="00314B30" w:rsidRDefault="00314B30" w:rsidP="0070584B"/>
    <w:p w:rsidR="00314B30" w:rsidRDefault="00314B30" w:rsidP="0070584B">
      <w:r>
        <w:t xml:space="preserve">Regelverket för bolagsrätt omfattar regler för bildande, registrering, sammanslagning och delning av bolag. Kommissionen bedömer att Islands lagstiftning och anpassning på området i mycket hög utsträckning är i linje med EU-acquis. Den fortsatta anpassningen kommer att bevakas och särskild uppmärksamhet fästas vid kopplingen mellan kapitel 6 och andra förhandlingskapitel. </w:t>
      </w:r>
    </w:p>
    <w:p w:rsidR="00314B30" w:rsidRDefault="00314B30" w:rsidP="0070584B"/>
    <w:p w:rsidR="00314B30" w:rsidRDefault="00314B30" w:rsidP="00F32929">
      <w:r>
        <w:t xml:space="preserve">Sverige instämmer i Kommissionens bedömning att stängningsvillkor eller ytterligare förhandlingar för kapitel 6 inte är nödvändiga. Kapitlet föreslås därmed kunna stängas vid anslutningskonferensen. </w:t>
      </w:r>
    </w:p>
    <w:p w:rsidR="00314B30" w:rsidRPr="0070584B" w:rsidRDefault="00314B30" w:rsidP="0070584B">
      <w:pPr>
        <w:pStyle w:val="Heading2"/>
      </w:pPr>
      <w:bookmarkStart w:id="71" w:name="_Toc311097410"/>
      <w:r>
        <w:t>16. Enlargement Accession Negotiations with Iceland= Chapter 20: Enterprise and industrial policy</w:t>
      </w:r>
      <w:bookmarkEnd w:id="71"/>
    </w:p>
    <w:p w:rsidR="00314B30" w:rsidRPr="0070584B" w:rsidRDefault="00314B30" w:rsidP="0070584B">
      <w:r>
        <w:t>18049/11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Inom ramen för Islands anslutningsförhandlingar med EU ska Coreper godkänna den av Kommissionen föreslagna gemensamma EU-positionen gällande förhandlingskapitel 20, Näringspolitik, som därefter kommer att sändas till Island inför dess anslutningskonferens med EU. </w:t>
      </w:r>
    </w:p>
    <w:p w:rsidR="00314B30" w:rsidRDefault="00314B30" w:rsidP="0070584B"/>
    <w:p w:rsidR="00314B30" w:rsidRDefault="00314B30" w:rsidP="0070584B">
      <w:r>
        <w:t xml:space="preserve">Kommissionen bedömer att Islands lagstiftning och anpassning på området i mycket hög utsträckning är i linje med EU-acquis. Den fortsatta anpassningen kommer att bevakas och särskild uppmärksamhet fästas vid den administrativa kapaciteten och kapitlets koppling till andra förhandlingskapitel. </w:t>
      </w:r>
    </w:p>
    <w:p w:rsidR="00314B30" w:rsidRDefault="00314B30" w:rsidP="0070584B"/>
    <w:p w:rsidR="00314B30" w:rsidRDefault="00314B30" w:rsidP="00F32929">
      <w:r>
        <w:t xml:space="preserve">Sverige instämmer i Kommissionens bedömning att stängningsvillkor eller ytterligare förhandlingar för kapitel 20 inte är nödvändiga. Kapitlet föreslås därmed kunna stängas vid anslutningskonferensen. </w:t>
      </w:r>
    </w:p>
    <w:p w:rsidR="00314B30" w:rsidRPr="0070584B" w:rsidRDefault="00314B30" w:rsidP="0070584B">
      <w:pPr>
        <w:pStyle w:val="Heading2"/>
      </w:pPr>
      <w:bookmarkStart w:id="72" w:name="_Toc311097411"/>
      <w:r>
        <w:t>17. Enlargement Accession Negotiations with Iceland = Chapter 21: Trans-European networks</w:t>
      </w:r>
      <w:bookmarkEnd w:id="72"/>
    </w:p>
    <w:p w:rsidR="00314B30" w:rsidRPr="0070584B" w:rsidRDefault="00314B30" w:rsidP="0070584B">
      <w:r>
        <w:t>18050/11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Inom ramen för Islands anslutningsförhandlingar med EU ska Rådet godkänna den av Kommissionen föreslagna gemensamma EU-positionen gällande förhandlingskapitel 21, Transeuropeiska nätverk, som därefter kommer att sändas till Island inför dess anslutningskonferens med EU. </w:t>
      </w:r>
    </w:p>
    <w:p w:rsidR="00314B30" w:rsidRDefault="00314B30" w:rsidP="0070584B"/>
    <w:p w:rsidR="00314B30" w:rsidRDefault="00314B30" w:rsidP="0070584B">
      <w:r>
        <w:t xml:space="preserve">Kommissionen bedömer att Islands lagstiftning och anpassning på området i mycket hög utsträckning är i linje med EU-acquis. Den fortsatta anpassningen kommer att bevakas och särskild uppmärksamhet fästas vid den administrativa kapaciteten samt kopplingen mellan kapitel 21 och andra förhandlingskapitel. </w:t>
      </w:r>
    </w:p>
    <w:p w:rsidR="00314B30" w:rsidRDefault="00314B30" w:rsidP="0070584B"/>
    <w:p w:rsidR="00314B30" w:rsidRDefault="00314B30" w:rsidP="00F32929">
      <w:r>
        <w:t xml:space="preserve">Sverige instämmer i Kommissionens bedömning att stängningsvillkor eller ytterligare förhandlingar för kapitel 21 inte är nödvändiga. Kapitlet föreslås därmed kunna stängas vid anslutningskonferensen. </w:t>
      </w:r>
    </w:p>
    <w:p w:rsidR="00314B30" w:rsidRPr="0070584B" w:rsidRDefault="00314B30" w:rsidP="0070584B">
      <w:pPr>
        <w:pStyle w:val="Heading2"/>
      </w:pPr>
      <w:bookmarkStart w:id="73" w:name="_Toc311097412"/>
      <w:r>
        <w:t>18. Enlargement Accession Negotiations with Iceland = Chapter 23: Judiciary and fundamental rights</w:t>
      </w:r>
      <w:bookmarkEnd w:id="73"/>
    </w:p>
    <w:p w:rsidR="00314B30" w:rsidRPr="0070584B" w:rsidRDefault="00314B30" w:rsidP="0070584B">
      <w:r>
        <w:t>18051/11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 xml:space="preserve">Inom ramen för Islands anslutningsförhandlingar med EU ska rådet godkänna den av kommissionen föreslagna gemensamma EU-positionen gällande förhandlingskapitel 23, Rättsväsen och grundläggande rättigheter, som därefter kommer att sändas till Island inför dess anslutningskonferens med EU. </w:t>
      </w:r>
    </w:p>
    <w:p w:rsidR="00314B30" w:rsidRDefault="00314B30" w:rsidP="0070584B"/>
    <w:p w:rsidR="00314B30" w:rsidRDefault="00314B30" w:rsidP="0070584B">
      <w:r>
        <w:t xml:space="preserve">Kommissionen bedömer att Islands lagstiftning och anpassning på området i mycket hög utsträckning är i linje med EU-acquis. EU kommer att fortsätta att övervaka Islands fullföljda anpassning till acquis, bl.a. vad gäller dataskydd, anti-korruption och genomförandet av det nya utnämningsförfarandet för domare och åklagare. </w:t>
      </w:r>
    </w:p>
    <w:p w:rsidR="00314B30" w:rsidRDefault="00314B30" w:rsidP="0070584B"/>
    <w:p w:rsidR="00314B30" w:rsidRDefault="00314B30" w:rsidP="00F32929">
      <w:r>
        <w:t xml:space="preserve">Sverige instämmer i kommissionens bedömning att stängningsvillkor eller ytterligare förhandlingar för kapitel 23 inte är nödvändiga. Kapitlet föreslås därmed kunna stängas vid anslutningskonferensen. </w:t>
      </w:r>
    </w:p>
    <w:p w:rsidR="00314B30" w:rsidRPr="0070584B" w:rsidRDefault="00314B30" w:rsidP="0070584B">
      <w:pPr>
        <w:pStyle w:val="Heading2"/>
      </w:pPr>
      <w:bookmarkStart w:id="74" w:name="_Toc311097413"/>
      <w:r>
        <w:t>19. Accession negotiations with Iceland = Outcome of screening on Chapter 12: Food safety, veterinary and phytosanitary policy</w:t>
      </w:r>
      <w:bookmarkEnd w:id="74"/>
    </w:p>
    <w:p w:rsidR="00314B30" w:rsidRPr="0070584B" w:rsidRDefault="00314B30" w:rsidP="0070584B">
      <w:r>
        <w:t>18042/11</w:t>
      </w:r>
    </w:p>
    <w:p w:rsidR="00314B30" w:rsidRDefault="00314B30">
      <w:pPr>
        <w:pStyle w:val="RKnormal"/>
        <w:tabs>
          <w:tab w:val="clear" w:pos="1843"/>
          <w:tab w:val="left" w:pos="0"/>
        </w:tabs>
        <w:ind w:left="0"/>
      </w:pPr>
    </w:p>
    <w:p w:rsidR="00314B30" w:rsidRPr="0070584B" w:rsidRDefault="00314B30" w:rsidP="0070584B">
      <w:r>
        <w:t>Ansvarigt departement: Utrikesdepartementet</w:t>
      </w:r>
    </w:p>
    <w:p w:rsidR="00314B30" w:rsidRDefault="00314B30">
      <w:pPr>
        <w:pStyle w:val="RKnormal"/>
        <w:tabs>
          <w:tab w:val="clear" w:pos="1843"/>
          <w:tab w:val="left" w:pos="0"/>
        </w:tabs>
        <w:ind w:left="0"/>
      </w:pPr>
    </w:p>
    <w:p w:rsidR="00314B30" w:rsidRPr="0070584B" w:rsidRDefault="00314B30" w:rsidP="0070584B">
      <w:r>
        <w:t>Ansvarigt statsråd: Carl Bildt</w:t>
      </w:r>
    </w:p>
    <w:p w:rsidR="00314B30" w:rsidRDefault="00314B30">
      <w:pPr>
        <w:pStyle w:val="RKnormal"/>
        <w:tabs>
          <w:tab w:val="clear" w:pos="1843"/>
          <w:tab w:val="left" w:pos="0"/>
        </w:tabs>
        <w:ind w:left="0"/>
      </w:pPr>
    </w:p>
    <w:p w:rsidR="00314B30" w:rsidRPr="0070584B" w:rsidRDefault="00314B30" w:rsidP="0070584B">
      <w:r>
        <w:t>Godkänd av Coreper I den 7 december 2011</w:t>
      </w:r>
    </w:p>
    <w:p w:rsidR="00314B30" w:rsidRDefault="00314B30">
      <w:pPr>
        <w:pStyle w:val="RKnormal"/>
        <w:tabs>
          <w:tab w:val="clear" w:pos="1843"/>
          <w:tab w:val="left" w:pos="0"/>
        </w:tabs>
        <w:ind w:left="0"/>
      </w:pPr>
    </w:p>
    <w:p w:rsidR="00314B30" w:rsidRDefault="00314B30" w:rsidP="0070584B">
      <w:r>
        <w:t>Inom ramen för Islands anslutningsförhandlingar med EU ska Coreper godkänna EU-kommissionens screeningrapport gällande förhandlingskapitel 12 om Livsmedelssäkerhet, veterinära och fytosanitära frågor.</w:t>
      </w:r>
    </w:p>
    <w:p w:rsidR="00314B30" w:rsidRDefault="00314B30" w:rsidP="0070584B"/>
    <w:p w:rsidR="00314B30" w:rsidRDefault="00314B30" w:rsidP="0070584B">
      <w:r>
        <w:t>Regelverket för kapitel 12 syftar till att säkerställa en hög skyddsnivå för folkhälsa, djurhälsa, djur- och växtskydd samt upprätthålla en välfungerande inre marknad. EU-kommissionen bedömer att Island har uppnått en hög grad av anpassning och redan tillämpar en väsentlig del av regelverket på energiområdet.</w:t>
      </w:r>
    </w:p>
    <w:p w:rsidR="00314B30" w:rsidRDefault="00314B30" w:rsidP="0070584B"/>
    <w:p w:rsidR="00314B30" w:rsidRPr="0070584B" w:rsidRDefault="00314B30" w:rsidP="0070584B">
      <w:r>
        <w:t>Sverige instämmer i EU-kommissionens bedömning att Island är tillräckligt förberett för att inleda förhandlingar på området.</w:t>
      </w:r>
    </w:p>
    <w:p w:rsidR="00314B30" w:rsidRDefault="00314B30">
      <w:pPr>
        <w:pStyle w:val="RKnormal"/>
        <w:tabs>
          <w:tab w:val="clear" w:pos="1843"/>
          <w:tab w:val="left" w:pos="0"/>
        </w:tabs>
        <w:ind w:left="0"/>
      </w:pPr>
      <w:r>
        <w:t xml:space="preserve"> </w:t>
      </w:r>
    </w:p>
    <w:sectPr w:rsidR="00314B30" w:rsidSect="00125C9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30" w:rsidRDefault="00314B30">
      <w:r>
        <w:separator/>
      </w:r>
    </w:p>
  </w:endnote>
  <w:endnote w:type="continuationSeparator" w:id="0">
    <w:p w:rsidR="00314B30" w:rsidRDefault="00314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15</w:t>
    </w:r>
    <w:r>
      <w:rPr>
        <w:rStyle w:val="PageNumber"/>
        <w:sz w:val="16"/>
      </w:rPr>
      <w:fldChar w:fldCharType="end"/>
    </w:r>
    <w:r>
      <w:rPr>
        <w:rStyle w:val="PageNumber"/>
        <w:sz w:val="16"/>
      </w:rPr>
      <w:t>)</w:t>
    </w:r>
  </w:p>
  <w:p w:rsidR="00314B30" w:rsidRDefault="00314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15</w:t>
    </w:r>
    <w:r>
      <w:rPr>
        <w:rStyle w:val="PageNumber"/>
        <w:sz w:val="16"/>
      </w:rPr>
      <w:fldChar w:fldCharType="end"/>
    </w:r>
    <w:r>
      <w:rPr>
        <w:rStyle w:val="PageNumber"/>
        <w:sz w:val="16"/>
      </w:rPr>
      <w:t>)</w:t>
    </w:r>
  </w:p>
  <w:p w:rsidR="00314B30" w:rsidRDefault="00314B3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30" w:rsidRDefault="00314B30">
      <w:r>
        <w:separator/>
      </w:r>
    </w:p>
  </w:footnote>
  <w:footnote w:type="continuationSeparator" w:id="0">
    <w:p w:rsidR="00314B30" w:rsidRDefault="00314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pStyle w:val="Header"/>
      <w:framePr w:wrap="around" w:vAnchor="text" w:hAnchor="margin" w:xAlign="right" w:y="1"/>
      <w:rPr>
        <w:rStyle w:val="PageNumber"/>
      </w:rPr>
    </w:pPr>
  </w:p>
  <w:p w:rsidR="00314B30" w:rsidRDefault="00314B30">
    <w:pPr>
      <w:pStyle w:val="Header"/>
      <w:ind w:right="360"/>
    </w:pPr>
  </w:p>
  <w:p w:rsidR="00314B30" w:rsidRDefault="00314B30">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314B30" w:rsidRDefault="00314B30">
    <w:pPr>
      <w:pStyle w:val="Header"/>
    </w:pPr>
  </w:p>
  <w:p w:rsidR="00314B30" w:rsidRDefault="00314B30">
    <w:pPr>
      <w:pStyle w:val="Header"/>
      <w:ind w:right="360"/>
    </w:pPr>
  </w:p>
  <w:p w:rsidR="00314B30" w:rsidRDefault="00314B30">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30" w:rsidRDefault="00314B30">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314B30" w:rsidRDefault="00314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B0EEAD8"/>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70584B"/>
    <w:rsid w:val="00125C99"/>
    <w:rsid w:val="001420CE"/>
    <w:rsid w:val="00314B30"/>
    <w:rsid w:val="00352BD9"/>
    <w:rsid w:val="003B20B7"/>
    <w:rsid w:val="003D034D"/>
    <w:rsid w:val="00414FF3"/>
    <w:rsid w:val="00471868"/>
    <w:rsid w:val="005A23F9"/>
    <w:rsid w:val="005C212F"/>
    <w:rsid w:val="005D7A51"/>
    <w:rsid w:val="005F1820"/>
    <w:rsid w:val="006F6765"/>
    <w:rsid w:val="0070584B"/>
    <w:rsid w:val="00847B54"/>
    <w:rsid w:val="00936272"/>
    <w:rsid w:val="00A72123"/>
    <w:rsid w:val="00AF0928"/>
    <w:rsid w:val="00B623DD"/>
    <w:rsid w:val="00B96E66"/>
    <w:rsid w:val="00BA6B91"/>
    <w:rsid w:val="00C26CA3"/>
    <w:rsid w:val="00C37C25"/>
    <w:rsid w:val="00D03BA4"/>
    <w:rsid w:val="00DC37CA"/>
    <w:rsid w:val="00E33898"/>
    <w:rsid w:val="00E64FB4"/>
    <w:rsid w:val="00EC3C7C"/>
    <w:rsid w:val="00ED5DCC"/>
    <w:rsid w:val="00F056A7"/>
    <w:rsid w:val="00F32929"/>
    <w:rsid w:val="00FC1AEB"/>
    <w:rsid w:val="00FE109A"/>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99"/>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125C99"/>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125C99"/>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125C99"/>
    <w:pPr>
      <w:spacing w:after="120" w:line="240" w:lineRule="atLeast"/>
      <w:outlineLvl w:val="2"/>
    </w:pPr>
    <w:rPr>
      <w:b w:val="0"/>
    </w:rPr>
  </w:style>
  <w:style w:type="paragraph" w:styleId="Heading4">
    <w:name w:val="heading 4"/>
    <w:basedOn w:val="Heading3"/>
    <w:next w:val="RKnormal"/>
    <w:link w:val="Heading4Char"/>
    <w:uiPriority w:val="99"/>
    <w:qFormat/>
    <w:rsid w:val="00125C99"/>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125C99"/>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125C99"/>
    <w:pPr>
      <w:tabs>
        <w:tab w:val="left" w:pos="1843"/>
        <w:tab w:val="left" w:pos="2835"/>
      </w:tabs>
      <w:spacing w:line="240" w:lineRule="atLeast"/>
      <w:ind w:left="1843"/>
    </w:pPr>
  </w:style>
  <w:style w:type="paragraph" w:customStyle="1" w:styleId="Avsndare">
    <w:name w:val="Avsändare"/>
    <w:basedOn w:val="Normal"/>
    <w:uiPriority w:val="99"/>
    <w:rsid w:val="00125C9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25C9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125C99"/>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125C9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25C99"/>
    <w:rPr>
      <w:rFonts w:cs="Times New Roman"/>
    </w:rPr>
  </w:style>
  <w:style w:type="paragraph" w:styleId="BodyText">
    <w:name w:val="Body Text"/>
    <w:basedOn w:val="Normal"/>
    <w:link w:val="BodyTextChar"/>
    <w:uiPriority w:val="99"/>
    <w:rsid w:val="00125C99"/>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125C99"/>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125C99"/>
    <w:pPr>
      <w:spacing w:line="320" w:lineRule="exact"/>
    </w:pPr>
    <w:rPr>
      <w:rFonts w:ascii="Arial" w:hAnsi="Arial"/>
      <w:b/>
      <w:sz w:val="22"/>
    </w:rPr>
  </w:style>
  <w:style w:type="paragraph" w:styleId="TOC1">
    <w:name w:val="toc 1"/>
    <w:basedOn w:val="Normal"/>
    <w:next w:val="Normal"/>
    <w:autoRedefine/>
    <w:uiPriority w:val="99"/>
    <w:rsid w:val="00125C99"/>
    <w:pPr>
      <w:spacing w:before="360"/>
    </w:pPr>
    <w:rPr>
      <w:rFonts w:ascii="Arial" w:hAnsi="Arial"/>
      <w:b/>
      <w:bCs/>
      <w:caps/>
      <w:szCs w:val="28"/>
    </w:rPr>
  </w:style>
  <w:style w:type="paragraph" w:styleId="TOC2">
    <w:name w:val="toc 2"/>
    <w:basedOn w:val="Normal"/>
    <w:next w:val="Normal"/>
    <w:autoRedefine/>
    <w:uiPriority w:val="99"/>
    <w:rsid w:val="00125C99"/>
    <w:pPr>
      <w:spacing w:before="240"/>
    </w:pPr>
    <w:rPr>
      <w:rFonts w:ascii="Times New Roman" w:hAnsi="Times New Roman"/>
      <w:b/>
      <w:bCs/>
      <w:szCs w:val="24"/>
    </w:rPr>
  </w:style>
  <w:style w:type="paragraph" w:styleId="TOC3">
    <w:name w:val="toc 3"/>
    <w:basedOn w:val="Normal"/>
    <w:next w:val="Normal"/>
    <w:autoRedefine/>
    <w:uiPriority w:val="99"/>
    <w:semiHidden/>
    <w:rsid w:val="00125C99"/>
    <w:pPr>
      <w:ind w:left="240"/>
    </w:pPr>
    <w:rPr>
      <w:rFonts w:ascii="Times New Roman" w:hAnsi="Times New Roman"/>
      <w:szCs w:val="24"/>
    </w:rPr>
  </w:style>
  <w:style w:type="paragraph" w:styleId="TOC4">
    <w:name w:val="toc 4"/>
    <w:basedOn w:val="Normal"/>
    <w:next w:val="Normal"/>
    <w:autoRedefine/>
    <w:uiPriority w:val="99"/>
    <w:semiHidden/>
    <w:rsid w:val="00125C99"/>
    <w:pPr>
      <w:ind w:left="480"/>
    </w:pPr>
    <w:rPr>
      <w:rFonts w:ascii="Times New Roman" w:hAnsi="Times New Roman"/>
      <w:szCs w:val="24"/>
    </w:rPr>
  </w:style>
  <w:style w:type="paragraph" w:styleId="TOC5">
    <w:name w:val="toc 5"/>
    <w:basedOn w:val="Normal"/>
    <w:next w:val="Normal"/>
    <w:autoRedefine/>
    <w:uiPriority w:val="99"/>
    <w:semiHidden/>
    <w:rsid w:val="00125C99"/>
    <w:pPr>
      <w:ind w:left="720"/>
    </w:pPr>
    <w:rPr>
      <w:rFonts w:ascii="Times New Roman" w:hAnsi="Times New Roman"/>
      <w:szCs w:val="24"/>
    </w:rPr>
  </w:style>
  <w:style w:type="paragraph" w:styleId="TOC6">
    <w:name w:val="toc 6"/>
    <w:basedOn w:val="Normal"/>
    <w:next w:val="Normal"/>
    <w:autoRedefine/>
    <w:uiPriority w:val="99"/>
    <w:semiHidden/>
    <w:rsid w:val="00125C99"/>
    <w:pPr>
      <w:ind w:left="960"/>
    </w:pPr>
    <w:rPr>
      <w:rFonts w:ascii="Times New Roman" w:hAnsi="Times New Roman"/>
      <w:szCs w:val="24"/>
    </w:rPr>
  </w:style>
  <w:style w:type="paragraph" w:styleId="TOC7">
    <w:name w:val="toc 7"/>
    <w:basedOn w:val="Normal"/>
    <w:next w:val="Normal"/>
    <w:autoRedefine/>
    <w:uiPriority w:val="99"/>
    <w:semiHidden/>
    <w:rsid w:val="00125C99"/>
    <w:pPr>
      <w:ind w:left="1200"/>
    </w:pPr>
    <w:rPr>
      <w:rFonts w:ascii="Times New Roman" w:hAnsi="Times New Roman"/>
      <w:szCs w:val="24"/>
    </w:rPr>
  </w:style>
  <w:style w:type="paragraph" w:styleId="TOC8">
    <w:name w:val="toc 8"/>
    <w:basedOn w:val="Normal"/>
    <w:next w:val="Normal"/>
    <w:autoRedefine/>
    <w:uiPriority w:val="99"/>
    <w:semiHidden/>
    <w:rsid w:val="00125C99"/>
    <w:pPr>
      <w:ind w:left="1440"/>
    </w:pPr>
    <w:rPr>
      <w:rFonts w:ascii="Times New Roman" w:hAnsi="Times New Roman"/>
      <w:szCs w:val="24"/>
    </w:rPr>
  </w:style>
  <w:style w:type="paragraph" w:styleId="TOC9">
    <w:name w:val="toc 9"/>
    <w:basedOn w:val="Normal"/>
    <w:next w:val="Normal"/>
    <w:autoRedefine/>
    <w:uiPriority w:val="99"/>
    <w:semiHidden/>
    <w:rsid w:val="00125C99"/>
    <w:pPr>
      <w:ind w:left="1680"/>
    </w:pPr>
    <w:rPr>
      <w:rFonts w:ascii="Times New Roman" w:hAnsi="Times New Roman"/>
      <w:szCs w:val="24"/>
    </w:rPr>
  </w:style>
  <w:style w:type="paragraph" w:customStyle="1" w:styleId="Text1">
    <w:name w:val="Text 1"/>
    <w:basedOn w:val="Normal"/>
    <w:uiPriority w:val="99"/>
    <w:rsid w:val="00125C99"/>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125C99"/>
    <w:rPr>
      <w:rFonts w:cs="Times New Roman"/>
      <w:vertAlign w:val="superscript"/>
    </w:rPr>
  </w:style>
  <w:style w:type="paragraph" w:styleId="Index1">
    <w:name w:val="index 1"/>
    <w:basedOn w:val="Normal"/>
    <w:next w:val="Normal"/>
    <w:autoRedefine/>
    <w:uiPriority w:val="99"/>
    <w:semiHidden/>
    <w:rsid w:val="00125C99"/>
    <w:pPr>
      <w:ind w:left="240" w:hanging="240"/>
    </w:pPr>
    <w:rPr>
      <w:rFonts w:ascii="Times New Roman" w:hAnsi="Times New Roman"/>
      <w:szCs w:val="24"/>
    </w:rPr>
  </w:style>
  <w:style w:type="paragraph" w:styleId="Index2">
    <w:name w:val="index 2"/>
    <w:basedOn w:val="Normal"/>
    <w:next w:val="Normal"/>
    <w:autoRedefine/>
    <w:uiPriority w:val="99"/>
    <w:semiHidden/>
    <w:rsid w:val="00125C99"/>
    <w:pPr>
      <w:ind w:left="480" w:hanging="240"/>
    </w:pPr>
    <w:rPr>
      <w:rFonts w:ascii="Times New Roman" w:hAnsi="Times New Roman"/>
      <w:szCs w:val="24"/>
    </w:rPr>
  </w:style>
  <w:style w:type="paragraph" w:styleId="Index3">
    <w:name w:val="index 3"/>
    <w:basedOn w:val="Normal"/>
    <w:next w:val="Normal"/>
    <w:autoRedefine/>
    <w:uiPriority w:val="99"/>
    <w:semiHidden/>
    <w:rsid w:val="00125C99"/>
    <w:pPr>
      <w:ind w:left="720" w:hanging="240"/>
    </w:pPr>
    <w:rPr>
      <w:rFonts w:ascii="Times New Roman" w:hAnsi="Times New Roman"/>
      <w:szCs w:val="24"/>
    </w:rPr>
  </w:style>
  <w:style w:type="paragraph" w:styleId="Index4">
    <w:name w:val="index 4"/>
    <w:basedOn w:val="Normal"/>
    <w:next w:val="Normal"/>
    <w:autoRedefine/>
    <w:uiPriority w:val="99"/>
    <w:semiHidden/>
    <w:rsid w:val="00125C99"/>
    <w:pPr>
      <w:ind w:left="960" w:hanging="240"/>
    </w:pPr>
    <w:rPr>
      <w:rFonts w:ascii="Times New Roman" w:hAnsi="Times New Roman"/>
      <w:szCs w:val="24"/>
    </w:rPr>
  </w:style>
  <w:style w:type="paragraph" w:styleId="Index5">
    <w:name w:val="index 5"/>
    <w:basedOn w:val="Normal"/>
    <w:next w:val="Normal"/>
    <w:autoRedefine/>
    <w:uiPriority w:val="99"/>
    <w:semiHidden/>
    <w:rsid w:val="00125C99"/>
    <w:pPr>
      <w:ind w:left="1200" w:hanging="240"/>
    </w:pPr>
    <w:rPr>
      <w:rFonts w:ascii="Times New Roman" w:hAnsi="Times New Roman"/>
      <w:szCs w:val="24"/>
    </w:rPr>
  </w:style>
  <w:style w:type="paragraph" w:styleId="Index6">
    <w:name w:val="index 6"/>
    <w:basedOn w:val="Normal"/>
    <w:next w:val="Normal"/>
    <w:autoRedefine/>
    <w:uiPriority w:val="99"/>
    <w:semiHidden/>
    <w:rsid w:val="00125C99"/>
    <w:pPr>
      <w:ind w:left="1440" w:hanging="240"/>
    </w:pPr>
    <w:rPr>
      <w:rFonts w:ascii="Times New Roman" w:hAnsi="Times New Roman"/>
      <w:szCs w:val="24"/>
    </w:rPr>
  </w:style>
  <w:style w:type="paragraph" w:styleId="Index7">
    <w:name w:val="index 7"/>
    <w:basedOn w:val="Normal"/>
    <w:next w:val="Normal"/>
    <w:autoRedefine/>
    <w:uiPriority w:val="99"/>
    <w:semiHidden/>
    <w:rsid w:val="00125C99"/>
    <w:pPr>
      <w:ind w:left="1680" w:hanging="240"/>
    </w:pPr>
    <w:rPr>
      <w:rFonts w:ascii="Times New Roman" w:hAnsi="Times New Roman"/>
      <w:szCs w:val="24"/>
    </w:rPr>
  </w:style>
  <w:style w:type="paragraph" w:styleId="Index8">
    <w:name w:val="index 8"/>
    <w:basedOn w:val="Normal"/>
    <w:next w:val="Normal"/>
    <w:autoRedefine/>
    <w:uiPriority w:val="99"/>
    <w:semiHidden/>
    <w:rsid w:val="00125C99"/>
    <w:pPr>
      <w:ind w:left="1920" w:hanging="240"/>
    </w:pPr>
    <w:rPr>
      <w:rFonts w:ascii="Times New Roman" w:hAnsi="Times New Roman"/>
      <w:szCs w:val="24"/>
    </w:rPr>
  </w:style>
  <w:style w:type="paragraph" w:styleId="Index9">
    <w:name w:val="index 9"/>
    <w:basedOn w:val="Normal"/>
    <w:next w:val="Normal"/>
    <w:autoRedefine/>
    <w:uiPriority w:val="99"/>
    <w:semiHidden/>
    <w:rsid w:val="00125C99"/>
    <w:pPr>
      <w:ind w:left="2160" w:hanging="240"/>
    </w:pPr>
    <w:rPr>
      <w:rFonts w:ascii="Times New Roman" w:hAnsi="Times New Roman"/>
      <w:szCs w:val="24"/>
    </w:rPr>
  </w:style>
  <w:style w:type="paragraph" w:styleId="IndexHeading">
    <w:name w:val="index heading"/>
    <w:basedOn w:val="Normal"/>
    <w:next w:val="Index1"/>
    <w:uiPriority w:val="99"/>
    <w:semiHidden/>
    <w:rsid w:val="00125C99"/>
    <w:pPr>
      <w:spacing w:before="120" w:after="120"/>
    </w:pPr>
    <w:rPr>
      <w:rFonts w:ascii="Times New Roman" w:hAnsi="Times New Roman"/>
      <w:b/>
      <w:bCs/>
      <w:i/>
      <w:iCs/>
      <w:szCs w:val="24"/>
    </w:rPr>
  </w:style>
  <w:style w:type="paragraph" w:customStyle="1" w:styleId="EntEmet">
    <w:name w:val="EntEmet"/>
    <w:basedOn w:val="Normal"/>
    <w:uiPriority w:val="99"/>
    <w:rsid w:val="00125C99"/>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125C99"/>
    <w:pPr>
      <w:spacing w:line="240" w:lineRule="auto"/>
    </w:pPr>
    <w:rPr>
      <w:rFonts w:ascii="Arial" w:hAnsi="Arial"/>
      <w:lang w:val="en-GB"/>
    </w:rPr>
  </w:style>
  <w:style w:type="paragraph" w:customStyle="1" w:styleId="Avsndare0">
    <w:name w:val="Avsndare"/>
    <w:basedOn w:val="Normal"/>
    <w:next w:val="Normal"/>
    <w:uiPriority w:val="99"/>
    <w:rsid w:val="00125C99"/>
    <w:pPr>
      <w:spacing w:line="240" w:lineRule="auto"/>
    </w:pPr>
    <w:rPr>
      <w:rFonts w:ascii="Arial" w:hAnsi="Arial"/>
      <w:i/>
      <w:lang w:val="en-GB"/>
    </w:rPr>
  </w:style>
  <w:style w:type="character" w:styleId="Hyperlink">
    <w:name w:val="Hyperlink"/>
    <w:basedOn w:val="DefaultParagraphFont"/>
    <w:uiPriority w:val="99"/>
    <w:rsid w:val="00125C99"/>
    <w:rPr>
      <w:rFonts w:cs="Times New Roman"/>
      <w:color w:val="0000FF"/>
      <w:u w:val="single"/>
    </w:rPr>
  </w:style>
  <w:style w:type="paragraph" w:styleId="DocumentMap">
    <w:name w:val="Document Map"/>
    <w:basedOn w:val="Normal"/>
    <w:link w:val="DocumentMapChar"/>
    <w:uiPriority w:val="99"/>
    <w:semiHidden/>
    <w:rsid w:val="00125C9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125C99"/>
    <w:rPr>
      <w:rFonts w:cs="Times New Roman"/>
      <w:color w:val="800080"/>
      <w:u w:val="single"/>
    </w:rPr>
  </w:style>
  <w:style w:type="paragraph" w:customStyle="1" w:styleId="Par-number1">
    <w:name w:val="Par-number 1)"/>
    <w:basedOn w:val="Normal"/>
    <w:next w:val="Normal"/>
    <w:uiPriority w:val="99"/>
    <w:rsid w:val="00125C99"/>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uiPriority w:val="99"/>
    <w:rsid w:val="00125C99"/>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125C99"/>
    <w:pPr>
      <w:widowControl w:val="0"/>
      <w:numPr>
        <w:numId w:val="3"/>
      </w:numPr>
      <w:tabs>
        <w:tab w:val="clear" w:pos="360"/>
        <w:tab w:val="num" w:pos="567"/>
      </w:tabs>
      <w:spacing w:line="360" w:lineRule="auto"/>
      <w:ind w:left="567" w:hanging="567"/>
    </w:pPr>
    <w:rPr>
      <w:rFonts w:ascii="Times New Roman" w:hAnsi="Times New Roman"/>
      <w:lang w:eastAsia="fr-BE"/>
    </w:rPr>
  </w:style>
  <w:style w:type="paragraph" w:customStyle="1" w:styleId="Par-number11">
    <w:name w:val="Par-number 1."/>
    <w:basedOn w:val="Normal"/>
    <w:next w:val="Normal"/>
    <w:uiPriority w:val="99"/>
    <w:rsid w:val="00125C99"/>
    <w:pPr>
      <w:widowControl w:val="0"/>
      <w:numPr>
        <w:numId w:val="4"/>
      </w:numPr>
      <w:tabs>
        <w:tab w:val="clear" w:pos="360"/>
        <w:tab w:val="num" w:pos="567"/>
      </w:tabs>
      <w:spacing w:line="360" w:lineRule="auto"/>
      <w:ind w:left="567" w:hanging="567"/>
    </w:pPr>
    <w:rPr>
      <w:rFonts w:ascii="Times New Roman" w:hAnsi="Times New Roman"/>
      <w:lang w:eastAsia="fr-BE"/>
    </w:rPr>
  </w:style>
  <w:style w:type="paragraph" w:customStyle="1" w:styleId="Par-numberI">
    <w:name w:val="Par-number I."/>
    <w:basedOn w:val="Normal"/>
    <w:next w:val="Normal"/>
    <w:uiPriority w:val="99"/>
    <w:rsid w:val="00125C99"/>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uiPriority w:val="99"/>
    <w:rsid w:val="00125C99"/>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uiPriority w:val="99"/>
    <w:rsid w:val="00125C99"/>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125C99"/>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125C99"/>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125C99"/>
    <w:pPr>
      <w:numPr>
        <w:numId w:val="11"/>
      </w:numPr>
      <w:tabs>
        <w:tab w:val="clear" w:pos="567"/>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125C99"/>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125C99"/>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125C99"/>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125C99"/>
    <w:pPr>
      <w:spacing w:line="240" w:lineRule="auto"/>
    </w:pPr>
    <w:rPr>
      <w:rFonts w:ascii="Times New Roman" w:hAnsi="Times New Roman"/>
      <w:lang w:val="en-GB" w:eastAsia="fr-BE"/>
    </w:rPr>
  </w:style>
  <w:style w:type="paragraph" w:customStyle="1" w:styleId="Tiret1">
    <w:name w:val="Tiret 1"/>
    <w:basedOn w:val="Normal"/>
    <w:uiPriority w:val="99"/>
    <w:rsid w:val="00125C99"/>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125C99"/>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125C99"/>
    <w:pPr>
      <w:overflowPunct w:val="0"/>
      <w:autoSpaceDE w:val="0"/>
      <w:autoSpaceDN w:val="0"/>
      <w:adjustRightInd w:val="0"/>
      <w:ind w:left="1843"/>
      <w:textAlignment w:val="baseline"/>
    </w:pPr>
  </w:style>
  <w:style w:type="paragraph" w:customStyle="1" w:styleId="Brdtext0">
    <w:name w:val="Brˆdtext"/>
    <w:basedOn w:val="Normal"/>
    <w:uiPriority w:val="99"/>
    <w:rsid w:val="00125C99"/>
    <w:pPr>
      <w:spacing w:line="320" w:lineRule="exact"/>
    </w:pPr>
    <w:rPr>
      <w:rFonts w:ascii="Times New Roman" w:hAnsi="Times New Roman"/>
    </w:rPr>
  </w:style>
  <w:style w:type="character" w:customStyle="1" w:styleId="term">
    <w:name w:val="term"/>
    <w:basedOn w:val="DefaultParagraphFont"/>
    <w:uiPriority w:val="99"/>
    <w:rsid w:val="00125C99"/>
    <w:rPr>
      <w:rFonts w:cs="Times New Roman"/>
    </w:rPr>
  </w:style>
  <w:style w:type="paragraph" w:customStyle="1" w:styleId="Brdtexthuvud">
    <w:name w:val="Brödtext huvud"/>
    <w:basedOn w:val="Normal"/>
    <w:uiPriority w:val="99"/>
    <w:rsid w:val="00125C99"/>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E64F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64F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3325</Words>
  <Characters>20683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2006-02-01T09:16:00Z</cp:lastPrinted>
  <dcterms:created xsi:type="dcterms:W3CDTF">2012-01-27T14:21:00Z</dcterms:created>
  <dcterms:modified xsi:type="dcterms:W3CDTF">2012-01-27T14:21:00Z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CheckInComment">
    <vt:lpwstr/>
  </property>
  <property fmtid="{D5CDD505-2E9C-101B-9397-08002B2CF9AE}" pid="11" name="RKOrdnaSearchKeywords">
    <vt:lpwstr/>
  </property>
  <property fmtid="{D5CDD505-2E9C-101B-9397-08002B2CF9AE}" pid="12" name="RKOrdnaDepartement">
    <vt:lpwstr/>
  </property>
  <property fmtid="{D5CDD505-2E9C-101B-9397-08002B2CF9AE}" pid="13" name="RKOrdnaClass">
    <vt:lpwstr/>
  </property>
  <property fmtid="{D5CDD505-2E9C-101B-9397-08002B2CF9AE}" pid="14" name="RKOrdnaActivityCategory">
    <vt:lpwstr/>
  </property>
  <property fmtid="{D5CDD505-2E9C-101B-9397-08002B2CF9AE}" pid="15" name="RKOrdnaDiarienummer">
    <vt:lpwstr/>
  </property>
</Properties>
</file>