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16F64" w:rsidRDefault="00F0071B" w14:paraId="391BCF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26309D98B54BBD9771C62A78C62B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4a7e958-d45a-45ad-8d15-028246e96a80"/>
        <w:id w:val="-1449545783"/>
        <w:lock w:val="sdtLocked"/>
      </w:sdtPr>
      <w:sdtEndPr/>
      <w:sdtContent>
        <w:p w:rsidR="00C733B2" w:rsidRDefault="004C3EC4" w14:paraId="005EED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begära förtydligande i PBL, så att mindre avvikelser från äldre detaljplaner ska prövas generöst som en förenkling,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A02E19D9BB64D07BED4663FB192D44B"/>
        </w:placeholder>
        <w:text/>
      </w:sdtPr>
      <w:sdtEndPr/>
      <w:sdtContent>
        <w:p w:rsidRPr="009B062B" w:rsidR="006D79C9" w:rsidP="00333E95" w:rsidRDefault="00F0071B" w14:paraId="55714285" w14:textId="1B9F1C8B">
          <w:pPr>
            <w:pStyle w:val="Rubrik1"/>
          </w:pPr>
          <w:r w:rsidRPr="00F0071B">
            <w:t>PBL måste göra tydligt att mindre avvikelser från detaljplan ska underlättas för enskilda och små företag</w:t>
          </w:r>
        </w:p>
      </w:sdtContent>
    </w:sdt>
    <w:bookmarkEnd w:displacedByCustomXml="prev" w:id="3"/>
    <w:bookmarkEnd w:displacedByCustomXml="prev" w:id="4"/>
    <w:p w:rsidR="00C86659" w:rsidP="00C86659" w:rsidRDefault="00C86659" w14:paraId="1E87DEFD" w14:textId="1DC0D612">
      <w:pPr>
        <w:pStyle w:val="Normalutanindragellerluft"/>
      </w:pPr>
      <w:r>
        <w:t>Enligt PBL får en kommun reglera mark- och vattenområdens användning, bebyggelse och byggnadsverk med en detaljplan eller områdesbestämmelser. Detaljplaneringen har genom åren formats utifrån den vid plantidpunkten gällande verkligheten. Årsringarna i planerna kan bli väldigt tydliga och låsa enskilda fastighetsägare till att bekosta nya detaljplaner för att erhålla rimliga lösningar i dag och i morgon. För stora fastighets</w:t>
      </w:r>
      <w:r w:rsidR="00F0071B">
        <w:softHyphen/>
      </w:r>
      <w:r>
        <w:t>företag kan detta vara en möjlig väg ur de historiska låsningarna, men för enskilda blir det orimligt och många upplever att äganderätten kraftigt inskränks när bygg- eller marklov har sökts men den gamla detaljplanen förhindrar godkännande. Risken är över</w:t>
      </w:r>
      <w:r w:rsidR="00F0071B">
        <w:softHyphen/>
      </w:r>
      <w:r>
        <w:t>hängande att enskilda då väljer bort att fråga av misstro mot lokala bygglovsenheter och byggnadsnämnder.</w:t>
      </w:r>
    </w:p>
    <w:p w:rsidR="00BB6339" w:rsidP="00F0071B" w:rsidRDefault="00C86659" w14:paraId="493A9D33" w14:textId="203D5BF3">
      <w:r>
        <w:t>Det finns många gamla detaljplanebestämmelser som enklare borde kunna upp</w:t>
      </w:r>
      <w:r w:rsidR="00F0071B">
        <w:softHyphen/>
      </w:r>
      <w:r>
        <w:t>dateras för att passa dagens behov och verklighet. Detta i syfte att stärka äganderätten för fastigheten. Det kan göras genom att det tydliggörs att godkännande för vad som avses som en mindre avvikelse ska prövas generöst. Om t</w:t>
      </w:r>
      <w:r w:rsidR="004C3EC4">
        <w:t> </w:t>
      </w:r>
      <w:r>
        <w:t>ex syftet med plan</w:t>
      </w:r>
      <w:r w:rsidR="00F0071B">
        <w:softHyphen/>
      </w:r>
      <w:r>
        <w:t xml:space="preserve">bestämmelsen kan uppnås på ett alternativt sätt i dag ska lov alltid ges. En enkel förnyelse av en del av en detaljplan måste också kunna göras för att kunna möta en mindre justering i planens bestämmelser för enskilda fastighetsägare som rimligen inte kan uppmanas och förväntas bekosta en ny detaljplan för </w:t>
      </w:r>
      <w:r w:rsidR="004C3EC4">
        <w:t xml:space="preserve">en </w:t>
      </w:r>
      <w:r>
        <w:t>mindre avvikelse som t</w:t>
      </w:r>
      <w:r w:rsidR="004C3EC4">
        <w:t> </w:t>
      </w:r>
      <w:r>
        <w:t>ex ändrade förhållanden för s.k. prickmark och avverkning av träd.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59F13649374F939734B016AB0EF2AD"/>
        </w:placeholder>
      </w:sdtPr>
      <w:sdtEndPr/>
      <w:sdtContent>
        <w:p w:rsidR="00A16F64" w:rsidP="00A16F64" w:rsidRDefault="00A16F64" w14:paraId="29F78B30" w14:textId="77777777"/>
        <w:p w:rsidR="00A16F64" w:rsidP="00A16F64" w:rsidRDefault="00F0071B" w14:paraId="55B38D6D" w14:textId="41907C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33B2" w14:paraId="190782EA" w14:textId="77777777">
        <w:trPr>
          <w:cantSplit/>
        </w:trPr>
        <w:tc>
          <w:tcPr>
            <w:tcW w:w="50" w:type="pct"/>
            <w:vAlign w:val="bottom"/>
          </w:tcPr>
          <w:p w:rsidR="00C733B2" w:rsidRDefault="004C3EC4" w14:paraId="0C085BEB" w14:textId="77777777"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C733B2" w:rsidRDefault="00C733B2" w14:paraId="37BAEC4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1F00CAF" w14:textId="644583D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3180" w14:textId="77777777" w:rsidR="00C86659" w:rsidRDefault="00C86659" w:rsidP="000C1CAD">
      <w:pPr>
        <w:spacing w:line="240" w:lineRule="auto"/>
      </w:pPr>
      <w:r>
        <w:separator/>
      </w:r>
    </w:p>
  </w:endnote>
  <w:endnote w:type="continuationSeparator" w:id="0">
    <w:p w14:paraId="150B7E7F" w14:textId="77777777" w:rsidR="00C86659" w:rsidRDefault="00C866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34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0B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5CA1" w14:textId="3A6EA730" w:rsidR="00262EA3" w:rsidRPr="00A16F64" w:rsidRDefault="00262EA3" w:rsidP="00A16F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A7E2" w14:textId="77777777" w:rsidR="00C86659" w:rsidRDefault="00C86659" w:rsidP="000C1CAD">
      <w:pPr>
        <w:spacing w:line="240" w:lineRule="auto"/>
      </w:pPr>
      <w:r>
        <w:separator/>
      </w:r>
    </w:p>
  </w:footnote>
  <w:footnote w:type="continuationSeparator" w:id="0">
    <w:p w14:paraId="056B09BE" w14:textId="77777777" w:rsidR="00C86659" w:rsidRDefault="00C866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F6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9568C0" wp14:editId="5AE03E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8F96B" w14:textId="34AA73F6" w:rsidR="00262EA3" w:rsidRDefault="00F007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E6AD1325A747DBBEC6DC680332A0E0"/>
                              </w:placeholder>
                              <w:text/>
                            </w:sdtPr>
                            <w:sdtEndPr/>
                            <w:sdtContent>
                              <w:r w:rsidR="00C8665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D29EC86DE6476AA636D10BE3F06E0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9568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18F96B" w14:textId="34AA73F6" w:rsidR="00262EA3" w:rsidRDefault="00F007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E6AD1325A747DBBEC6DC680332A0E0"/>
                        </w:placeholder>
                        <w:text/>
                      </w:sdtPr>
                      <w:sdtEndPr/>
                      <w:sdtContent>
                        <w:r w:rsidR="00C8665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D29EC86DE6476AA636D10BE3F06E0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67BE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EA8" w14:textId="77777777" w:rsidR="00262EA3" w:rsidRDefault="00262EA3" w:rsidP="008563AC">
    <w:pPr>
      <w:jc w:val="right"/>
    </w:pPr>
  </w:p>
  <w:p w14:paraId="5153AD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FE23" w14:textId="77777777" w:rsidR="00262EA3" w:rsidRDefault="00F007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BD450B" wp14:editId="630E9F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C486CA" w14:textId="57E4AD23" w:rsidR="00262EA3" w:rsidRDefault="00F007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6F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6659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1AD0092890404A4682DBCF3EF49035AD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0873D9D0" w14:textId="77777777" w:rsidR="00262EA3" w:rsidRPr="008227B3" w:rsidRDefault="00F007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77BFA7" w14:textId="70B3BAC9" w:rsidR="00262EA3" w:rsidRPr="008227B3" w:rsidRDefault="00F007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6F6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FB79CED4BCC4E58AD1C772A3B453EF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6F64">
          <w:t>:1184</w:t>
        </w:r>
      </w:sdtContent>
    </w:sdt>
  </w:p>
  <w:p w14:paraId="10004143" w14:textId="151DC881" w:rsidR="00262EA3" w:rsidRDefault="00F007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5E6AD1325A747DBBEC6DC680332A0E0"/>
        </w:placeholder>
        <w15:appearance w15:val="hidden"/>
        <w:text/>
      </w:sdtPr>
      <w:sdtEndPr/>
      <w:sdtContent>
        <w:r w:rsidR="00A16F64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7D29EC86DE6476AA636D10BE3F06E0E"/>
      </w:placeholder>
      <w:text/>
    </w:sdtPr>
    <w:sdtEndPr/>
    <w:sdtContent>
      <w:p w14:paraId="74D467C6" w14:textId="7ED4823F" w:rsidR="00262EA3" w:rsidRDefault="00707979" w:rsidP="00283E0F">
        <w:pPr>
          <w:pStyle w:val="FSHRub2"/>
        </w:pPr>
        <w:r>
          <w:t>Tydliggörande av att avvikelse enligt PBL prövas generöst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1F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665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EC4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979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B24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F64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39E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3B2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659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7BE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4D27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1B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F3BB51"/>
  <w15:chartTrackingRefBased/>
  <w15:docId w15:val="{B4CED07F-CEC6-4451-97C3-FFE537C3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26309D98B54BBD9771C62A78C62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CE728-279C-40A6-9DA3-CF82F5AE925E}"/>
      </w:docPartPr>
      <w:docPartBody>
        <w:p w:rsidR="008807EC" w:rsidRDefault="008807EC">
          <w:pPr>
            <w:pStyle w:val="9526309D98B54BBD9771C62A78C62B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02E19D9BB64D07BED4663FB192D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8376A-C2AA-403E-A465-F8C86CC2A85D}"/>
      </w:docPartPr>
      <w:docPartBody>
        <w:p w:rsidR="008807EC" w:rsidRDefault="008807EC">
          <w:pPr>
            <w:pStyle w:val="1A02E19D9BB64D07BED4663FB192D4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E6AD1325A747DBBEC6DC680332A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F5B73-B5D3-490B-A2A0-0747F1DD89C1}"/>
      </w:docPartPr>
      <w:docPartBody>
        <w:p w:rsidR="008807EC" w:rsidRDefault="008807EC">
          <w:pPr>
            <w:pStyle w:val="B5E6AD1325A747DBBEC6DC680332A0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D29EC86DE6476AA636D10BE3F06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97BFB-4736-4B69-81A9-088EE52578BF}"/>
      </w:docPartPr>
      <w:docPartBody>
        <w:p w:rsidR="008807EC" w:rsidRDefault="003D32AD">
          <w:pPr>
            <w:pStyle w:val="67D29EC86DE6476AA636D10BE3F06E0E"/>
          </w:pPr>
          <w:r>
            <w:t xml:space="preserve"> </w:t>
          </w:r>
        </w:p>
      </w:docPartBody>
    </w:docPart>
    <w:docPart>
      <w:docPartPr>
        <w:name w:val="1F59F13649374F939734B016AB0E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F7968-DC04-4BC5-9B08-393DC5A9D943}"/>
      </w:docPartPr>
      <w:docPartBody>
        <w:p w:rsidR="00D44E91" w:rsidRDefault="003D32AD"/>
      </w:docPartBody>
    </w:docPart>
    <w:docPart>
      <w:docPartPr>
        <w:name w:val="1AD0092890404A4682DBCF3EF4903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D6438-D4F0-47F2-A93F-CD89108B73ED}"/>
      </w:docPartPr>
      <w:docPartBody>
        <w:p w:rsidR="00000000" w:rsidRDefault="003D32AD">
          <w:r>
            <w:t xml:space="preserve"> </w:t>
          </w:r>
        </w:p>
      </w:docPartBody>
    </w:docPart>
    <w:docPart>
      <w:docPartPr>
        <w:name w:val="9FB79CED4BCC4E58AD1C772A3B453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F9F8E-2CB1-4315-908C-D011E325BED5}"/>
      </w:docPartPr>
      <w:docPartBody>
        <w:p w:rsidR="00000000" w:rsidRDefault="003D32AD">
          <w:r>
            <w:t>:1184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EC"/>
    <w:rsid w:val="003D32AD"/>
    <w:rsid w:val="008807EC"/>
    <w:rsid w:val="00C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D32AD"/>
    <w:rPr>
      <w:color w:val="F4B083" w:themeColor="accent2" w:themeTint="99"/>
    </w:rPr>
  </w:style>
  <w:style w:type="paragraph" w:customStyle="1" w:styleId="9526309D98B54BBD9771C62A78C62B6A">
    <w:name w:val="9526309D98B54BBD9771C62A78C62B6A"/>
  </w:style>
  <w:style w:type="paragraph" w:customStyle="1" w:styleId="1A02E19D9BB64D07BED4663FB192D44B">
    <w:name w:val="1A02E19D9BB64D07BED4663FB192D44B"/>
  </w:style>
  <w:style w:type="paragraph" w:customStyle="1" w:styleId="B5E6AD1325A747DBBEC6DC680332A0E0">
    <w:name w:val="B5E6AD1325A747DBBEC6DC680332A0E0"/>
  </w:style>
  <w:style w:type="paragraph" w:customStyle="1" w:styleId="67D29EC86DE6476AA636D10BE3F06E0E">
    <w:name w:val="67D29EC86DE6476AA636D10BE3F06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73644E-3101-4A9E-82C6-09E383702BAC}"/>
</file>

<file path=customXml/itemProps2.xml><?xml version="1.0" encoding="utf-8"?>
<ds:datastoreItem xmlns:ds="http://schemas.openxmlformats.org/officeDocument/2006/customXml" ds:itemID="{6176BD47-B8E8-49C0-9D82-40CF3E0F2480}"/>
</file>

<file path=customXml/itemProps3.xml><?xml version="1.0" encoding="utf-8"?>
<ds:datastoreItem xmlns:ds="http://schemas.openxmlformats.org/officeDocument/2006/customXml" ds:itemID="{F625C20D-3A14-44BF-AAF2-44E5A92B5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1616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PBL måste göra tydligt mindre avvikelser från detaljplan ska underlättas för enskilda och små företag</vt:lpstr>
      <vt:lpstr>
      </vt:lpstr>
    </vt:vector>
  </TitlesOfParts>
  <Company>Sveriges riksdag</Company>
  <LinksUpToDate>false</LinksUpToDate>
  <CharactersWithSpaces>1891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