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42548D84D6E47F1B7BF717B5180AAA7"/>
        </w:placeholder>
        <w15:appearance w15:val="hidden"/>
        <w:text/>
      </w:sdtPr>
      <w:sdtEndPr/>
      <w:sdtContent>
        <w:p w:rsidRPr="009B062B" w:rsidR="00AF30DD" w:rsidP="009B062B" w:rsidRDefault="00AF30DD" w14:paraId="601113E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3"/>
        <w:tag w:val="4056bb68-c33d-40a4-bb96-15b51211b857"/>
        <w:id w:val="-666547500"/>
        <w:lock w:val="sdtLocked"/>
      </w:sdtPr>
      <w:sdtEndPr/>
      <w:sdtContent>
        <w:p w:rsidR="004F22F4" w:rsidP="00F25C88" w:rsidRDefault="003E5863" w14:paraId="601113E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mer av schabloniserade bidrag till kommunerna utan ansökningskrav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E896387BE0841299C1E83B43D149306"/>
        </w:placeholder>
        <w15:appearance w15:val="hidden"/>
        <w:text/>
      </w:sdtPr>
      <w:sdtEndPr/>
      <w:sdtContent>
        <w:p w:rsidRPr="009B062B" w:rsidR="006D79C9" w:rsidP="00333E95" w:rsidRDefault="006D79C9" w14:paraId="601113E5" w14:textId="77777777">
          <w:pPr>
            <w:pStyle w:val="Rubrik1"/>
          </w:pPr>
          <w:r>
            <w:t>Motivering</w:t>
          </w:r>
        </w:p>
      </w:sdtContent>
    </w:sdt>
    <w:p w:rsidR="00525AF4" w:rsidP="00525AF4" w:rsidRDefault="00994132" w14:paraId="601113E6" w14:textId="77777777">
      <w:pPr>
        <w:pStyle w:val="Normalutanindragellerluft"/>
      </w:pPr>
      <w:r>
        <w:t>Riksrevisionen har granskat det statliga systemet för ersättning till kommuner inom migrations- och integrationsområdet.</w:t>
      </w:r>
      <w:r w:rsidR="009F700A">
        <w:t xml:space="preserve"> Staten ersätter kommunerna för kostnader för mottagande av asylsökande och nyanlända genom ett stort antal olika ersättningar, som också ökat kraftigt i storlek. Vad Riksrevisionen har granskat är om staten har utformat ersättningssystemet så att kommunernas ekonomiska och planeringsmässiga förutsätt</w:t>
      </w:r>
      <w:r w:rsidR="009F700A">
        <w:softHyphen/>
        <w:t xml:space="preserve">ningar är på </w:t>
      </w:r>
      <w:r w:rsidR="00203741">
        <w:t>plats.</w:t>
      </w:r>
      <w:r w:rsidR="00C97BBD">
        <w:t xml:space="preserve"> </w:t>
      </w:r>
    </w:p>
    <w:p w:rsidR="00525AF4" w:rsidP="00525AF4" w:rsidRDefault="00C97BBD" w14:paraId="601113E7" w14:textId="15B85438">
      <w:r>
        <w:t xml:space="preserve">Riksrevisionen konstaterar att det finns förutsättningar för att förbättra systemen och riktar </w:t>
      </w:r>
      <w:r w:rsidR="00525AF4">
        <w:t>ett antal</w:t>
      </w:r>
      <w:r>
        <w:t xml:space="preserve"> uppmaningar till regeringen respektive Migrationsverket.</w:t>
      </w:r>
      <w:r w:rsidR="00525AF4">
        <w:t xml:space="preserve"> Regeringen bör förtydliga vilka principer som ska gälla för </w:t>
      </w:r>
      <w:r w:rsidR="00525AF4">
        <w:lastRenderedPageBreak/>
        <w:t>kostnads</w:t>
      </w:r>
      <w:r w:rsidR="00525AF4">
        <w:softHyphen/>
        <w:t>fördelningen, systematiskt följa upp kommunernas faktis</w:t>
      </w:r>
      <w:r w:rsidR="00AC02EB">
        <w:t>ka kostnader</w:t>
      </w:r>
      <w:r w:rsidR="00525AF4">
        <w:t xml:space="preserve"> och se över avvägningen mellan träffsäkerhet och enkelhet för att förenkla äv</w:t>
      </w:r>
      <w:r w:rsidR="00AC02EB">
        <w:t>en de delar av ersättningssystem</w:t>
      </w:r>
      <w:r w:rsidR="00525AF4">
        <w:t>et som inte omfattar ensam</w:t>
      </w:r>
      <w:r w:rsidR="00525AF4">
        <w:softHyphen/>
        <w:t>kommande. Riksrevisionen menar att schablonersättningar bör användas i så hög utsträck</w:t>
      </w:r>
      <w:r w:rsidR="00113001">
        <w:softHyphen/>
      </w:r>
      <w:r w:rsidR="00525AF4">
        <w:t>ning som möjligt, och flera andra ersättningar kan tas bort. Ansöknings</w:t>
      </w:r>
      <w:r w:rsidR="00525AF4">
        <w:softHyphen/>
        <w:t>förfarande</w:t>
      </w:r>
      <w:r w:rsidR="00AC02EB">
        <w:t>t</w:t>
      </w:r>
      <w:r w:rsidR="00525AF4">
        <w:t xml:space="preserve"> bör tillämpas i mindre utsträckning.</w:t>
      </w:r>
    </w:p>
    <w:p w:rsidR="00525AF4" w:rsidP="00525AF4" w:rsidRDefault="00525AF4" w14:paraId="601113E8" w14:textId="77777777">
      <w:r>
        <w:t xml:space="preserve">Regeringen svarar på skrivelsen med att schabloniseringar </w:t>
      </w:r>
      <w:r w:rsidR="00113001">
        <w:t>av ersättningar för ensamkommande redan har ägt rum, och att ytterligare översyn av förändringar i ersättningssystemens utformning ska komma när Mottagandeutredningen presenterat sitt slutbetänkande.</w:t>
      </w:r>
    </w:p>
    <w:p w:rsidR="00113001" w:rsidP="00525AF4" w:rsidRDefault="00113001" w14:paraId="601113E9" w14:textId="77777777">
      <w:r>
        <w:t>Centerpartiet delar Riksrevisionens syn på att ansökningsförfaranden bör minimeras och att ersättningssystemen behöver ses över bredare. Här invänder inte heller re</w:t>
      </w:r>
      <w:r w:rsidR="00B4563B">
        <w:t>geringen. Men vi ser behov av betydligt större reformer av mottagandet och etableringen, och vill se ett större ansvar – med tillhörande finansiering – flyttas till kommunerna.</w:t>
      </w:r>
    </w:p>
    <w:p w:rsidR="00B4563B" w:rsidP="00B4563B" w:rsidRDefault="006264C8" w14:paraId="601113EA" w14:textId="77777777">
      <w:r w:rsidRPr="006264C8">
        <w:t xml:space="preserve">Första linjen i asylmottagandet är just Sveriges kommuner. Det är på asylboenden, i familjehem, på förskolor och grundskolor, sfi, vårdcentraler och HVB-hem mottagandet sker i praktiken. Många kommuner och </w:t>
      </w:r>
      <w:r w:rsidRPr="006264C8">
        <w:lastRenderedPageBreak/>
        <w:t xml:space="preserve">landsting har en pressad situation och kämpar mot kostnadsökningar, stelbenta regler och fyrkantiga byråkratier för att kunna uppfylla vad som förväntas och krävs av dem. </w:t>
      </w:r>
    </w:p>
    <w:p w:rsidRPr="009F700A" w:rsidR="009F700A" w:rsidP="009F700A" w:rsidRDefault="009F700A" w14:paraId="601113EB" w14:textId="77777777">
      <w:r w:rsidRPr="009F700A">
        <w:t>Landets kommuner behöver en större långsiktighet i sitt arbete. Därför vill Center</w:t>
      </w:r>
      <w:r w:rsidRPr="009F700A">
        <w:softHyphen/>
        <w:t>partiet att etablerings</w:t>
      </w:r>
      <w:r w:rsidRPr="009F700A">
        <w:softHyphen/>
        <w:t>reformen dras tillbaka samtidigt som kommunerna övertar upp</w:t>
      </w:r>
      <w:r w:rsidRPr="009F700A">
        <w:softHyphen/>
        <w:t xml:space="preserve">draget att ta emot asylsökande. Syftet är att man redan </w:t>
      </w:r>
      <w:r w:rsidR="00B4563B">
        <w:t>från asylansökan ska kommun</w:t>
      </w:r>
      <w:r w:rsidR="00BC72F7">
        <w:softHyphen/>
      </w:r>
      <w:r w:rsidR="00B4563B">
        <w:t xml:space="preserve">placeras. Under </w:t>
      </w:r>
      <w:r w:rsidRPr="009F700A">
        <w:t xml:space="preserve">asyltiden ska </w:t>
      </w:r>
      <w:r w:rsidR="00B4563B">
        <w:t xml:space="preserve">man då också </w:t>
      </w:r>
      <w:r w:rsidRPr="009F700A">
        <w:t>kunna initiera etableringen lokalt. På detta sätt kan kommun</w:t>
      </w:r>
      <w:r w:rsidRPr="009F700A">
        <w:softHyphen/>
        <w:t>erna skaffa sig ett inflytande över anläggningsboendena som man hittills inte haft. Behovet av en bättre dialog mellan myndigheter och kommuner är alltjämt stort.</w:t>
      </w:r>
    </w:p>
    <w:p w:rsidRPr="009F700A" w:rsidR="009F700A" w:rsidP="009F700A" w:rsidRDefault="009F700A" w14:paraId="601113EC" w14:textId="77777777">
      <w:r w:rsidRPr="009F700A">
        <w:t>Migrationsverkets roll</w:t>
      </w:r>
      <w:r w:rsidR="00B4563B">
        <w:t xml:space="preserve"> bör också</w:t>
      </w:r>
      <w:r w:rsidRPr="009F700A">
        <w:t xml:space="preserve"> renodlas till att omfatta asyl</w:t>
      </w:r>
      <w:r w:rsidRPr="009F700A">
        <w:softHyphen/>
      </w:r>
      <w:r w:rsidRPr="009F700A">
        <w:softHyphen/>
        <w:t>processen, samt till att utöva tillsyn för att upprätthålla kvaliteten i mot</w:t>
      </w:r>
      <w:r w:rsidRPr="009F700A">
        <w:softHyphen/>
        <w:t>tagandet. På så vis skapas förut</w:t>
      </w:r>
      <w:r w:rsidR="00B4563B">
        <w:softHyphen/>
      </w:r>
      <w:r w:rsidRPr="009F700A">
        <w:t>sätt</w:t>
      </w:r>
      <w:r w:rsidR="00B4563B">
        <w:softHyphen/>
      </w:r>
      <w:r w:rsidRPr="009F700A">
        <w:t>ningar för att korta Migrationsverkets hand</w:t>
      </w:r>
      <w:r w:rsidRPr="009F700A">
        <w:softHyphen/>
        <w:t>läggnings</w:t>
      </w:r>
      <w:r w:rsidRPr="009F700A">
        <w:softHyphen/>
        <w:t>tider och stärka kompetensen hos handläggarna. Ersättningen till kommunerna måste givetvis utformas så att den täcker kostnaderna för kommun</w:t>
      </w:r>
      <w:r w:rsidRPr="009F700A">
        <w:softHyphen/>
        <w:t>sektorns åtaganden. Migra</w:t>
      </w:r>
      <w:r w:rsidRPr="009F700A">
        <w:softHyphen/>
        <w:t>tions</w:t>
      </w:r>
      <w:r w:rsidRPr="009F700A">
        <w:softHyphen/>
        <w:t>verkets roll som tillsyns</w:t>
      </w:r>
      <w:r w:rsidR="00B4563B">
        <w:softHyphen/>
      </w:r>
      <w:r w:rsidRPr="009F700A">
        <w:t>myndighet ska dock innebära att brister i mottagandet med</w:t>
      </w:r>
      <w:r w:rsidRPr="009F700A">
        <w:softHyphen/>
        <w:t>för åtgärder och att ersätt</w:t>
      </w:r>
      <w:r w:rsidR="004A6063">
        <w:softHyphen/>
      </w:r>
      <w:r w:rsidRPr="009F700A">
        <w:t xml:space="preserve">ningen kan sänkas för den kommun som inte levt upp till sitt ansvar. </w:t>
      </w:r>
      <w:r w:rsidRPr="009F700A">
        <w:lastRenderedPageBreak/>
        <w:t>Till detta hör att tydliga krav på kvalitet och tillgång till sysselsättning, såsom utbildning eller praktik, ska ställas när asyl</w:t>
      </w:r>
      <w:r w:rsidRPr="009F700A">
        <w:softHyphen/>
        <w:t>boenden upphandlas.</w:t>
      </w:r>
    </w:p>
    <w:p w:rsidR="00BC72F7" w:rsidP="00BC72F7" w:rsidRDefault="009F700A" w14:paraId="601113ED" w14:textId="77777777">
      <w:r w:rsidRPr="009F700A">
        <w:t>Etableringsreformen, som flyttade ansvaret för nyanländas etablering i Sverige från kommunerna till Arbetsförmedlingen, har inte lett till de förbättringar som var syftet.</w:t>
      </w:r>
      <w:r w:rsidR="00B4563B">
        <w:t xml:space="preserve"> </w:t>
      </w:r>
      <w:r w:rsidRPr="009F700A">
        <w:t>Trots högre kostnader har andelen i arbete inte ökat. Etableringen på arbetsmarknaden är på en fortsatt låg nivå. Arbetsförmed</w:t>
      </w:r>
      <w:r w:rsidRPr="009F700A">
        <w:softHyphen/>
        <w:t>lingens misslyckande gör det nödvändigt att återigen ge kommunerna ansvaret för de nyanländas etablering. Därför föreslår Center</w:t>
      </w:r>
      <w:r w:rsidRPr="009F700A">
        <w:softHyphen/>
        <w:t>partiet att etableringsreformen dras tillbaka och att kommunerna får ansvaret för etableringen.</w:t>
      </w:r>
      <w:r w:rsidR="00B4563B">
        <w:t xml:space="preserve"> </w:t>
      </w:r>
      <w:r w:rsidRPr="007C3EB9" w:rsidR="007C3EB9">
        <w:t xml:space="preserve">Givetvis ska statens </w:t>
      </w:r>
      <w:r w:rsidR="00B4563B">
        <w:t>kostnader</w:t>
      </w:r>
      <w:r w:rsidRPr="007C3EB9" w:rsidR="007C3EB9">
        <w:t xml:space="preserve"> inte lämpas över på kommunerna, utan kostnaderna för nyanlända ska fortsatt täckas.</w:t>
      </w:r>
    </w:p>
    <w:p w:rsidRPr="001C5EE3" w:rsidR="00BC72F7" w:rsidP="00BC72F7" w:rsidRDefault="00BC72F7" w14:paraId="601113EE" w14:textId="50FE561A">
      <w:r>
        <w:t>För att mer av schabloniseringar ska få ett reellt genomslag måste också regel</w:t>
      </w:r>
      <w:r>
        <w:softHyphen/>
        <w:t xml:space="preserve">bördan för kommuner ses över. </w:t>
      </w:r>
      <w:r w:rsidRPr="00BC72F7">
        <w:t>Det är på asylboenden, i familjehem, på förskolor och grund</w:t>
      </w:r>
      <w:r>
        <w:softHyphen/>
      </w:r>
      <w:r w:rsidRPr="00BC72F7">
        <w:t>skolor, sfi, vårdcentraler</w:t>
      </w:r>
      <w:r>
        <w:t>, HVB-hem, komvux och jobbtor</w:t>
      </w:r>
      <w:r w:rsidR="00AC02EB">
        <w:t>g</w:t>
      </w:r>
      <w:bookmarkStart w:name="_GoBack" w:id="1"/>
      <w:bookmarkEnd w:id="1"/>
      <w:r>
        <w:t xml:space="preserve">, och mycket mer, som </w:t>
      </w:r>
      <w:r w:rsidRPr="00BC72F7">
        <w:t>mot</w:t>
      </w:r>
      <w:r>
        <w:softHyphen/>
      </w:r>
      <w:r w:rsidRPr="00BC72F7">
        <w:t xml:space="preserve">tagandet </w:t>
      </w:r>
      <w:r>
        <w:t xml:space="preserve">och etableringen </w:t>
      </w:r>
      <w:r w:rsidRPr="00BC72F7">
        <w:t>sker i praktiken.</w:t>
      </w:r>
      <w:r>
        <w:t xml:space="preserve"> Kommunerna måste få ett utrymme att utforma detta på bästa sätt. Regeringen borde brett se över vilka regler, krav och belastningar för kommunerna som kan minskas.</w:t>
      </w:r>
    </w:p>
    <w:p w:rsidRPr="00881181" w:rsidR="00881181" w:rsidP="00881181" w:rsidRDefault="00881181" w14:paraId="601113E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A32E8583AD449EB2225EDA0BF7750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47EB2" w:rsidRDefault="00AC02EB" w14:paraId="601113F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Jönsson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32D08" w:rsidRDefault="00932D08" w14:paraId="601113F4" w14:textId="77777777"/>
    <w:sectPr w:rsidR="00932D0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113F6" w14:textId="77777777" w:rsidR="00BE1CB5" w:rsidRDefault="00BE1CB5" w:rsidP="000C1CAD">
      <w:pPr>
        <w:spacing w:line="240" w:lineRule="auto"/>
      </w:pPr>
      <w:r>
        <w:separator/>
      </w:r>
    </w:p>
  </w:endnote>
  <w:endnote w:type="continuationSeparator" w:id="0">
    <w:p w14:paraId="601113F7" w14:textId="77777777" w:rsidR="00BE1CB5" w:rsidRDefault="00BE1C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113F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113FD" w14:textId="6E0EAEB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C02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113F4" w14:textId="77777777" w:rsidR="00BE1CB5" w:rsidRDefault="00BE1CB5" w:rsidP="000C1CAD">
      <w:pPr>
        <w:spacing w:line="240" w:lineRule="auto"/>
      </w:pPr>
      <w:r>
        <w:separator/>
      </w:r>
    </w:p>
  </w:footnote>
  <w:footnote w:type="continuationSeparator" w:id="0">
    <w:p w14:paraId="601113F5" w14:textId="77777777" w:rsidR="00BE1CB5" w:rsidRDefault="00BE1C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01113F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111407" wp14:anchorId="601114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C02EB" w14:paraId="601114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6D92349CB24813B83E33A1A4EAB82D"/>
                              </w:placeholder>
                              <w:text/>
                            </w:sdtPr>
                            <w:sdtEndPr/>
                            <w:sdtContent>
                              <w:r w:rsidR="00E82DE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89F07EBF934EA590C73483BCCF4E0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1114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C02EB" w14:paraId="601114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6D92349CB24813B83E33A1A4EAB82D"/>
                        </w:placeholder>
                        <w:text/>
                      </w:sdtPr>
                      <w:sdtEndPr/>
                      <w:sdtContent>
                        <w:r w:rsidR="00E82DE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89F07EBF934EA590C73483BCCF4E09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01113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C02EB" w14:paraId="601113F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B89F07EBF934EA590C73483BCCF4E09"/>
        </w:placeholder>
        <w:text/>
      </w:sdtPr>
      <w:sdtEndPr/>
      <w:sdtContent>
        <w:r w:rsidR="00E82DE3">
          <w:t>C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601113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C02EB" w14:paraId="601113F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82DE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AC02EB" w14:paraId="601113F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C02EB" w14:paraId="601114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C02EB" w14:paraId="6011140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:3922</w:t>
        </w:r>
      </w:sdtContent>
    </w:sdt>
  </w:p>
  <w:p w:rsidR="004F35FE" w:rsidP="00E03A3D" w:rsidRDefault="00AC02EB" w14:paraId="6011140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Johanna Jönsson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E5863" w14:paraId="60111403" w14:textId="16C105F2">
        <w:pPr>
          <w:pStyle w:val="FSHRub2"/>
        </w:pPr>
        <w:r>
          <w:t>med anledning av skr. 2017/18:33 Riksrevisionens rapport om kommunersättningar för migration och integration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011140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5214D53"/>
    <w:multiLevelType w:val="hybridMultilevel"/>
    <w:tmpl w:val="272E5C56"/>
    <w:lvl w:ilvl="0" w:tplc="B7A00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342E8"/>
    <w:multiLevelType w:val="hybridMultilevel"/>
    <w:tmpl w:val="50DC5CEA"/>
    <w:lvl w:ilvl="0" w:tplc="EC785F30">
      <w:numFmt w:val="bullet"/>
      <w:lvlText w:val=""/>
      <w:lvlJc w:val="left"/>
      <w:pPr>
        <w:ind w:left="70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7"/>
  </w:num>
  <w:num w:numId="14">
    <w:abstractNumId w:val="19"/>
  </w:num>
  <w:num w:numId="15">
    <w:abstractNumId w:val="13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6"/>
  </w:num>
  <w:num w:numId="31">
    <w:abstractNumId w:val="18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E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382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3001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5EE3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741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5863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A6063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197E"/>
    <w:rsid w:val="004F22F4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5AF4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4C8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51E2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27110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8A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0363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3EB9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2D08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0B49"/>
    <w:rsid w:val="00992414"/>
    <w:rsid w:val="00992FAB"/>
    <w:rsid w:val="00994132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00A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47EB2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20B"/>
    <w:rsid w:val="00AB7EC3"/>
    <w:rsid w:val="00AC01B5"/>
    <w:rsid w:val="00AC02EB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63B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2F7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1CB5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97BBD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2DE3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5C88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1439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8FD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1113DF"/>
  <w15:chartTrackingRefBased/>
  <w15:docId w15:val="{1EC28F04-50CD-4DBD-8C40-ED8D8182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2548D84D6E47F1B7BF717B5180A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108CA-E3D9-4D5C-857F-44375B1AAE62}"/>
      </w:docPartPr>
      <w:docPartBody>
        <w:p w:rsidR="00BE3DB6" w:rsidRDefault="001D5E33">
          <w:pPr>
            <w:pStyle w:val="242548D84D6E47F1B7BF717B5180AA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896387BE0841299C1E83B43D1493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6747E-21EF-454F-9806-26D01F363B60}"/>
      </w:docPartPr>
      <w:docPartBody>
        <w:p w:rsidR="00BE3DB6" w:rsidRDefault="001D5E33">
          <w:pPr>
            <w:pStyle w:val="5E896387BE0841299C1E83B43D1493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A32E8583AD449EB2225EDA0BF77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88C76-FC03-4023-AB58-25A81B5C2D5C}"/>
      </w:docPartPr>
      <w:docPartBody>
        <w:p w:rsidR="00BE3DB6" w:rsidRDefault="001D5E33">
          <w:pPr>
            <w:pStyle w:val="13A32E8583AD449EB2225EDA0BF7750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76D92349CB24813B83E33A1A4EAB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5FFF6-3967-4159-8AA5-AF268EA6A443}"/>
      </w:docPartPr>
      <w:docPartBody>
        <w:p w:rsidR="00BE3DB6" w:rsidRDefault="001D5E33">
          <w:pPr>
            <w:pStyle w:val="076D92349CB24813B83E33A1A4EAB8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89F07EBF934EA590C73483BCCF4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CC8A9-A895-4B9D-AE4F-50D2115EBC07}"/>
      </w:docPartPr>
      <w:docPartBody>
        <w:p w:rsidR="00BE3DB6" w:rsidRDefault="001D5E33">
          <w:pPr>
            <w:pStyle w:val="1B89F07EBF934EA590C73483BCCF4E0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3B0D6-AD8D-44B0-A29B-C291CAF9AF09}"/>
      </w:docPartPr>
      <w:docPartBody>
        <w:p w:rsidR="00BE3DB6" w:rsidRDefault="00E108E7">
          <w:r w:rsidRPr="009D794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E7"/>
    <w:rsid w:val="001D5E33"/>
    <w:rsid w:val="00BE3DB6"/>
    <w:rsid w:val="00E1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08E7"/>
    <w:rPr>
      <w:color w:val="F4B083" w:themeColor="accent2" w:themeTint="99"/>
    </w:rPr>
  </w:style>
  <w:style w:type="paragraph" w:customStyle="1" w:styleId="242548D84D6E47F1B7BF717B5180AAA7">
    <w:name w:val="242548D84D6E47F1B7BF717B5180AAA7"/>
  </w:style>
  <w:style w:type="paragraph" w:customStyle="1" w:styleId="69CF7239BC8F443E9F7B6490C20FC2FE">
    <w:name w:val="69CF7239BC8F443E9F7B6490C20FC2FE"/>
  </w:style>
  <w:style w:type="paragraph" w:customStyle="1" w:styleId="7A1B52B8481240E38632FE3F461E95FD">
    <w:name w:val="7A1B52B8481240E38632FE3F461E95FD"/>
  </w:style>
  <w:style w:type="paragraph" w:customStyle="1" w:styleId="5E896387BE0841299C1E83B43D149306">
    <w:name w:val="5E896387BE0841299C1E83B43D149306"/>
  </w:style>
  <w:style w:type="paragraph" w:customStyle="1" w:styleId="13A32E8583AD449EB2225EDA0BF77505">
    <w:name w:val="13A32E8583AD449EB2225EDA0BF77505"/>
  </w:style>
  <w:style w:type="paragraph" w:customStyle="1" w:styleId="076D92349CB24813B83E33A1A4EAB82D">
    <w:name w:val="076D92349CB24813B83E33A1A4EAB82D"/>
  </w:style>
  <w:style w:type="paragraph" w:customStyle="1" w:styleId="1B89F07EBF934EA590C73483BCCF4E09">
    <w:name w:val="1B89F07EBF934EA590C73483BCCF4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9ACB5-8C24-4524-BC6E-BA73E8706F7D}"/>
</file>

<file path=customXml/itemProps2.xml><?xml version="1.0" encoding="utf-8"?>
<ds:datastoreItem xmlns:ds="http://schemas.openxmlformats.org/officeDocument/2006/customXml" ds:itemID="{DA3841BC-0C47-4962-8C4C-ED0778D1D3D4}"/>
</file>

<file path=customXml/itemProps3.xml><?xml version="1.0" encoding="utf-8"?>
<ds:datastoreItem xmlns:ds="http://schemas.openxmlformats.org/officeDocument/2006/customXml" ds:itemID="{AA44773B-39C2-4EC9-A23A-212575D50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628</Words>
  <Characters>4043</Characters>
  <Application>Microsoft Office Word</Application>
  <DocSecurity>0</DocSecurity>
  <Lines>69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skr  2017 18 33 Riksrevisionens rapport om kommunersättningar för migration och integration</vt:lpstr>
      <vt:lpstr>
      </vt:lpstr>
    </vt:vector>
  </TitlesOfParts>
  <Company>Sveriges riksdag</Company>
  <LinksUpToDate>false</LinksUpToDate>
  <CharactersWithSpaces>4656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