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rsidTr="00103F5F">
        <w:trPr>
          <w:cantSplit/>
          <w:trHeight w:val="742"/>
        </w:trPr>
        <w:tc>
          <w:tcPr>
            <w:tcW w:w="1985" w:type="dxa"/>
          </w:tcPr>
          <w:p w:rsidR="0096348C" w:rsidRDefault="00C07F65" w:rsidP="0096348C">
            <w:pPr>
              <w:rPr>
                <w:b/>
              </w:rPr>
            </w:pPr>
            <w:r>
              <w:rPr>
                <w:b/>
              </w:rPr>
              <w:t xml:space="preserve">Protokoll </w:t>
            </w:r>
          </w:p>
        </w:tc>
        <w:tc>
          <w:tcPr>
            <w:tcW w:w="6237" w:type="dxa"/>
          </w:tcPr>
          <w:p w:rsidR="0096348C" w:rsidRDefault="00F5222B" w:rsidP="00E97AED">
            <w:pPr>
              <w:ind w:right="-269"/>
              <w:rPr>
                <w:b/>
              </w:rPr>
            </w:pPr>
            <w:r>
              <w:rPr>
                <w:b/>
              </w:rPr>
              <w:t>Utskottssammanträde 20</w:t>
            </w:r>
            <w:r w:rsidR="00914E3E">
              <w:rPr>
                <w:b/>
              </w:rPr>
              <w:t>21</w:t>
            </w:r>
            <w:r>
              <w:rPr>
                <w:b/>
              </w:rPr>
              <w:t>/</w:t>
            </w:r>
            <w:r w:rsidR="00917732">
              <w:rPr>
                <w:b/>
              </w:rPr>
              <w:t>2</w:t>
            </w:r>
            <w:r w:rsidR="00914E3E">
              <w:rPr>
                <w:b/>
              </w:rPr>
              <w:t>2</w:t>
            </w:r>
            <w:r w:rsidR="00C07F65">
              <w:rPr>
                <w:b/>
              </w:rPr>
              <w:t>:</w:t>
            </w:r>
            <w:r w:rsidR="009F4AAA">
              <w:rPr>
                <w:b/>
              </w:rPr>
              <w:t>3</w:t>
            </w:r>
          </w:p>
          <w:p w:rsidR="0096348C" w:rsidRDefault="0096348C" w:rsidP="00E97AED">
            <w:pPr>
              <w:ind w:right="-269"/>
              <w:rPr>
                <w:b/>
              </w:rPr>
            </w:pPr>
          </w:p>
        </w:tc>
      </w:tr>
      <w:tr w:rsidR="0096348C" w:rsidTr="00103F5F">
        <w:tc>
          <w:tcPr>
            <w:tcW w:w="1985" w:type="dxa"/>
          </w:tcPr>
          <w:p w:rsidR="0096348C" w:rsidRDefault="00C07F65" w:rsidP="0096348C">
            <w:r>
              <w:t>Datum</w:t>
            </w:r>
          </w:p>
        </w:tc>
        <w:tc>
          <w:tcPr>
            <w:tcW w:w="6237" w:type="dxa"/>
          </w:tcPr>
          <w:p w:rsidR="008035C8" w:rsidRDefault="00A257B8" w:rsidP="00AF3CA6">
            <w:pPr>
              <w:ind w:right="355"/>
            </w:pPr>
            <w:r>
              <w:t>20</w:t>
            </w:r>
            <w:r w:rsidR="00CF36BC">
              <w:t>2</w:t>
            </w:r>
            <w:r w:rsidR="00914E3E">
              <w:t>1</w:t>
            </w:r>
            <w:r w:rsidR="005D4E46">
              <w:t>-09-21</w:t>
            </w:r>
          </w:p>
        </w:tc>
      </w:tr>
      <w:tr w:rsidR="0096348C" w:rsidTr="00103F5F">
        <w:tc>
          <w:tcPr>
            <w:tcW w:w="1985" w:type="dxa"/>
          </w:tcPr>
          <w:p w:rsidR="0096348C" w:rsidRDefault="00C07F65" w:rsidP="0096348C">
            <w:r>
              <w:t>Tid</w:t>
            </w:r>
          </w:p>
        </w:tc>
        <w:tc>
          <w:tcPr>
            <w:tcW w:w="6237" w:type="dxa"/>
          </w:tcPr>
          <w:p w:rsidR="0096348C" w:rsidRDefault="00111135" w:rsidP="00AF3CA6">
            <w:pPr>
              <w:ind w:right="-269"/>
            </w:pPr>
            <w:r>
              <w:t xml:space="preserve">kl. </w:t>
            </w:r>
            <w:r w:rsidR="005D4E46">
              <w:t>10.30</w:t>
            </w:r>
            <w:r w:rsidR="00682429">
              <w:t>-12.09</w:t>
            </w:r>
          </w:p>
        </w:tc>
      </w:tr>
      <w:tr w:rsidR="0096348C" w:rsidTr="00103F5F">
        <w:tc>
          <w:tcPr>
            <w:tcW w:w="1985" w:type="dxa"/>
          </w:tcPr>
          <w:p w:rsidR="0096348C" w:rsidRDefault="00C07F65" w:rsidP="0096348C">
            <w:r>
              <w:t>Närvarande</w:t>
            </w:r>
          </w:p>
        </w:tc>
        <w:tc>
          <w:tcPr>
            <w:tcW w:w="6237" w:type="dxa"/>
          </w:tcPr>
          <w:p w:rsidR="0096348C" w:rsidRDefault="0096348C" w:rsidP="00E97AED">
            <w:pPr>
              <w:ind w:right="-269"/>
            </w:pPr>
            <w:r>
              <w:t>Se bilaga 1</w:t>
            </w:r>
          </w:p>
          <w:p w:rsidR="003C0E60" w:rsidRDefault="003C0E60" w:rsidP="00E97AED">
            <w:pPr>
              <w:ind w:right="-269"/>
            </w:pPr>
          </w:p>
        </w:tc>
      </w:tr>
    </w:tbl>
    <w:p w:rsidR="0096348C" w:rsidRDefault="0096348C"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639"/>
        <w:gridCol w:w="7583"/>
      </w:tblGrid>
      <w:tr w:rsidR="00191D2E" w:rsidTr="00637BF4">
        <w:tc>
          <w:tcPr>
            <w:tcW w:w="639" w:type="dxa"/>
          </w:tcPr>
          <w:p w:rsidR="00191D2E" w:rsidRDefault="00191D2E" w:rsidP="00191D2E">
            <w:pPr>
              <w:tabs>
                <w:tab w:val="left" w:pos="1701"/>
              </w:tabs>
              <w:rPr>
                <w:b/>
                <w:snapToGrid w:val="0"/>
              </w:rPr>
            </w:pPr>
            <w:r>
              <w:rPr>
                <w:b/>
                <w:snapToGrid w:val="0"/>
              </w:rPr>
              <w:t>§ 1</w:t>
            </w:r>
          </w:p>
        </w:tc>
        <w:tc>
          <w:tcPr>
            <w:tcW w:w="7583" w:type="dxa"/>
          </w:tcPr>
          <w:p w:rsidR="00191D2E" w:rsidRDefault="00191D2E" w:rsidP="00191D2E">
            <w:pPr>
              <w:outlineLvl w:val="0"/>
              <w:rPr>
                <w:b/>
              </w:rPr>
            </w:pPr>
            <w:r w:rsidRPr="00717F37">
              <w:rPr>
                <w:b/>
              </w:rPr>
              <w:t>Fråga om medgivande till deltagande på distans</w:t>
            </w:r>
          </w:p>
          <w:p w:rsidR="00191D2E" w:rsidRDefault="00191D2E" w:rsidP="00191D2E">
            <w:pPr>
              <w:outlineLvl w:val="0"/>
              <w:rPr>
                <w:snapToGrid w:val="0"/>
                <w:szCs w:val="24"/>
              </w:rPr>
            </w:pPr>
            <w:r w:rsidRPr="000E3445">
              <w:rPr>
                <w:szCs w:val="24"/>
              </w:rPr>
              <w:t xml:space="preserve">Utskottet medgav deltagande på distans för följande ordinarie ledamöter och suppleanter: </w:t>
            </w:r>
            <w:r w:rsidRPr="000E3445">
              <w:rPr>
                <w:snapToGrid w:val="0"/>
                <w:szCs w:val="24"/>
              </w:rPr>
              <w:t>Gunilla Carlsson (S),</w:t>
            </w:r>
            <w:r>
              <w:rPr>
                <w:snapToGrid w:val="0"/>
                <w:szCs w:val="24"/>
              </w:rPr>
              <w:t xml:space="preserve"> </w:t>
            </w:r>
            <w:r w:rsidRPr="000E3445">
              <w:rPr>
                <w:snapToGrid w:val="0"/>
                <w:szCs w:val="24"/>
              </w:rPr>
              <w:t xml:space="preserve">Adnan Dibrani </w:t>
            </w:r>
            <w:r w:rsidRPr="000E3445">
              <w:rPr>
                <w:spacing w:val="4"/>
                <w:kern w:val="16"/>
                <w:szCs w:val="24"/>
              </w:rPr>
              <w:t>(S),</w:t>
            </w:r>
            <w:r>
              <w:rPr>
                <w:spacing w:val="4"/>
                <w:kern w:val="16"/>
                <w:szCs w:val="24"/>
              </w:rPr>
              <w:t xml:space="preserve"> </w:t>
            </w:r>
            <w:r>
              <w:rPr>
                <w:snapToGrid w:val="0"/>
                <w:szCs w:val="24"/>
              </w:rPr>
              <w:t xml:space="preserve">Eva Lindh (S), Elisabeth Svantesson (M), Magdalena Schröder (M), Sofia Westergren (M), Alexander Christiansson (SD), Martin Ådahl (C), Robert Halef (KD), </w:t>
            </w:r>
            <w:r w:rsidRPr="000E3445">
              <w:rPr>
                <w:snapToGrid w:val="0"/>
                <w:szCs w:val="24"/>
              </w:rPr>
              <w:t>Mats Persson (L)</w:t>
            </w:r>
            <w:r>
              <w:rPr>
                <w:snapToGrid w:val="0"/>
                <w:szCs w:val="24"/>
              </w:rPr>
              <w:t xml:space="preserve"> och Karolina Skog (MP)</w:t>
            </w:r>
            <w:r w:rsidR="00433A7F">
              <w:rPr>
                <w:snapToGrid w:val="0"/>
                <w:szCs w:val="24"/>
              </w:rPr>
              <w:t>.</w:t>
            </w:r>
          </w:p>
          <w:p w:rsidR="00191D2E" w:rsidRPr="000E3445" w:rsidRDefault="00191D2E" w:rsidP="00191D2E">
            <w:pPr>
              <w:outlineLvl w:val="0"/>
              <w:rPr>
                <w:snapToGrid w:val="0"/>
                <w:szCs w:val="24"/>
              </w:rPr>
            </w:pPr>
          </w:p>
          <w:p w:rsidR="00191D2E" w:rsidRDefault="006B7747" w:rsidP="00191D2E">
            <w:pPr>
              <w:outlineLvl w:val="0"/>
              <w:rPr>
                <w:snapToGrid w:val="0"/>
                <w:szCs w:val="24"/>
              </w:rPr>
            </w:pPr>
            <w:r>
              <w:rPr>
                <w:snapToGrid w:val="0"/>
                <w:szCs w:val="24"/>
              </w:rPr>
              <w:t xml:space="preserve">Sex </w:t>
            </w:r>
            <w:r w:rsidR="00191D2E" w:rsidRPr="000E3445">
              <w:rPr>
                <w:snapToGrid w:val="0"/>
                <w:szCs w:val="24"/>
              </w:rPr>
              <w:t>tjänstemän från finansutskottets kansli var uppkopplade på distans.</w:t>
            </w:r>
          </w:p>
          <w:p w:rsidR="006B7747" w:rsidRPr="000E3445" w:rsidRDefault="006B7747" w:rsidP="00191D2E">
            <w:pPr>
              <w:outlineLvl w:val="0"/>
              <w:rPr>
                <w:snapToGrid w:val="0"/>
                <w:szCs w:val="24"/>
              </w:rPr>
            </w:pPr>
            <w:r>
              <w:rPr>
                <w:snapToGrid w:val="0"/>
                <w:szCs w:val="24"/>
              </w:rPr>
              <w:t>En tjänsteman från EU-nämndens kansli var uppkopplad på distans på punkterna 1-8.</w:t>
            </w:r>
          </w:p>
          <w:p w:rsidR="00191D2E" w:rsidRDefault="00191D2E" w:rsidP="00191D2E">
            <w:pPr>
              <w:outlineLvl w:val="0"/>
              <w:rPr>
                <w:b/>
              </w:rPr>
            </w:pPr>
          </w:p>
        </w:tc>
      </w:tr>
      <w:tr w:rsidR="00191D2E" w:rsidTr="00637BF4">
        <w:tc>
          <w:tcPr>
            <w:tcW w:w="639" w:type="dxa"/>
          </w:tcPr>
          <w:p w:rsidR="00191D2E" w:rsidRDefault="00191D2E" w:rsidP="00191D2E">
            <w:pPr>
              <w:tabs>
                <w:tab w:val="left" w:pos="1701"/>
              </w:tabs>
              <w:rPr>
                <w:b/>
                <w:snapToGrid w:val="0"/>
              </w:rPr>
            </w:pPr>
            <w:r>
              <w:rPr>
                <w:b/>
                <w:snapToGrid w:val="0"/>
              </w:rPr>
              <w:t>§ 2</w:t>
            </w:r>
          </w:p>
        </w:tc>
        <w:tc>
          <w:tcPr>
            <w:tcW w:w="7583" w:type="dxa"/>
          </w:tcPr>
          <w:p w:rsidR="00515EBA" w:rsidRDefault="00191D2E" w:rsidP="00191D2E">
            <w:pPr>
              <w:outlineLvl w:val="0"/>
              <w:rPr>
                <w:rFonts w:eastAsiaTheme="minorHAnsi"/>
                <w:b/>
                <w:bCs/>
                <w:color w:val="000000"/>
                <w:szCs w:val="24"/>
                <w:lang w:eastAsia="en-US"/>
              </w:rPr>
            </w:pPr>
            <w:r>
              <w:rPr>
                <w:rFonts w:eastAsiaTheme="minorHAnsi"/>
                <w:b/>
                <w:bCs/>
                <w:color w:val="000000"/>
                <w:szCs w:val="24"/>
                <w:lang w:eastAsia="en-US"/>
              </w:rPr>
              <w:t xml:space="preserve">Den svenska planen för återhämtning och </w:t>
            </w:r>
            <w:proofErr w:type="spellStart"/>
            <w:r>
              <w:rPr>
                <w:rFonts w:eastAsiaTheme="minorHAnsi"/>
                <w:b/>
                <w:bCs/>
                <w:color w:val="000000"/>
                <w:szCs w:val="24"/>
                <w:lang w:eastAsia="en-US"/>
              </w:rPr>
              <w:t>resiliens</w:t>
            </w:r>
            <w:proofErr w:type="spellEnd"/>
            <w:r>
              <w:rPr>
                <w:rFonts w:eastAsiaTheme="minorHAnsi"/>
                <w:b/>
                <w:bCs/>
                <w:color w:val="000000"/>
                <w:szCs w:val="24"/>
                <w:lang w:eastAsia="en-US"/>
              </w:rPr>
              <w:br/>
            </w:r>
            <w:r w:rsidRPr="00AF46DF">
              <w:rPr>
                <w:rFonts w:eastAsiaTheme="minorHAnsi"/>
                <w:bCs/>
                <w:color w:val="000000"/>
                <w:szCs w:val="24"/>
                <w:lang w:eastAsia="en-US"/>
              </w:rPr>
              <w:t>Statssekreterare Max Elger informerade utskottet och svarade på ledamöternas frågor.</w:t>
            </w:r>
            <w:r>
              <w:rPr>
                <w:rFonts w:eastAsiaTheme="minorHAnsi"/>
                <w:b/>
                <w:bCs/>
                <w:color w:val="000000"/>
                <w:szCs w:val="24"/>
                <w:lang w:eastAsia="en-US"/>
              </w:rPr>
              <w:t xml:space="preserve"> </w:t>
            </w:r>
          </w:p>
          <w:p w:rsidR="00515EBA" w:rsidRDefault="00515EBA" w:rsidP="00191D2E">
            <w:pPr>
              <w:outlineLvl w:val="0"/>
              <w:rPr>
                <w:rFonts w:eastAsiaTheme="minorHAnsi"/>
                <w:b/>
                <w:bCs/>
                <w:color w:val="000000"/>
                <w:szCs w:val="24"/>
                <w:lang w:eastAsia="en-US"/>
              </w:rPr>
            </w:pPr>
          </w:p>
          <w:p w:rsidR="00191D2E" w:rsidRPr="00515EBA" w:rsidRDefault="00515EBA" w:rsidP="00191D2E">
            <w:pPr>
              <w:outlineLvl w:val="0"/>
            </w:pPr>
            <w:r w:rsidRPr="00515EBA">
              <w:rPr>
                <w:rFonts w:eastAsiaTheme="minorHAnsi"/>
                <w:bCs/>
                <w:color w:val="000000"/>
                <w:szCs w:val="24"/>
                <w:lang w:eastAsia="en-US"/>
              </w:rPr>
              <w:t xml:space="preserve">Statssekreteraren och </w:t>
            </w:r>
            <w:r>
              <w:rPr>
                <w:rFonts w:eastAsiaTheme="minorHAnsi"/>
                <w:bCs/>
                <w:color w:val="000000"/>
                <w:szCs w:val="24"/>
                <w:lang w:eastAsia="en-US"/>
              </w:rPr>
              <w:t>fyra</w:t>
            </w:r>
            <w:r w:rsidRPr="00515EBA">
              <w:rPr>
                <w:rFonts w:eastAsiaTheme="minorHAnsi"/>
                <w:bCs/>
                <w:color w:val="000000"/>
                <w:szCs w:val="24"/>
                <w:lang w:eastAsia="en-US"/>
              </w:rPr>
              <w:t xml:space="preserve"> </w:t>
            </w:r>
            <w:r w:rsidR="00E266FD">
              <w:rPr>
                <w:rFonts w:eastAsiaTheme="minorHAnsi"/>
                <w:bCs/>
                <w:color w:val="000000"/>
                <w:szCs w:val="24"/>
                <w:lang w:eastAsia="en-US"/>
              </w:rPr>
              <w:t>tjänstemän</w:t>
            </w:r>
            <w:r w:rsidRPr="00515EBA">
              <w:rPr>
                <w:rFonts w:eastAsiaTheme="minorHAnsi"/>
                <w:bCs/>
                <w:color w:val="000000"/>
                <w:szCs w:val="24"/>
                <w:lang w:eastAsia="en-US"/>
              </w:rPr>
              <w:t xml:space="preserve"> deltog på distans. </w:t>
            </w:r>
            <w:r w:rsidR="00191D2E" w:rsidRPr="00515EBA">
              <w:rPr>
                <w:rFonts w:eastAsiaTheme="minorHAnsi"/>
                <w:bCs/>
                <w:color w:val="000000"/>
                <w:szCs w:val="24"/>
                <w:lang w:eastAsia="en-US"/>
              </w:rPr>
              <w:br/>
            </w:r>
          </w:p>
        </w:tc>
      </w:tr>
      <w:tr w:rsidR="00E42E5F" w:rsidTr="00637BF4">
        <w:trPr>
          <w:trHeight w:val="2235"/>
        </w:trPr>
        <w:tc>
          <w:tcPr>
            <w:tcW w:w="639" w:type="dxa"/>
          </w:tcPr>
          <w:p w:rsidR="00E42E5F" w:rsidRDefault="00E42E5F" w:rsidP="00E42E5F">
            <w:pPr>
              <w:tabs>
                <w:tab w:val="left" w:pos="1701"/>
              </w:tabs>
              <w:rPr>
                <w:b/>
                <w:snapToGrid w:val="0"/>
              </w:rPr>
            </w:pPr>
            <w:r>
              <w:rPr>
                <w:b/>
                <w:snapToGrid w:val="0"/>
              </w:rPr>
              <w:t>§ 3</w:t>
            </w:r>
          </w:p>
        </w:tc>
        <w:tc>
          <w:tcPr>
            <w:tcW w:w="7583" w:type="dxa"/>
          </w:tcPr>
          <w:p w:rsidR="00E42E5F" w:rsidRDefault="00E42E5F" w:rsidP="00E42E5F">
            <w:pPr>
              <w:outlineLvl w:val="0"/>
              <w:rPr>
                <w:rFonts w:eastAsiaTheme="minorHAnsi"/>
                <w:b/>
                <w:bCs/>
                <w:color w:val="000000"/>
                <w:szCs w:val="24"/>
                <w:lang w:eastAsia="en-US"/>
              </w:rPr>
            </w:pPr>
            <w:r>
              <w:rPr>
                <w:rFonts w:eastAsiaTheme="minorHAnsi"/>
                <w:b/>
                <w:bCs/>
                <w:color w:val="000000"/>
                <w:szCs w:val="24"/>
                <w:lang w:eastAsia="en-US"/>
              </w:rPr>
              <w:t>Kommissionens förslag till lagstiftningspaket för åtgärder mot penningtvätt och finansiering av terrorism</w:t>
            </w:r>
          </w:p>
          <w:p w:rsidR="00E42E5F" w:rsidRDefault="00E42E5F" w:rsidP="00E42E5F">
            <w:pPr>
              <w:outlineLvl w:val="0"/>
              <w:rPr>
                <w:rFonts w:eastAsiaTheme="minorHAnsi"/>
                <w:color w:val="000000"/>
                <w:szCs w:val="24"/>
                <w:lang w:eastAsia="en-US"/>
              </w:rPr>
            </w:pPr>
            <w:r>
              <w:rPr>
                <w:rFonts w:eastAsiaTheme="minorHAnsi"/>
                <w:color w:val="000000"/>
                <w:szCs w:val="24"/>
                <w:lang w:eastAsia="en-US"/>
              </w:rPr>
              <w:t>Utskottet överlade med statssekreterare Ulf Holm.</w:t>
            </w:r>
          </w:p>
          <w:p w:rsidR="00E42E5F" w:rsidRDefault="00E42E5F" w:rsidP="00E42E5F">
            <w:pPr>
              <w:outlineLvl w:val="0"/>
              <w:rPr>
                <w:b/>
              </w:rPr>
            </w:pPr>
            <w:r>
              <w:rPr>
                <w:rFonts w:eastAsiaTheme="minorHAnsi"/>
                <w:color w:val="000000"/>
                <w:szCs w:val="24"/>
                <w:lang w:eastAsia="en-US"/>
              </w:rPr>
              <w:t xml:space="preserve">Statssekreteraren med medarbetare från Finansdepartementet och en tjänsteman från Justitiedepartementet deltog på distans på punkterna </w:t>
            </w:r>
            <w:proofErr w:type="gramStart"/>
            <w:r>
              <w:rPr>
                <w:rFonts w:eastAsiaTheme="minorHAnsi"/>
                <w:color w:val="000000"/>
                <w:szCs w:val="24"/>
                <w:lang w:eastAsia="en-US"/>
              </w:rPr>
              <w:t>3-8</w:t>
            </w:r>
            <w:proofErr w:type="gramEnd"/>
            <w:r>
              <w:rPr>
                <w:rFonts w:eastAsiaTheme="minorHAnsi"/>
                <w:color w:val="000000"/>
                <w:szCs w:val="24"/>
                <w:lang w:eastAsia="en-US"/>
              </w:rPr>
              <w:t xml:space="preserve">. </w:t>
            </w:r>
          </w:p>
          <w:p w:rsidR="00E42E5F" w:rsidRDefault="00E42E5F" w:rsidP="00E42E5F">
            <w:pPr>
              <w:outlineLvl w:val="0"/>
              <w:rPr>
                <w:rFonts w:eastAsiaTheme="minorHAnsi"/>
                <w:color w:val="000000"/>
                <w:szCs w:val="24"/>
                <w:lang w:eastAsia="en-US"/>
              </w:rPr>
            </w:pPr>
          </w:p>
          <w:p w:rsidR="00E42E5F" w:rsidRPr="00F23F38" w:rsidRDefault="00E42E5F" w:rsidP="00E42E5F">
            <w:pPr>
              <w:outlineLvl w:val="0"/>
              <w:rPr>
                <w:rFonts w:eastAsiaTheme="minorHAnsi"/>
                <w:color w:val="000000"/>
                <w:szCs w:val="24"/>
                <w:lang w:eastAsia="en-US"/>
              </w:rPr>
            </w:pPr>
            <w:r w:rsidRPr="00F23F38">
              <w:rPr>
                <w:rFonts w:eastAsiaTheme="minorHAnsi"/>
                <w:color w:val="000000"/>
                <w:szCs w:val="24"/>
                <w:lang w:eastAsia="en-US"/>
              </w:rPr>
              <w:t xml:space="preserve">Underlaget utgjordes av kommissionens förslag </w:t>
            </w:r>
            <w:proofErr w:type="gramStart"/>
            <w:r w:rsidRPr="00F23F38">
              <w:rPr>
                <w:rFonts w:eastAsiaTheme="minorHAnsi"/>
                <w:color w:val="000000"/>
                <w:szCs w:val="24"/>
                <w:lang w:eastAsia="en-US"/>
              </w:rPr>
              <w:t>COM(</w:t>
            </w:r>
            <w:proofErr w:type="gramEnd"/>
            <w:r w:rsidRPr="00F23F38">
              <w:rPr>
                <w:rFonts w:eastAsiaTheme="minorHAnsi"/>
                <w:color w:val="000000"/>
                <w:szCs w:val="24"/>
                <w:lang w:eastAsia="en-US"/>
              </w:rPr>
              <w:t xml:space="preserve">2021) </w:t>
            </w:r>
            <w:r>
              <w:rPr>
                <w:rFonts w:eastAsiaTheme="minorHAnsi"/>
                <w:color w:val="000000"/>
                <w:szCs w:val="24"/>
                <w:lang w:eastAsia="en-US"/>
              </w:rPr>
              <w:t xml:space="preserve">420, 421, 422, 423 </w:t>
            </w:r>
            <w:r w:rsidRPr="00F23F38">
              <w:rPr>
                <w:rFonts w:eastAsiaTheme="minorHAnsi"/>
                <w:color w:val="000000"/>
                <w:szCs w:val="24"/>
                <w:lang w:eastAsia="en-US"/>
              </w:rPr>
              <w:t xml:space="preserve">och Regeringskansliets </w:t>
            </w:r>
            <w:r>
              <w:rPr>
                <w:rFonts w:eastAsiaTheme="minorHAnsi"/>
                <w:color w:val="000000"/>
                <w:szCs w:val="24"/>
                <w:lang w:eastAsia="en-US"/>
              </w:rPr>
              <w:t>fakta</w:t>
            </w:r>
            <w:r w:rsidRPr="00F23F38">
              <w:rPr>
                <w:rFonts w:eastAsiaTheme="minorHAnsi"/>
                <w:color w:val="000000"/>
                <w:szCs w:val="24"/>
                <w:lang w:eastAsia="en-US"/>
              </w:rPr>
              <w:t>promemoria</w:t>
            </w:r>
            <w:r>
              <w:rPr>
                <w:rFonts w:eastAsiaTheme="minorHAnsi"/>
                <w:color w:val="000000"/>
                <w:szCs w:val="24"/>
                <w:lang w:eastAsia="en-US"/>
              </w:rPr>
              <w:t xml:space="preserve"> 2020/21:FPM146</w:t>
            </w:r>
            <w:r w:rsidRPr="00F23F38">
              <w:rPr>
                <w:rFonts w:eastAsiaTheme="minorHAnsi"/>
                <w:color w:val="000000"/>
                <w:szCs w:val="24"/>
                <w:lang w:eastAsia="en-US"/>
              </w:rPr>
              <w:t xml:space="preserve"> </w:t>
            </w:r>
            <w:r w:rsidRPr="00D614E9">
              <w:rPr>
                <w:rFonts w:eastAsiaTheme="minorHAnsi"/>
                <w:color w:val="000000"/>
                <w:szCs w:val="24"/>
                <w:lang w:eastAsia="en-US"/>
              </w:rPr>
              <w:t>(dnr</w:t>
            </w:r>
            <w:r w:rsidR="00FB0978" w:rsidRPr="00D614E9">
              <w:rPr>
                <w:rFonts w:eastAsiaTheme="minorHAnsi"/>
                <w:color w:val="000000"/>
                <w:szCs w:val="24"/>
                <w:lang w:eastAsia="en-US"/>
              </w:rPr>
              <w:t xml:space="preserve"> </w:t>
            </w:r>
            <w:r w:rsidR="00D614E9" w:rsidRPr="00D614E9">
              <w:rPr>
                <w:rFonts w:eastAsiaTheme="minorHAnsi"/>
                <w:color w:val="000000"/>
                <w:szCs w:val="24"/>
                <w:lang w:eastAsia="en-US"/>
              </w:rPr>
              <w:t>129-2021/2022</w:t>
            </w:r>
            <w:r w:rsidRPr="00D614E9">
              <w:rPr>
                <w:rFonts w:eastAsiaTheme="minorHAnsi"/>
                <w:color w:val="000000"/>
                <w:szCs w:val="24"/>
                <w:lang w:eastAsia="en-US"/>
              </w:rPr>
              <w:t>).</w:t>
            </w:r>
          </w:p>
          <w:p w:rsidR="00E42E5F" w:rsidRDefault="00E42E5F" w:rsidP="00E42E5F">
            <w:pPr>
              <w:outlineLvl w:val="0"/>
              <w:rPr>
                <w:rFonts w:eastAsiaTheme="minorHAnsi"/>
                <w:color w:val="000000"/>
                <w:szCs w:val="24"/>
                <w:lang w:eastAsia="en-US"/>
              </w:rPr>
            </w:pPr>
          </w:p>
          <w:p w:rsidR="00E42E5F" w:rsidRDefault="00E42E5F" w:rsidP="00E42E5F">
            <w:pPr>
              <w:outlineLvl w:val="0"/>
              <w:rPr>
                <w:bCs/>
                <w:szCs w:val="24"/>
              </w:rPr>
            </w:pPr>
            <w:r>
              <w:rPr>
                <w:rFonts w:eastAsiaTheme="minorHAnsi"/>
                <w:color w:val="000000"/>
                <w:szCs w:val="24"/>
                <w:lang w:eastAsia="en-US"/>
              </w:rPr>
              <w:t>Statssekreteraren</w:t>
            </w:r>
            <w:r w:rsidRPr="00542CC6">
              <w:rPr>
                <w:bCs/>
                <w:szCs w:val="24"/>
              </w:rPr>
              <w:t xml:space="preserve"> redogjorde för regeringens ståndpunkt i enlighet med </w:t>
            </w:r>
            <w:r>
              <w:rPr>
                <w:bCs/>
                <w:szCs w:val="24"/>
              </w:rPr>
              <w:t>promemorian</w:t>
            </w:r>
            <w:r w:rsidRPr="00542CC6">
              <w:rPr>
                <w:bCs/>
                <w:szCs w:val="24"/>
              </w:rPr>
              <w:t xml:space="preserve">: </w:t>
            </w:r>
          </w:p>
          <w:p w:rsidR="00E42E5F" w:rsidRDefault="00E42E5F" w:rsidP="00E42E5F">
            <w:pPr>
              <w:ind w:left="216"/>
              <w:outlineLvl w:val="0"/>
            </w:pPr>
            <w:r>
              <w:t xml:space="preserve">Penningtvätt och finansiering av terrorism är allvarliga brott som har negativ påverkan på det finansiella systemets hållbarhet och samhället i övrigt. Att bekämpa organiserad brottlighet och olagliga finansiella flöden uttrycks bl.a. inom ramen för Agenda 2030, delmål 16.4. </w:t>
            </w:r>
          </w:p>
          <w:p w:rsidR="00E42E5F" w:rsidRDefault="00E42E5F" w:rsidP="00E42E5F">
            <w:pPr>
              <w:ind w:left="216"/>
              <w:outlineLvl w:val="0"/>
            </w:pPr>
          </w:p>
          <w:p w:rsidR="00E42E5F" w:rsidRDefault="00E42E5F" w:rsidP="00E42E5F">
            <w:pPr>
              <w:ind w:left="216"/>
              <w:outlineLvl w:val="0"/>
            </w:pPr>
            <w:r>
              <w:t>Regeringen stödjer ambitionen att förbättra unionens system för bekämpning av penningtvätt och finansiering av terrorism och anser i stort att förslaget är ett lämpligt sätt att åstadkomma en sådan förbättring.</w:t>
            </w:r>
          </w:p>
          <w:p w:rsidR="00E42E5F" w:rsidRDefault="00E42E5F" w:rsidP="00E42E5F">
            <w:pPr>
              <w:ind w:left="216"/>
              <w:outlineLvl w:val="0"/>
            </w:pPr>
          </w:p>
          <w:p w:rsidR="00E42E5F" w:rsidRDefault="00E42E5F" w:rsidP="00E42E5F">
            <w:pPr>
              <w:ind w:left="216"/>
              <w:outlineLvl w:val="0"/>
            </w:pPr>
            <w:r>
              <w:t>Regeringen välkomnar att flertalet bestämmelser överförs från det nuvarande direktivet till en förordning och att regleringen tydliggörs. Brottsligheten har inga gränser och det råder fri rörlighet för kapital på den inre marknaden.</w:t>
            </w:r>
          </w:p>
          <w:p w:rsidR="00E42E5F" w:rsidRDefault="00E42E5F" w:rsidP="00E42E5F">
            <w:pPr>
              <w:ind w:left="216"/>
              <w:outlineLvl w:val="0"/>
            </w:pPr>
          </w:p>
          <w:p w:rsidR="00E42E5F" w:rsidRDefault="00E42E5F" w:rsidP="00E42E5F">
            <w:pPr>
              <w:ind w:left="216"/>
              <w:outlineLvl w:val="0"/>
            </w:pPr>
            <w:r>
              <w:t>Regeringen bedömer att en reglering i förordningsform med förtydliganden av den typ som föreslås kommer att skapa bättre möjligheter att upptäcka och rapportera misstänkta transaktioner, framför allt för företag som verkar i fler än en medlemsstat. Beträffande förslaget att från tillämpningsområdet undanta personer som handlar med varor i den utsträckning som betalt eller mottaget belopp är minst 10 000 euro i kontanter och ersätta det med ett förbud att ta emot kontanta betalningar motsvarande samma belopp anser regeringen att det är viktigt att säkerställa att regleringen effektivt begränsar möjligheterna att tvätta pengar och finansiera terrorism genom kontanthandel.</w:t>
            </w:r>
          </w:p>
          <w:p w:rsidR="00E42E5F" w:rsidRDefault="00E42E5F" w:rsidP="00E42E5F">
            <w:pPr>
              <w:ind w:left="216"/>
              <w:outlineLvl w:val="0"/>
            </w:pPr>
          </w:p>
          <w:p w:rsidR="00E42E5F" w:rsidRDefault="00E42E5F" w:rsidP="00E42E5F">
            <w:pPr>
              <w:ind w:left="216"/>
              <w:outlineLvl w:val="0"/>
            </w:pPr>
            <w:r>
              <w:t xml:space="preserve">När det gäller den föreslagna regleringen av transaktioner i kryptotillgångar anser regeringen att en direkt reglering i förordning är lämpligt. Gränsöverskridande transaktioner bör regleras på gränsöverskridande nivå och olika nationella regleringar i detta avseende skulle kunna medföra risker för missbruk och arbitrage. </w:t>
            </w:r>
          </w:p>
          <w:p w:rsidR="00E42E5F" w:rsidRDefault="00E42E5F" w:rsidP="00E42E5F">
            <w:pPr>
              <w:outlineLvl w:val="0"/>
            </w:pPr>
          </w:p>
          <w:p w:rsidR="00E42E5F" w:rsidRDefault="00E42E5F" w:rsidP="00E42E5F">
            <w:pPr>
              <w:ind w:left="216"/>
              <w:outlineLvl w:val="0"/>
            </w:pPr>
            <w:r>
              <w:t xml:space="preserve">Regeringen välkomnar den ökade transparensen som förslaget väntas medföra i detta avseende. När det gäller regleringen som föreslås bli kvar i direktiv anser regeringen att den möjlighet som i dag finns för medlems-staterna att gå längre än vad som krävs när det gäller transparens i register över verkliga huvudmän, vilket Sverige har använt sig av, bör finnas kvar. Möjligheten att på nationell nivå utvidga tillämpningsområdet för regelverket till ytterligare aktörer bör vidare utformas så att regelverket kan tillämpas i de fall det behövs för att bekämpa penningtvätt och finansiering av terrorism. </w:t>
            </w:r>
          </w:p>
          <w:p w:rsidR="00E42E5F" w:rsidRDefault="00E42E5F" w:rsidP="00E42E5F">
            <w:pPr>
              <w:ind w:left="216"/>
              <w:outlineLvl w:val="0"/>
            </w:pPr>
          </w:p>
          <w:p w:rsidR="00E42E5F" w:rsidRDefault="00E42E5F" w:rsidP="00E42E5F">
            <w:pPr>
              <w:ind w:left="216"/>
              <w:outlineLvl w:val="0"/>
            </w:pPr>
            <w:r>
              <w:t xml:space="preserve">Regeringen välkomnar förslaget att medlemsstaternas nationella mekanismer för information om bl.a. bank och betalkonton ska kopplas samman. När det gäller det riskbaserade förhållningssättet och vilka krav som ställs på verksamhetsutövare och myndigheter i detta avseende välkomnar regeringen ökad tydlighet. Föreslagna bestämmelser är detaljerade och kräver ytterligare analyser i samband med förhandlings-arbetet så att resultatet medför ökad tydlighet på det sätt som var syftet. </w:t>
            </w:r>
          </w:p>
          <w:p w:rsidR="00E42E5F" w:rsidRDefault="00E42E5F" w:rsidP="00E42E5F">
            <w:pPr>
              <w:outlineLvl w:val="0"/>
            </w:pPr>
          </w:p>
          <w:p w:rsidR="00E42E5F" w:rsidRDefault="00E42E5F" w:rsidP="00E42E5F">
            <w:pPr>
              <w:ind w:left="216"/>
              <w:outlineLvl w:val="0"/>
            </w:pPr>
            <w:r>
              <w:t>Regeringen välkomnar också den mer riskkänsliga modellen för åtgärder i förhållande till tredjeländer. Ju tydligare risker kan identifieras, desto mer riktade och effektiva åtgärder kan genomföras som svar.</w:t>
            </w:r>
          </w:p>
          <w:p w:rsidR="00E42E5F" w:rsidRDefault="00E42E5F" w:rsidP="00E42E5F">
            <w:pPr>
              <w:ind w:left="216"/>
              <w:outlineLvl w:val="0"/>
            </w:pPr>
          </w:p>
          <w:p w:rsidR="00E42E5F" w:rsidRDefault="00E42E5F" w:rsidP="00E42E5F">
            <w:pPr>
              <w:ind w:left="216"/>
              <w:outlineLvl w:val="0"/>
            </w:pPr>
            <w:r>
              <w:t>Regeringen avser fortsatt verka för att penningtvättsregleringen inte ska</w:t>
            </w:r>
          </w:p>
          <w:p w:rsidR="00E42E5F" w:rsidRDefault="00E42E5F" w:rsidP="00E42E5F">
            <w:pPr>
              <w:ind w:left="216"/>
              <w:outlineLvl w:val="0"/>
            </w:pPr>
            <w:r>
              <w:t>kunna användas för att på bred basis neka grupper av kunder tillgång till</w:t>
            </w:r>
          </w:p>
          <w:p w:rsidR="00E42E5F" w:rsidRDefault="00E42E5F" w:rsidP="00E42E5F">
            <w:pPr>
              <w:ind w:left="216"/>
              <w:outlineLvl w:val="0"/>
            </w:pPr>
            <w:r>
              <w:t>finansiella tjänster (s.k. de-</w:t>
            </w:r>
            <w:proofErr w:type="spellStart"/>
            <w:r>
              <w:t>risking</w:t>
            </w:r>
            <w:proofErr w:type="spellEnd"/>
            <w:r>
              <w:t>). Beteendet, som regeringen tidigare har</w:t>
            </w:r>
          </w:p>
          <w:p w:rsidR="00E42E5F" w:rsidRDefault="00E42E5F" w:rsidP="00E42E5F">
            <w:pPr>
              <w:ind w:left="216"/>
              <w:outlineLvl w:val="0"/>
            </w:pPr>
            <w:r>
              <w:t>uppmärksammat och som även tas upp i kommissionens konsekvens-analys, är inte förenligt med ett välfungerande riskbaserat förhållningssätt och kan bl.a. försvåra humanitära aktörers arbete att ge stöd i tredje länder.</w:t>
            </w:r>
          </w:p>
          <w:p w:rsidR="00E42E5F" w:rsidRDefault="00E42E5F" w:rsidP="00E42E5F">
            <w:pPr>
              <w:outlineLvl w:val="0"/>
            </w:pPr>
          </w:p>
          <w:p w:rsidR="00E42E5F" w:rsidRDefault="00E42E5F" w:rsidP="00E42E5F">
            <w:pPr>
              <w:ind w:left="216"/>
              <w:outlineLvl w:val="0"/>
            </w:pPr>
            <w:r>
              <w:t>Regeringen anser vidare att medlemsstaterna bör få tillräcklig tid på sig att</w:t>
            </w:r>
          </w:p>
          <w:p w:rsidR="00E42E5F" w:rsidRDefault="00E42E5F" w:rsidP="00E42E5F">
            <w:pPr>
              <w:ind w:left="216"/>
              <w:outlineLvl w:val="0"/>
            </w:pPr>
            <w:r>
              <w:t>genomföra förslaget som sannolikt kommer att kräva omfattande</w:t>
            </w:r>
          </w:p>
          <w:p w:rsidR="00E42E5F" w:rsidRDefault="00E42E5F" w:rsidP="00E42E5F">
            <w:pPr>
              <w:ind w:left="216"/>
              <w:outlineLvl w:val="0"/>
            </w:pPr>
            <w:r>
              <w:t>anpassningar i form i nationell rätt.</w:t>
            </w:r>
          </w:p>
          <w:p w:rsidR="00E42E5F" w:rsidRDefault="00E42E5F" w:rsidP="00E42E5F">
            <w:pPr>
              <w:ind w:left="216"/>
              <w:outlineLvl w:val="0"/>
            </w:pPr>
          </w:p>
          <w:p w:rsidR="00E42E5F" w:rsidRDefault="00E42E5F" w:rsidP="00E42E5F">
            <w:pPr>
              <w:ind w:left="216"/>
              <w:outlineLvl w:val="0"/>
            </w:pPr>
            <w:r>
              <w:t>Regeringen menar att en ny EU-myndighet bör vara ändamålsenlig,</w:t>
            </w:r>
          </w:p>
          <w:p w:rsidR="00E42E5F" w:rsidRDefault="00E42E5F" w:rsidP="00E42E5F">
            <w:pPr>
              <w:ind w:left="216"/>
              <w:outlineLvl w:val="0"/>
            </w:pPr>
            <w:r>
              <w:t>kostnadseffektiv och skapa ett tydligt mervärde inom ramen för ett</w:t>
            </w:r>
          </w:p>
          <w:p w:rsidR="00E42E5F" w:rsidRDefault="00E42E5F" w:rsidP="00E42E5F">
            <w:pPr>
              <w:ind w:left="216"/>
              <w:outlineLvl w:val="0"/>
            </w:pPr>
            <w:r>
              <w:lastRenderedPageBreak/>
              <w:t>väldefinierat tillämpningsområde. Det tillämpningsområdet bör utgå från ett riskbaserat urval och förhållningssätt, vilket är särskilt viktigt när det gäller de icke-finansiella sektorerna. Myndighetens styrning bör bedrivas</w:t>
            </w:r>
          </w:p>
          <w:p w:rsidR="00E42E5F" w:rsidRDefault="00E42E5F" w:rsidP="00E42E5F">
            <w:pPr>
              <w:ind w:left="216"/>
              <w:outlineLvl w:val="0"/>
            </w:pPr>
            <w:r>
              <w:t>transparent med tillräckliga möjligheter till ansvarsutkrävande. Styrningen</w:t>
            </w:r>
          </w:p>
          <w:p w:rsidR="00E42E5F" w:rsidRDefault="00E42E5F" w:rsidP="00E42E5F">
            <w:pPr>
              <w:ind w:left="216"/>
              <w:outlineLvl w:val="0"/>
            </w:pPr>
            <w:r>
              <w:t>bör vidare vara ändamålsenlig för att bl.a. säkerställa en effektiv tillsyn. När det gäller ansvarsfördelningen mellan EU-myndigheten och nationella</w:t>
            </w:r>
          </w:p>
          <w:p w:rsidR="00E42E5F" w:rsidRDefault="00E42E5F" w:rsidP="00E42E5F">
            <w:pPr>
              <w:ind w:left="216"/>
              <w:outlineLvl w:val="0"/>
            </w:pPr>
            <w:r>
              <w:t>myndigheter behöver regleringen vara tydlig och hitta en välfungerande</w:t>
            </w:r>
          </w:p>
          <w:p w:rsidR="00E42E5F" w:rsidRDefault="00E42E5F" w:rsidP="00E42E5F">
            <w:pPr>
              <w:ind w:left="216"/>
              <w:outlineLvl w:val="0"/>
            </w:pPr>
            <w:r>
              <w:t>balans. Det gäller också det ansvar och de befogenheter som styrelserna har. Myndighetens urval av vilka företag som ska stå under direkt tillsyn bör i allt väsentligt baseras på risk, vilket regeringen inte anser står i direkt relation till företagets storlek. När det gäller myndighetens uppgifter att underlätta för medlemsstaternas finansunderrättelseenheter anser regeringen att kommissionen har landat i en lämplig ambitionsnivå.</w:t>
            </w:r>
          </w:p>
          <w:p w:rsidR="00E42E5F" w:rsidRDefault="00E42E5F" w:rsidP="00E42E5F">
            <w:pPr>
              <w:outlineLvl w:val="0"/>
            </w:pPr>
          </w:p>
          <w:p w:rsidR="00E42E5F" w:rsidRDefault="00E42E5F" w:rsidP="00E42E5F">
            <w:pPr>
              <w:ind w:left="216"/>
              <w:outlineLvl w:val="0"/>
            </w:pPr>
            <w:r>
              <w:t>Regeringen noterar att myndigheten till stor del ska finansieras av avgifter</w:t>
            </w:r>
          </w:p>
          <w:p w:rsidR="00E42E5F" w:rsidRPr="00C431BB" w:rsidRDefault="00E42E5F" w:rsidP="00E42E5F">
            <w:pPr>
              <w:ind w:left="216"/>
              <w:outlineLvl w:val="0"/>
            </w:pPr>
            <w:r w:rsidRPr="00C431BB">
              <w:t>och att kommissionen har finansiering i EU-budgeten för resterande del.</w:t>
            </w:r>
          </w:p>
          <w:p w:rsidR="00E42E5F" w:rsidRPr="00005ACB" w:rsidRDefault="00E42E5F" w:rsidP="00E42E5F">
            <w:pPr>
              <w:ind w:left="216"/>
              <w:outlineLvl w:val="0"/>
            </w:pPr>
            <w:r w:rsidRPr="00005ACB">
              <w:t>Avgiftssystemet och effekterna av att myndigheten ansvarar för att ta ut</w:t>
            </w:r>
          </w:p>
          <w:p w:rsidR="00E42E5F" w:rsidRPr="000C033A" w:rsidRDefault="00E42E5F" w:rsidP="00E42E5F">
            <w:pPr>
              <w:ind w:left="216"/>
              <w:outlineLvl w:val="0"/>
            </w:pPr>
            <w:r w:rsidRPr="00005ACB">
              <w:t>avgifter från de finansiella företagen behöver fortsatt analyseras.</w:t>
            </w:r>
            <w:r w:rsidRPr="000C033A">
              <w:t xml:space="preserve"> </w:t>
            </w:r>
          </w:p>
          <w:p w:rsidR="00E42E5F" w:rsidRDefault="00E42E5F" w:rsidP="00E42E5F">
            <w:pPr>
              <w:ind w:left="216"/>
              <w:outlineLvl w:val="0"/>
            </w:pPr>
          </w:p>
          <w:p w:rsidR="00E42E5F" w:rsidRDefault="00E42E5F" w:rsidP="00E42E5F">
            <w:pPr>
              <w:ind w:left="216"/>
              <w:outlineLvl w:val="0"/>
            </w:pPr>
            <w:r>
              <w:t>Regeringen kommer slutligen också att verka för att myndighetens</w:t>
            </w:r>
          </w:p>
          <w:p w:rsidR="00E42E5F" w:rsidRDefault="00E42E5F" w:rsidP="00E42E5F">
            <w:pPr>
              <w:ind w:left="216"/>
              <w:outlineLvl w:val="0"/>
            </w:pPr>
            <w:r>
              <w:t>uppbyggnad är förenlig med grundläggande principer i svensk förvaltning</w:t>
            </w:r>
          </w:p>
          <w:p w:rsidR="00E42E5F" w:rsidRDefault="00E42E5F" w:rsidP="00E42E5F">
            <w:pPr>
              <w:ind w:left="216"/>
              <w:outlineLvl w:val="0"/>
            </w:pPr>
            <w:r>
              <w:t>såsom myndigheternas självbestämmande och rättsstatens principer.</w:t>
            </w:r>
          </w:p>
          <w:p w:rsidR="00E42E5F" w:rsidRDefault="00E42E5F" w:rsidP="00E42E5F">
            <w:pPr>
              <w:ind w:left="216"/>
              <w:outlineLvl w:val="0"/>
            </w:pPr>
            <w:r>
              <w:t>Under kommande förhandlingar avser regeringen argumentera utifrån</w:t>
            </w:r>
          </w:p>
          <w:p w:rsidR="00E42E5F" w:rsidRDefault="00E42E5F" w:rsidP="00E42E5F">
            <w:pPr>
              <w:ind w:left="216"/>
              <w:outlineLvl w:val="0"/>
            </w:pPr>
            <w:r>
              <w:t>utgångspunkten att förslaget bör genomsyras av följande värden: ett</w:t>
            </w:r>
          </w:p>
          <w:p w:rsidR="00E42E5F" w:rsidRDefault="00E42E5F" w:rsidP="00E42E5F">
            <w:pPr>
              <w:ind w:left="216"/>
              <w:outlineLvl w:val="0"/>
            </w:pPr>
            <w:r>
              <w:t>välfungerande riskbaserat förhållningssätt; transparens; ändamålsenlighet;</w:t>
            </w:r>
          </w:p>
          <w:p w:rsidR="00E42E5F" w:rsidRDefault="00E42E5F" w:rsidP="00E42E5F">
            <w:pPr>
              <w:ind w:left="216"/>
              <w:outlineLvl w:val="0"/>
            </w:pPr>
            <w:r>
              <w:t>kostnadseffektivitet; budgetrestriktivitet; proportionalitet; samt tillräckliga</w:t>
            </w:r>
          </w:p>
          <w:p w:rsidR="00E42E5F" w:rsidRDefault="00E42E5F" w:rsidP="00E42E5F">
            <w:pPr>
              <w:ind w:left="216"/>
              <w:outlineLvl w:val="0"/>
            </w:pPr>
            <w:r>
              <w:t>möjligheter till ansvarsutkrävande och insyn för verksamhet som bedrivs på EU-nivå.</w:t>
            </w:r>
          </w:p>
          <w:p w:rsidR="00E42E5F" w:rsidRDefault="00E42E5F" w:rsidP="00E42E5F">
            <w:pPr>
              <w:outlineLvl w:val="0"/>
            </w:pPr>
          </w:p>
          <w:p w:rsidR="00E42E5F" w:rsidRDefault="00E42E5F" w:rsidP="00E42E5F">
            <w:pPr>
              <w:outlineLvl w:val="0"/>
            </w:pPr>
            <w:r>
              <w:t xml:space="preserve">Under mötet föreslog M-ledamöterna med stöd av SD-, C-, L- och KD-ledamöterna </w:t>
            </w:r>
            <w:r w:rsidR="004F0826">
              <w:t>att texten ”</w:t>
            </w:r>
            <w:r w:rsidR="004F0826" w:rsidRPr="004F0826">
              <w:t xml:space="preserve">Avgiftssystemet och effekterna av att myndigheten ansvarar för att ta ut avgifter från de finansiella företagen behöver fortsatt analyseras.” </w:t>
            </w:r>
            <w:r w:rsidR="004F0826">
              <w:t xml:space="preserve">i regeringens ståndpunkt skulle strykas och ersättas med </w:t>
            </w:r>
            <w:r>
              <w:t>följande:</w:t>
            </w:r>
          </w:p>
          <w:p w:rsidR="00E42E5F" w:rsidRDefault="00E42E5F" w:rsidP="00E42E5F">
            <w:r>
              <w:t>Regeringen noterar att myndigheten till stor del ska finansieras av avgifter</w:t>
            </w:r>
          </w:p>
          <w:p w:rsidR="00E42E5F" w:rsidRDefault="00E42E5F" w:rsidP="00E42E5F">
            <w:r w:rsidRPr="000C033A">
              <w:t>och att kommissionen har finansiering i EU-budgeten för resterande del.</w:t>
            </w:r>
          </w:p>
          <w:p w:rsidR="00E42E5F" w:rsidRPr="0090138D" w:rsidRDefault="00E42E5F" w:rsidP="00E42E5F">
            <w:r w:rsidRPr="00E52F2A">
              <w:t>Sverige kommer att ställa sig kritiskt till att en ny myndighet ska få ta ut avgifter från finansiella företag och driva linjen att en ny myndighet behöver vara kostnadseffektiv och finansieras inom befintlig EU-budget.</w:t>
            </w:r>
            <w:r>
              <w:t xml:space="preserve"> </w:t>
            </w:r>
          </w:p>
          <w:p w:rsidR="00E42E5F" w:rsidRDefault="00E42E5F" w:rsidP="00E42E5F">
            <w:pPr>
              <w:outlineLvl w:val="0"/>
            </w:pPr>
          </w:p>
          <w:p w:rsidR="00E42E5F" w:rsidRPr="0090138D" w:rsidRDefault="00E42E5F" w:rsidP="00E42E5F">
            <w:pPr>
              <w:outlineLvl w:val="0"/>
            </w:pPr>
            <w:r>
              <w:t xml:space="preserve">Ordföranden konstaterade att det fanns stöd för den reviderade ståndpunkten. </w:t>
            </w:r>
          </w:p>
          <w:p w:rsidR="00E42E5F" w:rsidRDefault="00E42E5F" w:rsidP="00E42E5F">
            <w:pPr>
              <w:outlineLvl w:val="0"/>
            </w:pPr>
          </w:p>
          <w:p w:rsidR="00E42E5F" w:rsidRDefault="00E42E5F" w:rsidP="00E42E5F">
            <w:pPr>
              <w:outlineLvl w:val="0"/>
            </w:pPr>
            <w:r w:rsidRPr="00845B6D">
              <w:t>Avvikande ståndpunkter anmäldes av S-, V- och MP-ledamöterna som stod</w:t>
            </w:r>
          </w:p>
          <w:p w:rsidR="00E42E5F" w:rsidRDefault="00E42E5F" w:rsidP="00E42E5F">
            <w:pPr>
              <w:outlineLvl w:val="0"/>
            </w:pPr>
            <w:r w:rsidRPr="004536BF">
              <w:t>bakom regeringens ståndpunkt.</w:t>
            </w:r>
          </w:p>
          <w:p w:rsidR="00E42E5F" w:rsidRPr="00AF46DF" w:rsidRDefault="00E42E5F" w:rsidP="00E42E5F">
            <w:pPr>
              <w:outlineLvl w:val="0"/>
            </w:pPr>
          </w:p>
        </w:tc>
      </w:tr>
      <w:tr w:rsidR="00191D2E" w:rsidTr="00637BF4">
        <w:trPr>
          <w:trHeight w:val="1282"/>
        </w:trPr>
        <w:tc>
          <w:tcPr>
            <w:tcW w:w="639" w:type="dxa"/>
          </w:tcPr>
          <w:p w:rsidR="00191D2E" w:rsidRDefault="00191D2E" w:rsidP="00191D2E">
            <w:pPr>
              <w:tabs>
                <w:tab w:val="left" w:pos="1701"/>
              </w:tabs>
              <w:rPr>
                <w:b/>
                <w:snapToGrid w:val="0"/>
              </w:rPr>
            </w:pPr>
            <w:r>
              <w:rPr>
                <w:b/>
                <w:snapToGrid w:val="0"/>
              </w:rPr>
              <w:lastRenderedPageBreak/>
              <w:t>§ 4</w:t>
            </w:r>
          </w:p>
        </w:tc>
        <w:tc>
          <w:tcPr>
            <w:tcW w:w="7583" w:type="dxa"/>
          </w:tcPr>
          <w:p w:rsidR="00191D2E" w:rsidRDefault="00191D2E" w:rsidP="00191D2E">
            <w:pPr>
              <w:outlineLvl w:val="0"/>
              <w:rPr>
                <w:b/>
              </w:rPr>
            </w:pPr>
            <w:r>
              <w:rPr>
                <w:b/>
              </w:rPr>
              <w:t>Tax</w:t>
            </w:r>
            <w:r w:rsidR="00E42E5F">
              <w:rPr>
                <w:b/>
              </w:rPr>
              <w:t>o</w:t>
            </w:r>
            <w:r>
              <w:rPr>
                <w:b/>
              </w:rPr>
              <w:t>nomin</w:t>
            </w:r>
          </w:p>
          <w:p w:rsidR="00191D2E" w:rsidRPr="006A70AB" w:rsidRDefault="00191D2E" w:rsidP="00191D2E">
            <w:pPr>
              <w:outlineLvl w:val="0"/>
            </w:pPr>
            <w:r w:rsidRPr="006A70AB">
              <w:t xml:space="preserve">Statssekreterare Ulf Holm informerade </w:t>
            </w:r>
            <w:r>
              <w:t xml:space="preserve">utskottet och svarade på ledamöternas frågor. </w:t>
            </w:r>
          </w:p>
        </w:tc>
      </w:tr>
      <w:tr w:rsidR="00E42E5F" w:rsidTr="00637BF4">
        <w:trPr>
          <w:trHeight w:val="2550"/>
        </w:trPr>
        <w:tc>
          <w:tcPr>
            <w:tcW w:w="639" w:type="dxa"/>
          </w:tcPr>
          <w:p w:rsidR="00E42E5F" w:rsidRPr="0090138D" w:rsidRDefault="00E42E5F" w:rsidP="00E42E5F">
            <w:pPr>
              <w:outlineLvl w:val="0"/>
              <w:rPr>
                <w:b/>
                <w:szCs w:val="24"/>
              </w:rPr>
            </w:pPr>
            <w:r w:rsidRPr="0090138D">
              <w:rPr>
                <w:b/>
                <w:szCs w:val="24"/>
              </w:rPr>
              <w:lastRenderedPageBreak/>
              <w:t>§ 5</w:t>
            </w:r>
          </w:p>
        </w:tc>
        <w:tc>
          <w:tcPr>
            <w:tcW w:w="7583" w:type="dxa"/>
          </w:tcPr>
          <w:p w:rsidR="00E42E5F" w:rsidRPr="0090138D" w:rsidRDefault="00E42E5F" w:rsidP="00E42E5F">
            <w:pPr>
              <w:outlineLvl w:val="0"/>
              <w:rPr>
                <w:b/>
                <w:szCs w:val="24"/>
              </w:rPr>
            </w:pPr>
            <w:r w:rsidRPr="0090138D">
              <w:rPr>
                <w:b/>
                <w:szCs w:val="24"/>
              </w:rPr>
              <w:t>Kommissionens strategi för att finansiera omställningen till en hållbar ekonomi</w:t>
            </w:r>
          </w:p>
          <w:p w:rsidR="00E42E5F" w:rsidRPr="0090138D" w:rsidRDefault="00E42E5F" w:rsidP="00E42E5F">
            <w:pPr>
              <w:outlineLvl w:val="0"/>
              <w:rPr>
                <w:szCs w:val="24"/>
              </w:rPr>
            </w:pPr>
            <w:r w:rsidRPr="0090138D">
              <w:rPr>
                <w:szCs w:val="24"/>
              </w:rPr>
              <w:t xml:space="preserve">Utskottet överlade med statssekreterare Ulf Holm. </w:t>
            </w:r>
          </w:p>
          <w:p w:rsidR="00E42E5F" w:rsidRPr="00D614E9" w:rsidRDefault="00E42E5F" w:rsidP="00D614E9">
            <w:pPr>
              <w:outlineLvl w:val="0"/>
              <w:rPr>
                <w:rFonts w:eastAsiaTheme="minorHAnsi"/>
                <w:color w:val="000000"/>
                <w:szCs w:val="24"/>
                <w:lang w:eastAsia="en-US"/>
              </w:rPr>
            </w:pPr>
            <w:r w:rsidRPr="0090138D">
              <w:rPr>
                <w:szCs w:val="24"/>
              </w:rPr>
              <w:t xml:space="preserve">Underlaget utgjordes av kommissionens förslag </w:t>
            </w:r>
            <w:proofErr w:type="gramStart"/>
            <w:r w:rsidRPr="0090138D">
              <w:rPr>
                <w:szCs w:val="24"/>
              </w:rPr>
              <w:t>COM(</w:t>
            </w:r>
            <w:proofErr w:type="gramEnd"/>
            <w:r w:rsidRPr="0090138D">
              <w:rPr>
                <w:szCs w:val="24"/>
              </w:rPr>
              <w:t xml:space="preserve">2021)390 och </w:t>
            </w:r>
            <w:r>
              <w:rPr>
                <w:szCs w:val="24"/>
              </w:rPr>
              <w:t xml:space="preserve">   </w:t>
            </w:r>
            <w:r w:rsidRPr="0090138D">
              <w:rPr>
                <w:szCs w:val="24"/>
              </w:rPr>
              <w:t xml:space="preserve">Regeringskansliets faktapromemoria 2020/21:FPM128 </w:t>
            </w:r>
            <w:r w:rsidR="00D614E9" w:rsidRPr="00D614E9">
              <w:rPr>
                <w:rFonts w:eastAsiaTheme="minorHAnsi"/>
                <w:color w:val="000000"/>
                <w:szCs w:val="24"/>
                <w:lang w:eastAsia="en-US"/>
              </w:rPr>
              <w:t>(dnr 129-2021/2022)</w:t>
            </w:r>
            <w:r w:rsidR="00D614E9">
              <w:rPr>
                <w:rFonts w:eastAsiaTheme="minorHAnsi"/>
                <w:color w:val="000000"/>
                <w:szCs w:val="24"/>
                <w:lang w:eastAsia="en-US"/>
              </w:rPr>
              <w:t>.</w:t>
            </w:r>
          </w:p>
          <w:p w:rsidR="00E42E5F" w:rsidRPr="0090138D" w:rsidRDefault="00E42E5F" w:rsidP="00E42E5F">
            <w:pPr>
              <w:outlineLvl w:val="0"/>
              <w:rPr>
                <w:szCs w:val="24"/>
              </w:rPr>
            </w:pPr>
          </w:p>
          <w:p w:rsidR="00E42E5F" w:rsidRPr="0090138D" w:rsidRDefault="00E42E5F" w:rsidP="00E42E5F">
            <w:pPr>
              <w:outlineLvl w:val="0"/>
              <w:rPr>
                <w:szCs w:val="24"/>
              </w:rPr>
            </w:pPr>
            <w:r w:rsidRPr="0090138D">
              <w:rPr>
                <w:szCs w:val="24"/>
              </w:rPr>
              <w:t xml:space="preserve">Statssekreteraren redogjorde för regeringens ståndpunkt i enlighet med promemorian: </w:t>
            </w:r>
          </w:p>
          <w:p w:rsidR="00E42E5F" w:rsidRPr="0090138D" w:rsidRDefault="00E42E5F" w:rsidP="00E42E5F">
            <w:pPr>
              <w:pStyle w:val="blockcitat"/>
              <w:ind w:left="216"/>
              <w:rPr>
                <w:bCs w:val="0"/>
              </w:rPr>
            </w:pPr>
            <w:r w:rsidRPr="0090138D">
              <w:rPr>
                <w:bCs w:val="0"/>
              </w:rPr>
              <w:t>Den finansiella sektorn har en viktig roll för omställningen till en hållbar</w:t>
            </w:r>
          </w:p>
          <w:p w:rsidR="00E42E5F" w:rsidRPr="0090138D" w:rsidRDefault="00E42E5F" w:rsidP="00E42E5F">
            <w:pPr>
              <w:pStyle w:val="blockcitat"/>
              <w:ind w:left="216"/>
              <w:rPr>
                <w:bCs w:val="0"/>
              </w:rPr>
            </w:pPr>
            <w:r w:rsidRPr="0090138D">
              <w:rPr>
                <w:bCs w:val="0"/>
              </w:rPr>
              <w:t>ekonomi genom att styra kapital till mer hållbara investeringar. Regeringen</w:t>
            </w:r>
          </w:p>
          <w:p w:rsidR="00E42E5F" w:rsidRPr="0090138D" w:rsidRDefault="00E42E5F" w:rsidP="00E42E5F">
            <w:pPr>
              <w:ind w:left="216"/>
              <w:outlineLvl w:val="0"/>
              <w:rPr>
                <w:szCs w:val="24"/>
              </w:rPr>
            </w:pPr>
            <w:r w:rsidRPr="0090138D">
              <w:rPr>
                <w:szCs w:val="24"/>
              </w:rPr>
              <w:t>har varit pådrivande och aktivt verkat för att EU ska inkludera</w:t>
            </w:r>
          </w:p>
          <w:p w:rsidR="00E42E5F" w:rsidRPr="0090138D" w:rsidRDefault="00E42E5F" w:rsidP="00E42E5F">
            <w:pPr>
              <w:ind w:left="216"/>
              <w:outlineLvl w:val="0"/>
              <w:rPr>
                <w:szCs w:val="24"/>
              </w:rPr>
            </w:pPr>
            <w:r w:rsidRPr="0090138D">
              <w:rPr>
                <w:szCs w:val="24"/>
              </w:rPr>
              <w:t>hållbarhetsaspekter i sitt arbete med att utveckla de finansiella marknaderna.</w:t>
            </w:r>
          </w:p>
          <w:p w:rsidR="00E42E5F" w:rsidRPr="0090138D" w:rsidRDefault="00E42E5F" w:rsidP="00E42E5F">
            <w:pPr>
              <w:ind w:left="216"/>
              <w:outlineLvl w:val="0"/>
              <w:rPr>
                <w:szCs w:val="24"/>
              </w:rPr>
            </w:pPr>
          </w:p>
          <w:p w:rsidR="00E42E5F" w:rsidRPr="0090138D" w:rsidRDefault="00E42E5F" w:rsidP="00E42E5F">
            <w:pPr>
              <w:ind w:left="216"/>
              <w:outlineLvl w:val="0"/>
              <w:rPr>
                <w:szCs w:val="24"/>
              </w:rPr>
            </w:pPr>
            <w:r w:rsidRPr="0090138D">
              <w:rPr>
                <w:szCs w:val="24"/>
              </w:rPr>
              <w:t>Regeringen anser att den nya handlingsplanen tar sikte på relevanta</w:t>
            </w:r>
          </w:p>
          <w:p w:rsidR="00E42E5F" w:rsidRPr="0090138D" w:rsidRDefault="00E42E5F" w:rsidP="00E42E5F">
            <w:pPr>
              <w:ind w:left="216"/>
              <w:outlineLvl w:val="0"/>
              <w:rPr>
                <w:szCs w:val="24"/>
              </w:rPr>
            </w:pPr>
            <w:r w:rsidRPr="0090138D">
              <w:rPr>
                <w:szCs w:val="24"/>
              </w:rPr>
              <w:t>målsättningar. Åtgärdsområdena är i linje med svenska prioriteringar, dvs. att underlätta för investerare och privatpersoner att fatta hållbara</w:t>
            </w:r>
          </w:p>
          <w:p w:rsidR="00E42E5F" w:rsidRPr="0090138D" w:rsidRDefault="00E42E5F" w:rsidP="00E42E5F">
            <w:pPr>
              <w:ind w:left="216"/>
              <w:outlineLvl w:val="0"/>
              <w:rPr>
                <w:szCs w:val="24"/>
              </w:rPr>
            </w:pPr>
            <w:r w:rsidRPr="0090138D">
              <w:rPr>
                <w:szCs w:val="24"/>
              </w:rPr>
              <w:t>investeringsbeslut, samt att hållbarhetsrisker ska integreras i det finansiella</w:t>
            </w:r>
          </w:p>
          <w:p w:rsidR="00E42E5F" w:rsidRPr="0090138D" w:rsidRDefault="00E42E5F" w:rsidP="00E42E5F">
            <w:pPr>
              <w:ind w:left="216"/>
              <w:outlineLvl w:val="0"/>
              <w:rPr>
                <w:szCs w:val="24"/>
              </w:rPr>
            </w:pPr>
            <w:r w:rsidRPr="0090138D">
              <w:rPr>
                <w:szCs w:val="24"/>
              </w:rPr>
              <w:t>systemet för att styra kapital i en mer hållbar riktning, också på global nivå. Regeringen är därför positiv till strategin på en övergripande nivå.</w:t>
            </w:r>
          </w:p>
          <w:p w:rsidR="00E42E5F" w:rsidRPr="0090138D" w:rsidRDefault="00E42E5F" w:rsidP="00E42E5F">
            <w:pPr>
              <w:ind w:left="216"/>
              <w:outlineLvl w:val="0"/>
              <w:rPr>
                <w:szCs w:val="24"/>
              </w:rPr>
            </w:pPr>
          </w:p>
          <w:p w:rsidR="00E42E5F" w:rsidRPr="0090138D" w:rsidRDefault="00E42E5F" w:rsidP="00E42E5F">
            <w:pPr>
              <w:ind w:left="216"/>
              <w:outlineLvl w:val="0"/>
              <w:rPr>
                <w:szCs w:val="24"/>
              </w:rPr>
            </w:pPr>
            <w:r w:rsidRPr="0090138D">
              <w:rPr>
                <w:szCs w:val="24"/>
              </w:rPr>
              <w:t>Regeringen har under kommissionens arbete med att ta fram den nya</w:t>
            </w:r>
          </w:p>
          <w:p w:rsidR="00E42E5F" w:rsidRPr="0090138D" w:rsidRDefault="00E42E5F" w:rsidP="00E42E5F">
            <w:pPr>
              <w:ind w:left="216"/>
              <w:outlineLvl w:val="0"/>
              <w:rPr>
                <w:szCs w:val="24"/>
              </w:rPr>
            </w:pPr>
            <w:r w:rsidRPr="0090138D">
              <w:rPr>
                <w:szCs w:val="24"/>
              </w:rPr>
              <w:t>strategin bl.a. betonat vikten av att följa upp och färdigställa de</w:t>
            </w:r>
          </w:p>
          <w:p w:rsidR="00E42E5F" w:rsidRPr="0090138D" w:rsidRDefault="00E42E5F" w:rsidP="00E42E5F">
            <w:pPr>
              <w:ind w:left="216"/>
              <w:outlineLvl w:val="0"/>
              <w:rPr>
                <w:szCs w:val="24"/>
              </w:rPr>
            </w:pPr>
            <w:r w:rsidRPr="0090138D">
              <w:rPr>
                <w:szCs w:val="24"/>
              </w:rPr>
              <w:t xml:space="preserve">överenskomna åtgärderna i handlingsplanen från 2018. Det är därför positivt att strategin har en tydlig koppling till handlingsplanen och bygger vidare på åtgärderna som aviserades i den. </w:t>
            </w:r>
          </w:p>
          <w:p w:rsidR="00E42E5F" w:rsidRPr="0090138D" w:rsidRDefault="00E42E5F" w:rsidP="00E42E5F">
            <w:pPr>
              <w:ind w:left="216"/>
              <w:outlineLvl w:val="0"/>
              <w:rPr>
                <w:szCs w:val="24"/>
              </w:rPr>
            </w:pPr>
          </w:p>
          <w:p w:rsidR="00E42E5F" w:rsidRPr="0090138D" w:rsidRDefault="00E42E5F" w:rsidP="00E42E5F">
            <w:pPr>
              <w:ind w:left="216"/>
              <w:outlineLvl w:val="0"/>
              <w:rPr>
                <w:szCs w:val="24"/>
              </w:rPr>
            </w:pPr>
            <w:r w:rsidRPr="0090138D">
              <w:rPr>
                <w:szCs w:val="24"/>
              </w:rPr>
              <w:t xml:space="preserve">Regeringen har även påtalat vikten av en global dimension i arbetet med hållbar finansiering. Världens kapitalmarknader är integrerade, det är därför viktigt med internationella regler och standarder för att förbättra marknadens funktionssätt och undvika fragmentering. Strategins nya fokus på det globala området är därför välkommet. Mot bakgrund av Sveriges budgetrestriktiva hållning ska Sverige agera för att förslagets ekonomiska konsekvenser skall hanteras inom ramen för redan beslutad budget. </w:t>
            </w:r>
          </w:p>
          <w:p w:rsidR="00E42E5F" w:rsidRPr="0090138D" w:rsidRDefault="00E42E5F" w:rsidP="00E42E5F">
            <w:pPr>
              <w:ind w:left="216"/>
              <w:outlineLvl w:val="0"/>
              <w:rPr>
                <w:szCs w:val="24"/>
              </w:rPr>
            </w:pPr>
          </w:p>
          <w:p w:rsidR="00E42E5F" w:rsidRPr="0090138D" w:rsidRDefault="00E42E5F" w:rsidP="00E42E5F">
            <w:pPr>
              <w:ind w:left="216"/>
              <w:outlineLvl w:val="0"/>
              <w:rPr>
                <w:szCs w:val="24"/>
              </w:rPr>
            </w:pPr>
            <w:r w:rsidRPr="0090138D">
              <w:rPr>
                <w:szCs w:val="24"/>
              </w:rPr>
              <w:t>Regeringen kommer att ta ställning till varje enskilt förslag allteftersom förslagen presenteras och avser att ta en konstruktiv roll i arbetet med att föra strategin framåt.</w:t>
            </w:r>
          </w:p>
          <w:p w:rsidR="00E42E5F" w:rsidRPr="0090138D" w:rsidRDefault="00E42E5F" w:rsidP="00E42E5F">
            <w:pPr>
              <w:ind w:left="216"/>
              <w:outlineLvl w:val="0"/>
              <w:rPr>
                <w:szCs w:val="24"/>
              </w:rPr>
            </w:pPr>
          </w:p>
          <w:p w:rsidR="00E42E5F" w:rsidRDefault="00E42E5F" w:rsidP="00E42E5F">
            <w:pPr>
              <w:outlineLvl w:val="0"/>
              <w:rPr>
                <w:szCs w:val="24"/>
              </w:rPr>
            </w:pPr>
            <w:r w:rsidRPr="00257E8F">
              <w:rPr>
                <w:szCs w:val="24"/>
              </w:rPr>
              <w:t xml:space="preserve">Ordföranden konstaterade att det fanns stöd för regeringens redovisade ståndpunkt.  </w:t>
            </w:r>
          </w:p>
          <w:p w:rsidR="00E42E5F" w:rsidRPr="0090138D" w:rsidRDefault="00E42E5F" w:rsidP="00E42E5F">
            <w:pPr>
              <w:outlineLvl w:val="0"/>
              <w:rPr>
                <w:szCs w:val="24"/>
              </w:rPr>
            </w:pPr>
          </w:p>
          <w:p w:rsidR="00E42E5F" w:rsidRPr="00005ACB" w:rsidRDefault="00E42E5F" w:rsidP="00E42E5F">
            <w:r w:rsidRPr="00005ACB">
              <w:t xml:space="preserve">M-ledamöterna </w:t>
            </w:r>
            <w:r w:rsidR="00433A7F">
              <w:t>och</w:t>
            </w:r>
            <w:r w:rsidRPr="00005ACB">
              <w:t xml:space="preserve"> SD-ledamöterna anmälde </w:t>
            </w:r>
            <w:r w:rsidR="00402064">
              <w:t xml:space="preserve">som en </w:t>
            </w:r>
            <w:r w:rsidRPr="00005ACB">
              <w:t>avvikande ståndpunkt</w:t>
            </w:r>
            <w:r w:rsidR="00402064">
              <w:t xml:space="preserve"> att regeringens ståndpunkt skulle kompletteras med följande</w:t>
            </w:r>
            <w:r w:rsidRPr="00005ACB">
              <w:t xml:space="preserve">: </w:t>
            </w:r>
            <w:r w:rsidRPr="00005ACB">
              <w:rPr>
                <w:rFonts w:eastAsiaTheme="minorHAnsi"/>
                <w:color w:val="000000"/>
                <w:lang w:eastAsia="en-US"/>
              </w:rPr>
              <w:t>Regeringen</w:t>
            </w:r>
            <w:r w:rsidRPr="00005ACB">
              <w:t xml:space="preserve"> ska i detta arbete prioritera omsorgen om svenska intressen och aktivt verka för att förslagen till hållbarhetskriterier inte skadar svenska företag, svenska jobb, svensk landsbygd och svens</w:t>
            </w:r>
            <w:r w:rsidR="00433A7F">
              <w:t xml:space="preserve">k </w:t>
            </w:r>
            <w:r w:rsidRPr="00005ACB">
              <w:t>energiförsörjning.</w:t>
            </w:r>
            <w:r w:rsidRPr="00005ACB">
              <w:br/>
            </w:r>
          </w:p>
          <w:p w:rsidR="00E42E5F" w:rsidRPr="0090138D" w:rsidRDefault="00E42E5F" w:rsidP="00E42E5F">
            <w:pPr>
              <w:outlineLvl w:val="0"/>
              <w:rPr>
                <w:szCs w:val="24"/>
              </w:rPr>
            </w:pPr>
          </w:p>
        </w:tc>
      </w:tr>
      <w:tr w:rsidR="00E42E5F" w:rsidTr="00637BF4">
        <w:trPr>
          <w:trHeight w:val="1314"/>
        </w:trPr>
        <w:tc>
          <w:tcPr>
            <w:tcW w:w="639" w:type="dxa"/>
          </w:tcPr>
          <w:p w:rsidR="00E42E5F" w:rsidRDefault="00E42E5F" w:rsidP="00E42E5F">
            <w:pPr>
              <w:tabs>
                <w:tab w:val="left" w:pos="1701"/>
              </w:tabs>
              <w:rPr>
                <w:b/>
                <w:snapToGrid w:val="0"/>
              </w:rPr>
            </w:pPr>
            <w:r>
              <w:rPr>
                <w:b/>
                <w:snapToGrid w:val="0"/>
              </w:rPr>
              <w:lastRenderedPageBreak/>
              <w:t>§ 6</w:t>
            </w:r>
          </w:p>
        </w:tc>
        <w:tc>
          <w:tcPr>
            <w:tcW w:w="7583" w:type="dxa"/>
          </w:tcPr>
          <w:p w:rsidR="00E42E5F" w:rsidRDefault="00E42E5F" w:rsidP="00E42E5F">
            <w:pPr>
              <w:outlineLvl w:val="0"/>
              <w:rPr>
                <w:rFonts w:eastAsiaTheme="minorHAnsi"/>
                <w:b/>
                <w:bCs/>
                <w:color w:val="000000"/>
                <w:szCs w:val="24"/>
                <w:lang w:eastAsia="en-US"/>
              </w:rPr>
            </w:pPr>
            <w:r>
              <w:rPr>
                <w:rFonts w:eastAsiaTheme="minorHAnsi"/>
                <w:b/>
                <w:bCs/>
                <w:color w:val="000000"/>
                <w:szCs w:val="24"/>
                <w:lang w:eastAsia="en-US"/>
              </w:rPr>
              <w:t>Kommissionens förslag till förordning om europeiska gröna obligationer</w:t>
            </w:r>
          </w:p>
          <w:p w:rsidR="00E42E5F" w:rsidRPr="00233D58" w:rsidRDefault="00E42E5F" w:rsidP="00E42E5F">
            <w:pPr>
              <w:outlineLvl w:val="0"/>
              <w:rPr>
                <w:rFonts w:eastAsiaTheme="minorHAnsi"/>
                <w:color w:val="000000"/>
                <w:szCs w:val="24"/>
                <w:lang w:eastAsia="en-US"/>
              </w:rPr>
            </w:pPr>
            <w:r>
              <w:rPr>
                <w:rFonts w:eastAsiaTheme="minorHAnsi"/>
                <w:color w:val="000000"/>
                <w:szCs w:val="24"/>
                <w:lang w:eastAsia="en-US"/>
              </w:rPr>
              <w:t>Utskottet överlade med statssekreterare Ulf Holm.</w:t>
            </w:r>
          </w:p>
          <w:p w:rsidR="00E42E5F" w:rsidRDefault="00E42E5F" w:rsidP="00E42E5F">
            <w:pPr>
              <w:outlineLvl w:val="0"/>
              <w:rPr>
                <w:rFonts w:eastAsiaTheme="minorHAnsi"/>
                <w:color w:val="000000"/>
                <w:szCs w:val="24"/>
                <w:lang w:eastAsia="en-US"/>
              </w:rPr>
            </w:pPr>
          </w:p>
          <w:p w:rsidR="00D614E9" w:rsidRPr="00F23F38" w:rsidRDefault="00E42E5F" w:rsidP="00D614E9">
            <w:pPr>
              <w:outlineLvl w:val="0"/>
              <w:rPr>
                <w:rFonts w:eastAsiaTheme="minorHAnsi"/>
                <w:color w:val="000000"/>
                <w:szCs w:val="24"/>
                <w:lang w:eastAsia="en-US"/>
              </w:rPr>
            </w:pPr>
            <w:r w:rsidRPr="00233D58">
              <w:rPr>
                <w:rFonts w:eastAsiaTheme="minorHAnsi"/>
                <w:color w:val="000000"/>
                <w:szCs w:val="24"/>
                <w:lang w:eastAsia="en-US"/>
              </w:rPr>
              <w:t xml:space="preserve">Underlaget utgjordes av kommissionens förslag </w:t>
            </w:r>
            <w:proofErr w:type="gramStart"/>
            <w:r w:rsidRPr="00233D58">
              <w:rPr>
                <w:rFonts w:eastAsiaTheme="minorHAnsi"/>
                <w:color w:val="000000"/>
                <w:szCs w:val="24"/>
                <w:lang w:eastAsia="en-US"/>
              </w:rPr>
              <w:t>COM(</w:t>
            </w:r>
            <w:proofErr w:type="gramEnd"/>
            <w:r w:rsidRPr="00233D58">
              <w:rPr>
                <w:rFonts w:eastAsiaTheme="minorHAnsi"/>
                <w:color w:val="000000"/>
                <w:szCs w:val="24"/>
                <w:lang w:eastAsia="en-US"/>
              </w:rPr>
              <w:t xml:space="preserve">2021)391 och Regeringskansliets faktapromemoria 2020/21:FPM129 </w:t>
            </w:r>
            <w:r w:rsidR="00D614E9" w:rsidRPr="00D614E9">
              <w:rPr>
                <w:rFonts w:eastAsiaTheme="minorHAnsi"/>
                <w:color w:val="000000"/>
                <w:szCs w:val="24"/>
                <w:lang w:eastAsia="en-US"/>
              </w:rPr>
              <w:t>(dnr 129-2021/2022).</w:t>
            </w:r>
          </w:p>
          <w:p w:rsidR="00E42E5F" w:rsidRPr="00233D58" w:rsidRDefault="00E42E5F" w:rsidP="00E42E5F">
            <w:pPr>
              <w:outlineLvl w:val="0"/>
              <w:rPr>
                <w:rFonts w:eastAsiaTheme="minorHAnsi"/>
                <w:color w:val="000000"/>
                <w:szCs w:val="24"/>
                <w:lang w:eastAsia="en-US"/>
              </w:rPr>
            </w:pPr>
          </w:p>
          <w:p w:rsidR="00E42E5F" w:rsidRDefault="00E42E5F" w:rsidP="00E42E5F">
            <w:pPr>
              <w:outlineLvl w:val="0"/>
              <w:rPr>
                <w:rFonts w:eastAsiaTheme="minorHAnsi"/>
                <w:color w:val="000000"/>
                <w:szCs w:val="24"/>
                <w:lang w:eastAsia="en-US"/>
              </w:rPr>
            </w:pPr>
            <w:r>
              <w:rPr>
                <w:bCs/>
                <w:szCs w:val="24"/>
              </w:rPr>
              <w:t>Statssekreteraren</w:t>
            </w:r>
            <w:r w:rsidRPr="00542CC6">
              <w:rPr>
                <w:bCs/>
                <w:szCs w:val="24"/>
              </w:rPr>
              <w:t xml:space="preserve"> redogjorde för regeringens ståndpunkt i enlighet med </w:t>
            </w:r>
            <w:r>
              <w:rPr>
                <w:bCs/>
                <w:szCs w:val="24"/>
              </w:rPr>
              <w:t>promemorian</w:t>
            </w:r>
            <w:r w:rsidRPr="00542CC6">
              <w:rPr>
                <w:bCs/>
                <w:szCs w:val="24"/>
              </w:rPr>
              <w:t xml:space="preserve">: </w:t>
            </w:r>
          </w:p>
          <w:p w:rsidR="00E42E5F" w:rsidRPr="00233D58" w:rsidRDefault="00E42E5F" w:rsidP="00E42E5F">
            <w:pPr>
              <w:ind w:left="216"/>
              <w:outlineLvl w:val="0"/>
              <w:rPr>
                <w:rFonts w:eastAsiaTheme="minorHAnsi"/>
                <w:color w:val="000000"/>
                <w:szCs w:val="24"/>
                <w:lang w:eastAsia="en-US"/>
              </w:rPr>
            </w:pPr>
            <w:r w:rsidRPr="00233D58">
              <w:rPr>
                <w:rFonts w:eastAsiaTheme="minorHAnsi"/>
                <w:color w:val="000000"/>
                <w:szCs w:val="24"/>
                <w:lang w:eastAsia="en-US"/>
              </w:rPr>
              <w:t>Regeringen välkomnar förslaget om en frivillig EU-standard för gröna</w:t>
            </w:r>
          </w:p>
          <w:p w:rsidR="00E42E5F" w:rsidRDefault="00E42E5F" w:rsidP="00E42E5F">
            <w:pPr>
              <w:ind w:left="216"/>
              <w:outlineLvl w:val="0"/>
              <w:rPr>
                <w:rFonts w:eastAsiaTheme="minorHAnsi"/>
                <w:color w:val="000000"/>
                <w:szCs w:val="24"/>
                <w:lang w:eastAsia="en-US"/>
              </w:rPr>
            </w:pPr>
            <w:r w:rsidRPr="00233D58">
              <w:rPr>
                <w:rFonts w:eastAsiaTheme="minorHAnsi"/>
                <w:color w:val="000000"/>
                <w:szCs w:val="24"/>
                <w:lang w:eastAsia="en-US"/>
              </w:rPr>
              <w:t xml:space="preserve">obligationer. </w:t>
            </w:r>
          </w:p>
          <w:p w:rsidR="00E42E5F" w:rsidRDefault="00E42E5F" w:rsidP="00E42E5F">
            <w:pPr>
              <w:ind w:left="216"/>
              <w:outlineLvl w:val="0"/>
              <w:rPr>
                <w:rFonts w:eastAsiaTheme="minorHAnsi"/>
                <w:color w:val="000000"/>
                <w:szCs w:val="24"/>
                <w:lang w:eastAsia="en-US"/>
              </w:rPr>
            </w:pPr>
          </w:p>
          <w:p w:rsidR="00E42E5F" w:rsidRPr="00233D58" w:rsidRDefault="00E42E5F" w:rsidP="00E42E5F">
            <w:pPr>
              <w:ind w:left="216"/>
              <w:outlineLvl w:val="0"/>
              <w:rPr>
                <w:rFonts w:eastAsiaTheme="minorHAnsi"/>
                <w:color w:val="000000"/>
                <w:szCs w:val="24"/>
                <w:lang w:eastAsia="en-US"/>
              </w:rPr>
            </w:pPr>
            <w:r w:rsidRPr="00233D58">
              <w:rPr>
                <w:rFonts w:eastAsiaTheme="minorHAnsi"/>
                <w:color w:val="000000"/>
                <w:szCs w:val="24"/>
                <w:lang w:eastAsia="en-US"/>
              </w:rPr>
              <w:t>Regeringen stödjer ambitionen att underlätta hållbara</w:t>
            </w:r>
          </w:p>
          <w:p w:rsidR="00E42E5F" w:rsidRPr="00233D58" w:rsidRDefault="00E42E5F" w:rsidP="00E42E5F">
            <w:pPr>
              <w:ind w:left="216"/>
              <w:outlineLvl w:val="0"/>
              <w:rPr>
                <w:rFonts w:eastAsiaTheme="minorHAnsi"/>
                <w:color w:val="000000"/>
                <w:szCs w:val="24"/>
                <w:lang w:eastAsia="en-US"/>
              </w:rPr>
            </w:pPr>
            <w:r w:rsidRPr="00233D58">
              <w:rPr>
                <w:rFonts w:eastAsiaTheme="minorHAnsi"/>
                <w:color w:val="000000"/>
                <w:szCs w:val="24"/>
                <w:lang w:eastAsia="en-US"/>
              </w:rPr>
              <w:t>investeringar, förbättra möjligheten att identifiera och jämföra hållbara</w:t>
            </w:r>
          </w:p>
          <w:p w:rsidR="00E42E5F" w:rsidRPr="00233D58" w:rsidRDefault="00E42E5F" w:rsidP="00E42E5F">
            <w:pPr>
              <w:ind w:left="216"/>
              <w:outlineLvl w:val="0"/>
              <w:rPr>
                <w:rFonts w:eastAsiaTheme="minorHAnsi"/>
                <w:color w:val="000000"/>
                <w:szCs w:val="24"/>
                <w:lang w:eastAsia="en-US"/>
              </w:rPr>
            </w:pPr>
            <w:r w:rsidRPr="00233D58">
              <w:rPr>
                <w:rFonts w:eastAsiaTheme="minorHAnsi"/>
                <w:color w:val="000000"/>
                <w:szCs w:val="24"/>
                <w:lang w:eastAsia="en-US"/>
              </w:rPr>
              <w:t>investeringar samt minska risken för grönmålning. Tydliga standarder och</w:t>
            </w:r>
          </w:p>
          <w:p w:rsidR="00E42E5F" w:rsidRPr="00233D58" w:rsidRDefault="00E42E5F" w:rsidP="00E42E5F">
            <w:pPr>
              <w:ind w:left="216"/>
              <w:outlineLvl w:val="0"/>
              <w:rPr>
                <w:rFonts w:eastAsiaTheme="minorHAnsi"/>
                <w:color w:val="000000"/>
                <w:szCs w:val="24"/>
                <w:lang w:eastAsia="en-US"/>
              </w:rPr>
            </w:pPr>
            <w:r w:rsidRPr="00233D58">
              <w:rPr>
                <w:rFonts w:eastAsiaTheme="minorHAnsi"/>
                <w:color w:val="000000"/>
                <w:szCs w:val="24"/>
                <w:lang w:eastAsia="en-US"/>
              </w:rPr>
              <w:t>jämförbarhet bidrar till att skapa effektiva marknader för hållbara</w:t>
            </w:r>
          </w:p>
          <w:p w:rsidR="00E42E5F" w:rsidRDefault="00E42E5F" w:rsidP="00E42E5F">
            <w:pPr>
              <w:ind w:left="216"/>
              <w:outlineLvl w:val="0"/>
              <w:rPr>
                <w:rFonts w:eastAsiaTheme="minorHAnsi"/>
                <w:color w:val="000000"/>
                <w:szCs w:val="24"/>
                <w:lang w:eastAsia="en-US"/>
              </w:rPr>
            </w:pPr>
            <w:r w:rsidRPr="00233D58">
              <w:rPr>
                <w:rFonts w:eastAsiaTheme="minorHAnsi"/>
                <w:color w:val="000000"/>
                <w:szCs w:val="24"/>
                <w:lang w:eastAsia="en-US"/>
              </w:rPr>
              <w:t>investeringar.</w:t>
            </w:r>
          </w:p>
          <w:p w:rsidR="00E42E5F" w:rsidRPr="00233D58" w:rsidRDefault="00E42E5F" w:rsidP="00E42E5F">
            <w:pPr>
              <w:ind w:left="216"/>
              <w:outlineLvl w:val="0"/>
              <w:rPr>
                <w:rFonts w:eastAsiaTheme="minorHAnsi"/>
                <w:color w:val="000000"/>
                <w:szCs w:val="24"/>
                <w:lang w:eastAsia="en-US"/>
              </w:rPr>
            </w:pPr>
          </w:p>
          <w:p w:rsidR="00E42E5F" w:rsidRPr="00233D58" w:rsidRDefault="00E42E5F" w:rsidP="00E42E5F">
            <w:pPr>
              <w:ind w:left="216"/>
              <w:outlineLvl w:val="0"/>
              <w:rPr>
                <w:rFonts w:eastAsiaTheme="minorHAnsi"/>
                <w:color w:val="000000"/>
                <w:szCs w:val="24"/>
                <w:lang w:eastAsia="en-US"/>
              </w:rPr>
            </w:pPr>
            <w:r w:rsidRPr="00233D58">
              <w:rPr>
                <w:rFonts w:eastAsiaTheme="minorHAnsi"/>
                <w:color w:val="000000"/>
                <w:szCs w:val="24"/>
                <w:lang w:eastAsia="en-US"/>
              </w:rPr>
              <w:t>Regeringen ser positivt på enhetlig rapportering och extern granskning och</w:t>
            </w:r>
          </w:p>
          <w:p w:rsidR="00E42E5F" w:rsidRPr="00233D58" w:rsidRDefault="00E42E5F" w:rsidP="00E42E5F">
            <w:pPr>
              <w:ind w:left="216"/>
              <w:outlineLvl w:val="0"/>
              <w:rPr>
                <w:rFonts w:eastAsiaTheme="minorHAnsi"/>
                <w:color w:val="000000"/>
                <w:szCs w:val="24"/>
                <w:lang w:eastAsia="en-US"/>
              </w:rPr>
            </w:pPr>
            <w:r w:rsidRPr="00233D58">
              <w:rPr>
                <w:rFonts w:eastAsiaTheme="minorHAnsi"/>
                <w:color w:val="000000"/>
                <w:szCs w:val="24"/>
                <w:lang w:eastAsia="en-US"/>
              </w:rPr>
              <w:t>kommer att verka för att tillräcklig kvalitet i rapportering och granskning</w:t>
            </w:r>
          </w:p>
          <w:p w:rsidR="00E42E5F" w:rsidRPr="00233D58" w:rsidRDefault="00E42E5F" w:rsidP="00E42E5F">
            <w:pPr>
              <w:ind w:left="216"/>
              <w:outlineLvl w:val="0"/>
              <w:rPr>
                <w:rFonts w:eastAsiaTheme="minorHAnsi"/>
                <w:color w:val="000000"/>
                <w:szCs w:val="24"/>
                <w:lang w:eastAsia="en-US"/>
              </w:rPr>
            </w:pPr>
            <w:r w:rsidRPr="00233D58">
              <w:rPr>
                <w:rFonts w:eastAsiaTheme="minorHAnsi"/>
                <w:color w:val="000000"/>
                <w:szCs w:val="24"/>
                <w:lang w:eastAsia="en-US"/>
              </w:rPr>
              <w:t>uppnås utan onödiga kostnader.</w:t>
            </w:r>
          </w:p>
          <w:p w:rsidR="00E42E5F" w:rsidRDefault="00E42E5F" w:rsidP="00E42E5F">
            <w:pPr>
              <w:ind w:left="216"/>
              <w:outlineLvl w:val="0"/>
              <w:rPr>
                <w:rFonts w:eastAsiaTheme="minorHAnsi"/>
                <w:color w:val="000000"/>
                <w:szCs w:val="24"/>
                <w:lang w:eastAsia="en-US"/>
              </w:rPr>
            </w:pPr>
          </w:p>
          <w:p w:rsidR="00E42E5F" w:rsidRPr="00233D58" w:rsidRDefault="00E42E5F" w:rsidP="00E42E5F">
            <w:pPr>
              <w:ind w:left="216"/>
              <w:outlineLvl w:val="0"/>
              <w:rPr>
                <w:rFonts w:eastAsiaTheme="minorHAnsi"/>
                <w:color w:val="000000"/>
                <w:szCs w:val="24"/>
                <w:lang w:eastAsia="en-US"/>
              </w:rPr>
            </w:pPr>
            <w:r w:rsidRPr="00233D58">
              <w:rPr>
                <w:rFonts w:eastAsiaTheme="minorHAnsi"/>
                <w:color w:val="000000"/>
                <w:szCs w:val="24"/>
                <w:lang w:eastAsia="en-US"/>
              </w:rPr>
              <w:t>Regeringen bedömer att tillsyn av externa granskare på EU-nivå kan vara</w:t>
            </w:r>
          </w:p>
          <w:p w:rsidR="00E42E5F" w:rsidRPr="00233D58" w:rsidRDefault="00E42E5F" w:rsidP="00E42E5F">
            <w:pPr>
              <w:ind w:left="216"/>
              <w:outlineLvl w:val="0"/>
              <w:rPr>
                <w:rFonts w:eastAsiaTheme="minorHAnsi"/>
                <w:color w:val="000000"/>
                <w:szCs w:val="24"/>
                <w:lang w:eastAsia="en-US"/>
              </w:rPr>
            </w:pPr>
            <w:r w:rsidRPr="00233D58">
              <w:rPr>
                <w:rFonts w:eastAsiaTheme="minorHAnsi"/>
                <w:color w:val="000000"/>
                <w:szCs w:val="24"/>
                <w:lang w:eastAsia="en-US"/>
              </w:rPr>
              <w:t>mer effektivt än att i detta fall bygga upp nationell tillsyn. Det rör sig om ett</w:t>
            </w:r>
            <w:r>
              <w:rPr>
                <w:rFonts w:eastAsiaTheme="minorHAnsi"/>
                <w:color w:val="000000"/>
                <w:szCs w:val="24"/>
                <w:lang w:eastAsia="en-US"/>
              </w:rPr>
              <w:t xml:space="preserve"> </w:t>
            </w:r>
            <w:r w:rsidRPr="00233D58">
              <w:rPr>
                <w:rFonts w:eastAsiaTheme="minorHAnsi"/>
                <w:color w:val="000000"/>
                <w:szCs w:val="24"/>
                <w:lang w:eastAsia="en-US"/>
              </w:rPr>
              <w:t>nytt tillsynsområde där nationella myndigheter annars hade behövt bygga</w:t>
            </w:r>
            <w:r>
              <w:rPr>
                <w:rFonts w:eastAsiaTheme="minorHAnsi"/>
                <w:color w:val="000000"/>
                <w:szCs w:val="24"/>
                <w:lang w:eastAsia="en-US"/>
              </w:rPr>
              <w:t xml:space="preserve"> </w:t>
            </w:r>
            <w:r w:rsidRPr="00233D58">
              <w:rPr>
                <w:rFonts w:eastAsiaTheme="minorHAnsi"/>
                <w:color w:val="000000"/>
                <w:szCs w:val="24"/>
                <w:lang w:eastAsia="en-US"/>
              </w:rPr>
              <w:t>upp kompetens och antalet enskilda tillsynsobjekt uppskattas bli relativt lågt.</w:t>
            </w:r>
            <w:r>
              <w:rPr>
                <w:rFonts w:eastAsiaTheme="minorHAnsi"/>
                <w:color w:val="000000"/>
                <w:szCs w:val="24"/>
                <w:lang w:eastAsia="en-US"/>
              </w:rPr>
              <w:t xml:space="preserve"> </w:t>
            </w:r>
            <w:r w:rsidRPr="00233D58">
              <w:rPr>
                <w:rFonts w:eastAsiaTheme="minorHAnsi"/>
                <w:color w:val="000000"/>
                <w:szCs w:val="24"/>
                <w:lang w:eastAsia="en-US"/>
              </w:rPr>
              <w:t>Vad gäller finansiering av nya tillsynsuppgifter kommer regeringen att verka</w:t>
            </w:r>
            <w:r>
              <w:rPr>
                <w:rFonts w:eastAsiaTheme="minorHAnsi"/>
                <w:color w:val="000000"/>
                <w:szCs w:val="24"/>
                <w:lang w:eastAsia="en-US"/>
              </w:rPr>
              <w:t xml:space="preserve"> </w:t>
            </w:r>
            <w:r w:rsidRPr="00233D58">
              <w:rPr>
                <w:rFonts w:eastAsiaTheme="minorHAnsi"/>
                <w:color w:val="000000"/>
                <w:szCs w:val="24"/>
                <w:lang w:eastAsia="en-US"/>
              </w:rPr>
              <w:t>för transparens och restriktivitet.</w:t>
            </w:r>
          </w:p>
          <w:p w:rsidR="00E42E5F" w:rsidRDefault="00E42E5F" w:rsidP="00E42E5F">
            <w:pPr>
              <w:outlineLvl w:val="0"/>
              <w:rPr>
                <w:b/>
              </w:rPr>
            </w:pPr>
          </w:p>
          <w:p w:rsidR="00E42E5F" w:rsidRDefault="00E42E5F" w:rsidP="00E42E5F">
            <w:pPr>
              <w:outlineLvl w:val="0"/>
            </w:pPr>
            <w:r>
              <w:t>Under mötet föreslog M-ledamöterna med stöd av SD-, C-, L- och KD-ledamöterna följande tillägg till ståndpunkten:</w:t>
            </w:r>
          </w:p>
          <w:p w:rsidR="00E42E5F" w:rsidRDefault="00E42E5F" w:rsidP="00E42E5F">
            <w:pPr>
              <w:outlineLvl w:val="0"/>
            </w:pPr>
            <w:r>
              <w:t xml:space="preserve">Frågan är nära sammankopplad med taxonomin. Kommissionens delegerade akt om ”minskade klimatutsläpp” inom ramen för taxonomin hotar svensk vattenkraft och skogsbruk, då skrivningar om vatten och skog är formulerade på att sätt som kan komma att klassa svensk vattenkraft och svenskt skogsbruk som icke hållbart. </w:t>
            </w:r>
          </w:p>
          <w:p w:rsidR="00E42E5F" w:rsidRDefault="00E42E5F" w:rsidP="00E42E5F">
            <w:pPr>
              <w:outlineLvl w:val="0"/>
            </w:pPr>
            <w:r>
              <w:t xml:space="preserve">Den svenska regeringen ska, i enlighet med tidigare överläggningar i FiU, invända mot den delegerade akten om taxonomin för att värna vattenkraften och skogsbrukets villkor och arbeta för att samla en majoritet för den uppfattningen. Sveriges ståndpunkt rörande taxonomin ska följas upp i fortsatta förhandlingar om en EU-standard för gröna obligationer. </w:t>
            </w:r>
          </w:p>
          <w:p w:rsidR="00E42E5F" w:rsidRDefault="00E42E5F" w:rsidP="00E42E5F">
            <w:pPr>
              <w:outlineLvl w:val="0"/>
            </w:pPr>
          </w:p>
          <w:p w:rsidR="00E42E5F" w:rsidRPr="0090138D" w:rsidRDefault="00E42E5F" w:rsidP="00E42E5F">
            <w:pPr>
              <w:outlineLvl w:val="0"/>
            </w:pPr>
            <w:r>
              <w:t xml:space="preserve">Ordföranden konstaterade att det fanns stöd för den reviderade ståndpunkten. </w:t>
            </w:r>
          </w:p>
          <w:p w:rsidR="00E42E5F" w:rsidRDefault="00E42E5F" w:rsidP="00E42E5F">
            <w:pPr>
              <w:outlineLvl w:val="0"/>
            </w:pPr>
          </w:p>
          <w:p w:rsidR="00E42E5F" w:rsidRDefault="00E42E5F" w:rsidP="00E42E5F">
            <w:pPr>
              <w:outlineLvl w:val="0"/>
            </w:pPr>
            <w:r w:rsidRPr="00845B6D">
              <w:t>Avvikande ståndpunkter anmäldes av S-, V- och MP-ledamöterna som stod</w:t>
            </w:r>
          </w:p>
          <w:p w:rsidR="00E42E5F" w:rsidRDefault="00E42E5F" w:rsidP="00E42E5F">
            <w:pPr>
              <w:outlineLvl w:val="0"/>
            </w:pPr>
            <w:r w:rsidRPr="004536BF">
              <w:t>bakom regeringens ståndpunkt.</w:t>
            </w:r>
          </w:p>
          <w:p w:rsidR="00E42E5F" w:rsidRDefault="00E42E5F" w:rsidP="00E42E5F">
            <w:pPr>
              <w:outlineLvl w:val="0"/>
            </w:pPr>
          </w:p>
          <w:p w:rsidR="00E42E5F" w:rsidRDefault="00E42E5F" w:rsidP="00E42E5F">
            <w:pPr>
              <w:outlineLvl w:val="0"/>
              <w:rPr>
                <w:b/>
              </w:rPr>
            </w:pPr>
          </w:p>
        </w:tc>
      </w:tr>
      <w:tr w:rsidR="00E42E5F" w:rsidTr="00637BF4">
        <w:trPr>
          <w:trHeight w:val="2519"/>
        </w:trPr>
        <w:tc>
          <w:tcPr>
            <w:tcW w:w="639" w:type="dxa"/>
          </w:tcPr>
          <w:p w:rsidR="00E42E5F" w:rsidRDefault="00E42E5F" w:rsidP="00E42E5F">
            <w:pPr>
              <w:tabs>
                <w:tab w:val="left" w:pos="1701"/>
              </w:tabs>
              <w:rPr>
                <w:b/>
                <w:snapToGrid w:val="0"/>
              </w:rPr>
            </w:pPr>
            <w:r>
              <w:rPr>
                <w:b/>
                <w:snapToGrid w:val="0"/>
              </w:rPr>
              <w:lastRenderedPageBreak/>
              <w:t>§ 7</w:t>
            </w:r>
          </w:p>
          <w:p w:rsidR="00E42E5F" w:rsidRDefault="00E42E5F" w:rsidP="00E42E5F">
            <w:pPr>
              <w:tabs>
                <w:tab w:val="left" w:pos="1701"/>
              </w:tabs>
              <w:rPr>
                <w:b/>
                <w:snapToGrid w:val="0"/>
              </w:rPr>
            </w:pPr>
          </w:p>
        </w:tc>
        <w:tc>
          <w:tcPr>
            <w:tcW w:w="7583" w:type="dxa"/>
          </w:tcPr>
          <w:p w:rsidR="00E42E5F" w:rsidRPr="005D4E46" w:rsidRDefault="00E42E5F" w:rsidP="00E42E5F">
            <w:pPr>
              <w:outlineLvl w:val="0"/>
              <w:rPr>
                <w:b/>
              </w:rPr>
            </w:pPr>
            <w:r w:rsidRPr="005D4E46">
              <w:rPr>
                <w:b/>
              </w:rPr>
              <w:t xml:space="preserve">Kommissionens förslag till förlängning av övergångsperiod för värdepappersfonder och vissa alternativa investeringsfonder </w:t>
            </w:r>
          </w:p>
          <w:p w:rsidR="00E42E5F" w:rsidRDefault="00E42E5F" w:rsidP="00E42E5F">
            <w:pPr>
              <w:outlineLvl w:val="0"/>
              <w:rPr>
                <w:rFonts w:eastAsiaTheme="minorHAnsi"/>
                <w:color w:val="000000"/>
                <w:szCs w:val="24"/>
                <w:lang w:eastAsia="en-US"/>
              </w:rPr>
            </w:pPr>
            <w:r w:rsidRPr="00F23F38">
              <w:rPr>
                <w:rFonts w:eastAsiaTheme="minorHAnsi"/>
                <w:color w:val="000000"/>
                <w:szCs w:val="24"/>
                <w:lang w:eastAsia="en-US"/>
              </w:rPr>
              <w:t xml:space="preserve">Utskottet överlade med </w:t>
            </w:r>
            <w:r>
              <w:rPr>
                <w:rFonts w:eastAsiaTheme="minorHAnsi"/>
                <w:color w:val="000000"/>
                <w:szCs w:val="24"/>
                <w:lang w:eastAsia="en-US"/>
              </w:rPr>
              <w:t>statssekreterare Ulf Holm.</w:t>
            </w:r>
            <w:r w:rsidRPr="00F23F38">
              <w:rPr>
                <w:rFonts w:eastAsiaTheme="minorHAnsi"/>
                <w:color w:val="000000"/>
                <w:szCs w:val="24"/>
                <w:lang w:eastAsia="en-US"/>
              </w:rPr>
              <w:t xml:space="preserve"> </w:t>
            </w:r>
          </w:p>
          <w:p w:rsidR="00E42E5F" w:rsidRDefault="00E42E5F" w:rsidP="00E42E5F">
            <w:pPr>
              <w:outlineLvl w:val="0"/>
              <w:rPr>
                <w:rFonts w:eastAsiaTheme="minorHAnsi"/>
                <w:color w:val="000000"/>
                <w:szCs w:val="24"/>
                <w:lang w:eastAsia="en-US"/>
              </w:rPr>
            </w:pPr>
          </w:p>
          <w:p w:rsidR="00E42E5F" w:rsidRDefault="00E42E5F" w:rsidP="00E42E5F">
            <w:pPr>
              <w:outlineLvl w:val="0"/>
              <w:rPr>
                <w:rFonts w:eastAsiaTheme="minorHAnsi"/>
                <w:color w:val="000000"/>
                <w:szCs w:val="24"/>
                <w:lang w:eastAsia="en-US"/>
              </w:rPr>
            </w:pPr>
            <w:r w:rsidRPr="00F23F38">
              <w:rPr>
                <w:rFonts w:eastAsiaTheme="minorHAnsi"/>
                <w:color w:val="000000"/>
                <w:szCs w:val="24"/>
                <w:lang w:eastAsia="en-US"/>
              </w:rPr>
              <w:t xml:space="preserve">Underlaget utgjordes av kommissionens förslag </w:t>
            </w:r>
            <w:proofErr w:type="gramStart"/>
            <w:r w:rsidRPr="00F23F38">
              <w:rPr>
                <w:rFonts w:eastAsiaTheme="minorHAnsi"/>
                <w:color w:val="000000"/>
                <w:szCs w:val="24"/>
                <w:lang w:eastAsia="en-US"/>
              </w:rPr>
              <w:t>COM( 2021</w:t>
            </w:r>
            <w:proofErr w:type="gramEnd"/>
            <w:r w:rsidRPr="00F23F38">
              <w:rPr>
                <w:rFonts w:eastAsiaTheme="minorHAnsi"/>
                <w:color w:val="000000"/>
                <w:szCs w:val="24"/>
                <w:lang w:eastAsia="en-US"/>
              </w:rPr>
              <w:t>) 397 och COM</w:t>
            </w:r>
          </w:p>
          <w:p w:rsidR="00E42E5F" w:rsidRPr="00F23F38" w:rsidRDefault="00E42E5F" w:rsidP="00E42E5F">
            <w:pPr>
              <w:outlineLvl w:val="0"/>
              <w:rPr>
                <w:rFonts w:eastAsiaTheme="minorHAnsi"/>
                <w:color w:val="000000"/>
                <w:szCs w:val="24"/>
                <w:lang w:eastAsia="en-US"/>
              </w:rPr>
            </w:pPr>
            <w:r w:rsidRPr="00F23F38">
              <w:rPr>
                <w:rFonts w:eastAsiaTheme="minorHAnsi"/>
                <w:color w:val="000000"/>
                <w:szCs w:val="24"/>
                <w:lang w:eastAsia="en-US"/>
              </w:rPr>
              <w:t xml:space="preserve">(2021) 399 och </w:t>
            </w:r>
            <w:r w:rsidRPr="00005ACB">
              <w:rPr>
                <w:rFonts w:eastAsiaTheme="minorHAnsi"/>
                <w:color w:val="000000"/>
                <w:szCs w:val="24"/>
                <w:lang w:eastAsia="en-US"/>
              </w:rPr>
              <w:t>Regeringskansliets överläggningspromemoria</w:t>
            </w:r>
            <w:r w:rsidRPr="00F23F38">
              <w:rPr>
                <w:rFonts w:eastAsiaTheme="minorHAnsi"/>
                <w:color w:val="000000"/>
                <w:szCs w:val="24"/>
                <w:lang w:eastAsia="en-US"/>
              </w:rPr>
              <w:t xml:space="preserve"> </w:t>
            </w:r>
            <w:r w:rsidR="00D614E9" w:rsidRPr="00D614E9">
              <w:rPr>
                <w:rFonts w:eastAsiaTheme="minorHAnsi"/>
                <w:color w:val="000000"/>
                <w:szCs w:val="24"/>
                <w:lang w:eastAsia="en-US"/>
              </w:rPr>
              <w:t xml:space="preserve">(dnr </w:t>
            </w:r>
            <w:proofErr w:type="gramStart"/>
            <w:r w:rsidR="00D614E9" w:rsidRPr="00D614E9">
              <w:rPr>
                <w:rFonts w:eastAsiaTheme="minorHAnsi"/>
                <w:color w:val="000000"/>
                <w:szCs w:val="24"/>
                <w:lang w:eastAsia="en-US"/>
              </w:rPr>
              <w:t>129-2021</w:t>
            </w:r>
            <w:proofErr w:type="gramEnd"/>
            <w:r w:rsidR="00D614E9" w:rsidRPr="00D614E9">
              <w:rPr>
                <w:rFonts w:eastAsiaTheme="minorHAnsi"/>
                <w:color w:val="000000"/>
                <w:szCs w:val="24"/>
                <w:lang w:eastAsia="en-US"/>
              </w:rPr>
              <w:t>/2022).</w:t>
            </w:r>
          </w:p>
          <w:p w:rsidR="00E42E5F" w:rsidRDefault="00E42E5F" w:rsidP="00E42E5F">
            <w:pPr>
              <w:outlineLvl w:val="0"/>
              <w:rPr>
                <w:bCs/>
                <w:szCs w:val="24"/>
              </w:rPr>
            </w:pPr>
          </w:p>
          <w:p w:rsidR="00E42E5F" w:rsidRPr="0090138D" w:rsidRDefault="00E42E5F" w:rsidP="00E42E5F">
            <w:pPr>
              <w:outlineLvl w:val="0"/>
              <w:rPr>
                <w:bCs/>
                <w:szCs w:val="24"/>
              </w:rPr>
            </w:pPr>
            <w:r>
              <w:rPr>
                <w:rFonts w:eastAsiaTheme="minorHAnsi"/>
                <w:color w:val="000000"/>
                <w:szCs w:val="24"/>
                <w:lang w:eastAsia="en-US"/>
              </w:rPr>
              <w:t xml:space="preserve">Statssekreteraren </w:t>
            </w:r>
            <w:r w:rsidRPr="00542CC6">
              <w:rPr>
                <w:bCs/>
                <w:szCs w:val="24"/>
              </w:rPr>
              <w:t>redogjorde för regeringens ståndpunkt</w:t>
            </w:r>
            <w:r>
              <w:rPr>
                <w:bCs/>
                <w:szCs w:val="24"/>
              </w:rPr>
              <w:t>, som uppdaterats något jämfört</w:t>
            </w:r>
            <w:r w:rsidRPr="00542CC6">
              <w:rPr>
                <w:bCs/>
                <w:szCs w:val="24"/>
              </w:rPr>
              <w:t xml:space="preserve"> med </w:t>
            </w:r>
            <w:r>
              <w:rPr>
                <w:bCs/>
                <w:szCs w:val="24"/>
              </w:rPr>
              <w:t xml:space="preserve">överläggningspromemorian: </w:t>
            </w:r>
          </w:p>
          <w:p w:rsidR="00E42E5F" w:rsidRDefault="00E42E5F" w:rsidP="00E42E5F">
            <w:pPr>
              <w:pStyle w:val="blockcitat"/>
              <w:ind w:left="216"/>
            </w:pPr>
            <w:r>
              <w:t xml:space="preserve">Regeringen </w:t>
            </w:r>
            <w:r w:rsidRPr="00F23F38">
              <w:t xml:space="preserve">välkomnar kommissionens föreslagna förlängning men </w:t>
            </w:r>
            <w:r>
              <w:t xml:space="preserve">anser </w:t>
            </w:r>
            <w:r w:rsidRPr="00F23F38">
              <w:t>sex månader är för kort tid. Det är därför positivt att rådets kompromiss</w:t>
            </w:r>
            <w:r>
              <w:t>-</w:t>
            </w:r>
            <w:r w:rsidRPr="00F23F38">
              <w:t xml:space="preserve">förslag innebär en förlängning med tolv månader istället för sex månader som i det ursprungliga förslaget. Det eftersom att det blir tydligare för konsumenter med en övergång vid årsskiftet och det minskar den administrativa bördan för branschen. </w:t>
            </w:r>
          </w:p>
          <w:p w:rsidR="00E42E5F" w:rsidRDefault="00E42E5F" w:rsidP="00E42E5F">
            <w:pPr>
              <w:pStyle w:val="blockcitat"/>
              <w:ind w:left="216"/>
            </w:pPr>
          </w:p>
          <w:p w:rsidR="00E42E5F" w:rsidRPr="00F23F38" w:rsidRDefault="00E42E5F" w:rsidP="00E42E5F">
            <w:pPr>
              <w:pStyle w:val="blockcitat"/>
              <w:ind w:left="216"/>
            </w:pPr>
            <w:r>
              <w:t>Regeringen</w:t>
            </w:r>
            <w:r w:rsidRPr="00F23F38">
              <w:t xml:space="preserve"> instämmer därför i att det nya faktabladet för värdepappers</w:t>
            </w:r>
            <w:r>
              <w:t>-</w:t>
            </w:r>
            <w:r w:rsidRPr="00F23F38">
              <w:t>fonder och vissa alternativa investeringsfonder bör börja tillämpas först i januari 2023 istället för juli 2022.</w:t>
            </w:r>
          </w:p>
          <w:p w:rsidR="00E42E5F" w:rsidRPr="00F23F38" w:rsidRDefault="00E42E5F" w:rsidP="00E42E5F">
            <w:pPr>
              <w:ind w:left="216"/>
              <w:outlineLvl w:val="0"/>
              <w:rPr>
                <w:bCs/>
                <w:szCs w:val="24"/>
              </w:rPr>
            </w:pPr>
            <w:r w:rsidRPr="00F23F38">
              <w:rPr>
                <w:bCs/>
                <w:szCs w:val="24"/>
              </w:rPr>
              <w:t> </w:t>
            </w:r>
          </w:p>
          <w:p w:rsidR="00E42E5F" w:rsidRPr="00F23F38" w:rsidRDefault="00E42E5F" w:rsidP="00E42E5F">
            <w:pPr>
              <w:ind w:left="216"/>
              <w:outlineLvl w:val="0"/>
              <w:rPr>
                <w:bCs/>
                <w:szCs w:val="24"/>
              </w:rPr>
            </w:pPr>
            <w:r w:rsidRPr="00F23F38">
              <w:rPr>
                <w:bCs/>
                <w:szCs w:val="24"/>
              </w:rPr>
              <w:t>Regeringen stödjer också följdändringen i direktivet om värdepappersfonder för att undvika dubbla informationskrav.</w:t>
            </w:r>
          </w:p>
          <w:p w:rsidR="00E42E5F" w:rsidRDefault="00E42E5F" w:rsidP="00E42E5F">
            <w:pPr>
              <w:outlineLvl w:val="0"/>
              <w:rPr>
                <w:szCs w:val="24"/>
              </w:rPr>
            </w:pPr>
          </w:p>
          <w:p w:rsidR="00E42E5F" w:rsidRDefault="00E42E5F" w:rsidP="00E42E5F">
            <w:pPr>
              <w:outlineLvl w:val="0"/>
              <w:rPr>
                <w:szCs w:val="24"/>
              </w:rPr>
            </w:pPr>
            <w:r w:rsidRPr="00257E8F">
              <w:rPr>
                <w:szCs w:val="24"/>
              </w:rPr>
              <w:t xml:space="preserve">Ordföranden konstaterade att det fanns stöd för regeringens redovisade ståndpunkt.  </w:t>
            </w:r>
          </w:p>
          <w:p w:rsidR="00E42E5F" w:rsidRDefault="00E42E5F" w:rsidP="00E42E5F">
            <w:pPr>
              <w:outlineLvl w:val="0"/>
              <w:rPr>
                <w:b/>
              </w:rPr>
            </w:pPr>
          </w:p>
        </w:tc>
      </w:tr>
      <w:tr w:rsidR="00191D2E" w:rsidTr="009434B5">
        <w:trPr>
          <w:trHeight w:val="998"/>
        </w:trPr>
        <w:tc>
          <w:tcPr>
            <w:tcW w:w="639" w:type="dxa"/>
          </w:tcPr>
          <w:p w:rsidR="00191D2E" w:rsidRDefault="00191D2E" w:rsidP="00191D2E">
            <w:pPr>
              <w:tabs>
                <w:tab w:val="left" w:pos="1701"/>
              </w:tabs>
              <w:rPr>
                <w:b/>
                <w:snapToGrid w:val="0"/>
              </w:rPr>
            </w:pPr>
            <w:r>
              <w:rPr>
                <w:b/>
                <w:snapToGrid w:val="0"/>
              </w:rPr>
              <w:t>§ 8</w:t>
            </w:r>
          </w:p>
          <w:p w:rsidR="00191D2E" w:rsidRDefault="00191D2E" w:rsidP="00191D2E">
            <w:pPr>
              <w:tabs>
                <w:tab w:val="left" w:pos="1701"/>
              </w:tabs>
              <w:rPr>
                <w:b/>
                <w:snapToGrid w:val="0"/>
              </w:rPr>
            </w:pPr>
          </w:p>
        </w:tc>
        <w:tc>
          <w:tcPr>
            <w:tcW w:w="7583" w:type="dxa"/>
          </w:tcPr>
          <w:p w:rsidR="00191D2E" w:rsidRDefault="00191D2E" w:rsidP="00191D2E">
            <w:pPr>
              <w:outlineLvl w:val="0"/>
              <w:rPr>
                <w:b/>
              </w:rPr>
            </w:pPr>
            <w:r w:rsidRPr="005D4E46">
              <w:rPr>
                <w:b/>
              </w:rPr>
              <w:t xml:space="preserve">Status i förhandlingarna om DORA- och </w:t>
            </w:r>
            <w:proofErr w:type="spellStart"/>
            <w:r w:rsidRPr="005D4E46">
              <w:rPr>
                <w:b/>
              </w:rPr>
              <w:t>MiCA</w:t>
            </w:r>
            <w:proofErr w:type="spellEnd"/>
            <w:r w:rsidRPr="005D4E46">
              <w:rPr>
                <w:b/>
              </w:rPr>
              <w:t>-förordningarna</w:t>
            </w:r>
            <w:r w:rsidR="009434B5">
              <w:rPr>
                <w:b/>
              </w:rPr>
              <w:br/>
            </w:r>
            <w:r w:rsidR="009434B5" w:rsidRPr="00AF46DF">
              <w:rPr>
                <w:rFonts w:eastAsiaTheme="minorHAnsi"/>
                <w:bCs/>
                <w:color w:val="000000"/>
                <w:szCs w:val="24"/>
                <w:lang w:eastAsia="en-US"/>
              </w:rPr>
              <w:t xml:space="preserve">Statssekreterare </w:t>
            </w:r>
            <w:r w:rsidR="009434B5">
              <w:rPr>
                <w:rFonts w:eastAsiaTheme="minorHAnsi"/>
                <w:bCs/>
                <w:color w:val="000000"/>
                <w:szCs w:val="24"/>
                <w:lang w:eastAsia="en-US"/>
              </w:rPr>
              <w:t xml:space="preserve">Ulf Holm </w:t>
            </w:r>
            <w:r w:rsidR="009434B5" w:rsidRPr="00AF46DF">
              <w:rPr>
                <w:rFonts w:eastAsiaTheme="minorHAnsi"/>
                <w:bCs/>
                <w:color w:val="000000"/>
                <w:szCs w:val="24"/>
                <w:lang w:eastAsia="en-US"/>
              </w:rPr>
              <w:t>informerade utskottet och svarade på ledamöternas frågor.</w:t>
            </w:r>
          </w:p>
        </w:tc>
      </w:tr>
      <w:tr w:rsidR="00191D2E" w:rsidTr="00637BF4">
        <w:tc>
          <w:tcPr>
            <w:tcW w:w="639" w:type="dxa"/>
          </w:tcPr>
          <w:p w:rsidR="00191D2E" w:rsidRDefault="00191D2E" w:rsidP="00191D2E">
            <w:pPr>
              <w:tabs>
                <w:tab w:val="left" w:pos="1701"/>
              </w:tabs>
              <w:rPr>
                <w:b/>
                <w:snapToGrid w:val="0"/>
              </w:rPr>
            </w:pPr>
            <w:r>
              <w:rPr>
                <w:b/>
                <w:snapToGrid w:val="0"/>
              </w:rPr>
              <w:t>§ 9</w:t>
            </w:r>
          </w:p>
          <w:p w:rsidR="00191D2E" w:rsidRDefault="00191D2E" w:rsidP="00191D2E">
            <w:pPr>
              <w:tabs>
                <w:tab w:val="left" w:pos="1701"/>
              </w:tabs>
              <w:rPr>
                <w:b/>
                <w:snapToGrid w:val="0"/>
              </w:rPr>
            </w:pPr>
          </w:p>
        </w:tc>
        <w:tc>
          <w:tcPr>
            <w:tcW w:w="7583" w:type="dxa"/>
          </w:tcPr>
          <w:p w:rsidR="00191D2E" w:rsidRDefault="00191D2E" w:rsidP="00191D2E">
            <w:pPr>
              <w:outlineLvl w:val="0"/>
              <w:rPr>
                <w:rFonts w:eastAsiaTheme="minorHAnsi"/>
                <w:b/>
                <w:bCs/>
                <w:color w:val="000000"/>
                <w:szCs w:val="24"/>
                <w:lang w:eastAsia="en-US"/>
              </w:rPr>
            </w:pPr>
            <w:r>
              <w:rPr>
                <w:rFonts w:eastAsiaTheme="minorHAnsi"/>
                <w:b/>
                <w:bCs/>
                <w:color w:val="000000"/>
                <w:szCs w:val="24"/>
                <w:lang w:eastAsia="en-US"/>
              </w:rPr>
              <w:t>Anmälningar</w:t>
            </w:r>
          </w:p>
          <w:p w:rsidR="009434B5" w:rsidRDefault="009434B5" w:rsidP="00BF5430">
            <w:pPr>
              <w:pStyle w:val="Liststycke"/>
              <w:widowControl/>
              <w:numPr>
                <w:ilvl w:val="0"/>
                <w:numId w:val="14"/>
              </w:numPr>
            </w:pPr>
            <w:r w:rsidRPr="00BF5430">
              <w:rPr>
                <w:bCs/>
              </w:rPr>
              <w:t>Utskottet beslutade att kalla Riksbanken till en öppen utfrågning om den aktuella penningpolitiken till sammanträdet den 19 oktober</w:t>
            </w:r>
            <w:r>
              <w:t xml:space="preserve">. Utskottet beslutade också </w:t>
            </w:r>
            <w:r w:rsidRPr="00BF5430">
              <w:rPr>
                <w:bCs/>
              </w:rPr>
              <w:t xml:space="preserve">att efter den öppna utfrågningen, bjuda in de två externa utvärderarna av penningpolitiken </w:t>
            </w:r>
            <w:proofErr w:type="gramStart"/>
            <w:r w:rsidRPr="00BF5430">
              <w:rPr>
                <w:bCs/>
              </w:rPr>
              <w:t>2015-2020</w:t>
            </w:r>
            <w:proofErr w:type="gramEnd"/>
            <w:r w:rsidRPr="00BF5430">
              <w:rPr>
                <w:bCs/>
              </w:rPr>
              <w:t xml:space="preserve"> – Patrick </w:t>
            </w:r>
            <w:proofErr w:type="spellStart"/>
            <w:r w:rsidRPr="00BF5430">
              <w:rPr>
                <w:bCs/>
              </w:rPr>
              <w:t>Honohan</w:t>
            </w:r>
            <w:proofErr w:type="spellEnd"/>
            <w:r w:rsidRPr="00BF5430">
              <w:rPr>
                <w:bCs/>
              </w:rPr>
              <w:t xml:space="preserve"> och </w:t>
            </w:r>
            <w:proofErr w:type="spellStart"/>
            <w:r w:rsidRPr="00BF5430">
              <w:rPr>
                <w:bCs/>
              </w:rPr>
              <w:t>Karnit</w:t>
            </w:r>
            <w:proofErr w:type="spellEnd"/>
            <w:r w:rsidRPr="00BF5430">
              <w:rPr>
                <w:bCs/>
              </w:rPr>
              <w:t xml:space="preserve"> </w:t>
            </w:r>
            <w:proofErr w:type="spellStart"/>
            <w:r w:rsidRPr="00BF5430">
              <w:rPr>
                <w:bCs/>
              </w:rPr>
              <w:t>Flug</w:t>
            </w:r>
            <w:proofErr w:type="spellEnd"/>
            <w:r w:rsidRPr="00BF5430">
              <w:rPr>
                <w:bCs/>
              </w:rPr>
              <w:t xml:space="preserve"> – för information om hur utvärderingen fortskrider</w:t>
            </w:r>
            <w:r>
              <w:t>.</w:t>
            </w:r>
          </w:p>
          <w:p w:rsidR="00BF5430" w:rsidRDefault="00BF5430" w:rsidP="00BF5430">
            <w:pPr>
              <w:pStyle w:val="Liststycke"/>
              <w:widowControl/>
              <w:numPr>
                <w:ilvl w:val="0"/>
                <w:numId w:val="14"/>
              </w:numPr>
            </w:pPr>
            <w:r>
              <w:t xml:space="preserve">Utskottet beslutade att ställa in det </w:t>
            </w:r>
            <w:r w:rsidR="00433A7F">
              <w:t>preliminärt in</w:t>
            </w:r>
            <w:r>
              <w:t xml:space="preserve">planerade sammanträdet den 23 september. </w:t>
            </w:r>
          </w:p>
          <w:p w:rsidR="009434B5" w:rsidRDefault="009434B5" w:rsidP="00191D2E">
            <w:pPr>
              <w:outlineLvl w:val="0"/>
              <w:rPr>
                <w:b/>
              </w:rPr>
            </w:pPr>
          </w:p>
        </w:tc>
      </w:tr>
      <w:tr w:rsidR="00191D2E" w:rsidTr="00637BF4">
        <w:tc>
          <w:tcPr>
            <w:tcW w:w="639" w:type="dxa"/>
          </w:tcPr>
          <w:p w:rsidR="00191D2E" w:rsidRDefault="00191D2E" w:rsidP="00191D2E">
            <w:pPr>
              <w:tabs>
                <w:tab w:val="left" w:pos="1701"/>
              </w:tabs>
              <w:rPr>
                <w:b/>
                <w:snapToGrid w:val="0"/>
              </w:rPr>
            </w:pPr>
            <w:r>
              <w:rPr>
                <w:b/>
                <w:snapToGrid w:val="0"/>
              </w:rPr>
              <w:t>§ 10</w:t>
            </w:r>
          </w:p>
          <w:p w:rsidR="00191D2E" w:rsidRDefault="00191D2E" w:rsidP="00191D2E">
            <w:pPr>
              <w:tabs>
                <w:tab w:val="left" w:pos="1701"/>
              </w:tabs>
              <w:rPr>
                <w:b/>
                <w:snapToGrid w:val="0"/>
              </w:rPr>
            </w:pPr>
          </w:p>
        </w:tc>
        <w:tc>
          <w:tcPr>
            <w:tcW w:w="7583" w:type="dxa"/>
          </w:tcPr>
          <w:p w:rsidR="00191D2E" w:rsidRDefault="00191D2E" w:rsidP="00191D2E">
            <w:pPr>
              <w:outlineLvl w:val="0"/>
              <w:rPr>
                <w:rFonts w:eastAsiaTheme="minorHAnsi"/>
                <w:b/>
                <w:bCs/>
                <w:color w:val="000000"/>
                <w:szCs w:val="24"/>
                <w:lang w:eastAsia="en-US"/>
              </w:rPr>
            </w:pPr>
            <w:r>
              <w:rPr>
                <w:rFonts w:eastAsiaTheme="minorHAnsi"/>
                <w:b/>
                <w:bCs/>
                <w:color w:val="000000"/>
                <w:szCs w:val="24"/>
                <w:lang w:eastAsia="en-US"/>
              </w:rPr>
              <w:t>Justering av protokoll</w:t>
            </w:r>
          </w:p>
          <w:p w:rsidR="000413E5" w:rsidRPr="000413E5" w:rsidRDefault="000413E5" w:rsidP="00191D2E">
            <w:pPr>
              <w:outlineLvl w:val="0"/>
            </w:pPr>
            <w:r w:rsidRPr="000413E5">
              <w:t>Utskottet justerade protokoll 2021/22:1 och 2.</w:t>
            </w:r>
          </w:p>
          <w:p w:rsidR="000413E5" w:rsidRDefault="000413E5" w:rsidP="00191D2E">
            <w:pPr>
              <w:outlineLvl w:val="0"/>
              <w:rPr>
                <w:b/>
              </w:rPr>
            </w:pPr>
          </w:p>
        </w:tc>
      </w:tr>
      <w:tr w:rsidR="00191D2E" w:rsidTr="00433A7F">
        <w:trPr>
          <w:trHeight w:val="1324"/>
        </w:trPr>
        <w:tc>
          <w:tcPr>
            <w:tcW w:w="639" w:type="dxa"/>
          </w:tcPr>
          <w:p w:rsidR="00191D2E" w:rsidRDefault="00191D2E" w:rsidP="00191D2E">
            <w:pPr>
              <w:tabs>
                <w:tab w:val="left" w:pos="1701"/>
              </w:tabs>
              <w:rPr>
                <w:b/>
                <w:snapToGrid w:val="0"/>
              </w:rPr>
            </w:pPr>
            <w:r>
              <w:rPr>
                <w:b/>
                <w:snapToGrid w:val="0"/>
              </w:rPr>
              <w:t>§ 11</w:t>
            </w:r>
          </w:p>
        </w:tc>
        <w:tc>
          <w:tcPr>
            <w:tcW w:w="7583" w:type="dxa"/>
          </w:tcPr>
          <w:p w:rsidR="00191D2E" w:rsidRDefault="00191D2E" w:rsidP="004076AF">
            <w:pPr>
              <w:outlineLvl w:val="0"/>
            </w:pPr>
            <w:r>
              <w:rPr>
                <w:rFonts w:eastAsiaTheme="minorHAnsi"/>
                <w:b/>
                <w:bCs/>
                <w:color w:val="000000"/>
                <w:szCs w:val="24"/>
                <w:lang w:eastAsia="en-US"/>
              </w:rPr>
              <w:t>Riksrevisionens granskning av miljöskatter på lång sikt (FiU8)</w:t>
            </w:r>
            <w:r>
              <w:rPr>
                <w:rFonts w:eastAsiaTheme="minorHAnsi"/>
                <w:color w:val="000000"/>
                <w:szCs w:val="24"/>
                <w:lang w:eastAsia="en-US"/>
              </w:rPr>
              <w:br/>
            </w:r>
            <w:r w:rsidR="004076AF" w:rsidRPr="004076AF">
              <w:t xml:space="preserve">Utskottet inledde behandlingen av skrivelse 2020/21:167 och en </w:t>
            </w:r>
            <w:hyperlink r:id="rId8" w:history="1">
              <w:r w:rsidR="004076AF" w:rsidRPr="004076AF">
                <w:rPr>
                  <w:rStyle w:val="Hyperlnk"/>
                  <w:color w:val="auto"/>
                  <w:u w:val="none"/>
                </w:rPr>
                <w:t>motion</w:t>
              </w:r>
            </w:hyperlink>
            <w:r w:rsidR="004076AF">
              <w:t>.</w:t>
            </w:r>
          </w:p>
          <w:p w:rsidR="004076AF" w:rsidRDefault="004076AF" w:rsidP="004076AF">
            <w:pPr>
              <w:outlineLvl w:val="0"/>
              <w:rPr>
                <w:b/>
              </w:rPr>
            </w:pPr>
          </w:p>
          <w:p w:rsidR="004076AF" w:rsidRPr="004076AF" w:rsidRDefault="004076AF" w:rsidP="004076AF">
            <w:pPr>
              <w:outlineLvl w:val="0"/>
            </w:pPr>
            <w:r w:rsidRPr="004076AF">
              <w:t xml:space="preserve">Ärendet bordlades. </w:t>
            </w:r>
          </w:p>
        </w:tc>
      </w:tr>
      <w:tr w:rsidR="00191D2E" w:rsidTr="00637BF4">
        <w:trPr>
          <w:trHeight w:val="1028"/>
        </w:trPr>
        <w:tc>
          <w:tcPr>
            <w:tcW w:w="639" w:type="dxa"/>
          </w:tcPr>
          <w:p w:rsidR="00191D2E" w:rsidRDefault="00191D2E" w:rsidP="00191D2E">
            <w:pPr>
              <w:tabs>
                <w:tab w:val="left" w:pos="1701"/>
              </w:tabs>
              <w:rPr>
                <w:b/>
                <w:snapToGrid w:val="0"/>
              </w:rPr>
            </w:pPr>
            <w:r>
              <w:rPr>
                <w:b/>
                <w:snapToGrid w:val="0"/>
              </w:rPr>
              <w:t>§ 12</w:t>
            </w:r>
          </w:p>
        </w:tc>
        <w:tc>
          <w:tcPr>
            <w:tcW w:w="7583" w:type="dxa"/>
          </w:tcPr>
          <w:p w:rsidR="004076AF" w:rsidRDefault="00191D2E" w:rsidP="004076AF">
            <w:pPr>
              <w:outlineLvl w:val="0"/>
            </w:pPr>
            <w:r>
              <w:rPr>
                <w:rFonts w:eastAsiaTheme="minorHAnsi"/>
                <w:b/>
                <w:bCs/>
                <w:color w:val="000000"/>
                <w:szCs w:val="24"/>
                <w:lang w:eastAsia="en-US"/>
              </w:rPr>
              <w:t>Riksrevisorns årliga rapport 2021 (FiU9)</w:t>
            </w:r>
            <w:r w:rsidR="004076AF">
              <w:rPr>
                <w:rFonts w:eastAsiaTheme="minorHAnsi"/>
                <w:b/>
                <w:bCs/>
                <w:color w:val="000000"/>
                <w:szCs w:val="24"/>
                <w:lang w:eastAsia="en-US"/>
              </w:rPr>
              <w:br/>
            </w:r>
            <w:r w:rsidR="004076AF" w:rsidRPr="004076AF">
              <w:t xml:space="preserve">Utskottet inledde behandlingen av </w:t>
            </w:r>
            <w:r w:rsidR="004076AF">
              <w:t>redogörelse</w:t>
            </w:r>
            <w:r w:rsidR="004076AF" w:rsidRPr="004076AF">
              <w:t xml:space="preserve"> 2020/</w:t>
            </w:r>
            <w:proofErr w:type="gramStart"/>
            <w:r w:rsidR="004076AF" w:rsidRPr="004076AF">
              <w:t>21:</w:t>
            </w:r>
            <w:r w:rsidR="004076AF">
              <w:t>RR</w:t>
            </w:r>
            <w:proofErr w:type="gramEnd"/>
            <w:r w:rsidR="004076AF">
              <w:t>5.</w:t>
            </w:r>
            <w:r w:rsidR="004076AF" w:rsidRPr="004076AF">
              <w:rPr>
                <w:b/>
                <w:color w:val="000000"/>
                <w:szCs w:val="24"/>
              </w:rPr>
              <w:br/>
            </w:r>
          </w:p>
          <w:p w:rsidR="004076AF" w:rsidRPr="004076AF" w:rsidRDefault="004076AF" w:rsidP="004076AF">
            <w:pPr>
              <w:outlineLvl w:val="0"/>
              <w:rPr>
                <w:b/>
                <w:color w:val="000000"/>
                <w:szCs w:val="24"/>
              </w:rPr>
            </w:pPr>
            <w:r w:rsidRPr="004076AF">
              <w:t>Ärendet bordlades.</w:t>
            </w:r>
          </w:p>
          <w:p w:rsidR="00191D2E" w:rsidRPr="00AD47F5" w:rsidRDefault="00191D2E" w:rsidP="00191D2E">
            <w:pPr>
              <w:widowControl/>
              <w:autoSpaceDE w:val="0"/>
              <w:autoSpaceDN w:val="0"/>
              <w:adjustRightInd w:val="0"/>
              <w:rPr>
                <w:b/>
                <w:color w:val="000000"/>
                <w:szCs w:val="24"/>
              </w:rPr>
            </w:pPr>
          </w:p>
        </w:tc>
      </w:tr>
      <w:tr w:rsidR="00191D2E" w:rsidTr="00433A7F">
        <w:trPr>
          <w:trHeight w:val="1609"/>
        </w:trPr>
        <w:tc>
          <w:tcPr>
            <w:tcW w:w="639" w:type="dxa"/>
          </w:tcPr>
          <w:p w:rsidR="00191D2E" w:rsidRDefault="00191D2E" w:rsidP="00191D2E">
            <w:pPr>
              <w:tabs>
                <w:tab w:val="left" w:pos="1701"/>
              </w:tabs>
              <w:rPr>
                <w:b/>
                <w:snapToGrid w:val="0"/>
              </w:rPr>
            </w:pPr>
            <w:r>
              <w:rPr>
                <w:b/>
                <w:snapToGrid w:val="0"/>
              </w:rPr>
              <w:lastRenderedPageBreak/>
              <w:t>§ 13</w:t>
            </w:r>
          </w:p>
        </w:tc>
        <w:tc>
          <w:tcPr>
            <w:tcW w:w="7583" w:type="dxa"/>
          </w:tcPr>
          <w:p w:rsidR="00433A7F" w:rsidRDefault="00191D2E" w:rsidP="004076AF">
            <w:pPr>
              <w:widowControl/>
              <w:autoSpaceDE w:val="0"/>
              <w:autoSpaceDN w:val="0"/>
              <w:adjustRightInd w:val="0"/>
            </w:pPr>
            <w:r w:rsidRPr="005D4E46">
              <w:rPr>
                <w:b/>
                <w:color w:val="000000"/>
                <w:szCs w:val="24"/>
              </w:rPr>
              <w:t xml:space="preserve">Kommissionens förslag om förlängning av övergångsbestämmelser enligt </w:t>
            </w:r>
            <w:proofErr w:type="spellStart"/>
            <w:r w:rsidRPr="005D4E46">
              <w:rPr>
                <w:b/>
                <w:color w:val="000000"/>
                <w:szCs w:val="24"/>
              </w:rPr>
              <w:t>Priip</w:t>
            </w:r>
            <w:proofErr w:type="spellEnd"/>
            <w:r w:rsidRPr="005D4E46">
              <w:rPr>
                <w:b/>
                <w:color w:val="000000"/>
                <w:szCs w:val="24"/>
              </w:rPr>
              <w:t xml:space="preserve"> förordningen</w:t>
            </w:r>
            <w:r w:rsidR="004076AF">
              <w:rPr>
                <w:b/>
                <w:color w:val="000000"/>
                <w:szCs w:val="24"/>
              </w:rPr>
              <w:br/>
            </w:r>
            <w:r w:rsidR="00433A7F">
              <w:t xml:space="preserve">Utskottet inledde subsidiaritetsprövningen av </w:t>
            </w:r>
            <w:proofErr w:type="gramStart"/>
            <w:r w:rsidR="00433A7F" w:rsidRPr="00433A7F">
              <w:rPr>
                <w:color w:val="000000"/>
                <w:szCs w:val="24"/>
              </w:rPr>
              <w:t>COM(</w:t>
            </w:r>
            <w:proofErr w:type="gramEnd"/>
            <w:r w:rsidR="00433A7F" w:rsidRPr="00433A7F">
              <w:rPr>
                <w:color w:val="000000"/>
                <w:szCs w:val="24"/>
              </w:rPr>
              <w:t>2021) 397</w:t>
            </w:r>
            <w:r w:rsidR="00433A7F" w:rsidRPr="00433A7F">
              <w:t>.</w:t>
            </w:r>
            <w:r w:rsidR="00433A7F">
              <w:t xml:space="preserve"> </w:t>
            </w:r>
          </w:p>
          <w:p w:rsidR="00433A7F" w:rsidRDefault="00433A7F" w:rsidP="004076AF">
            <w:pPr>
              <w:widowControl/>
              <w:autoSpaceDE w:val="0"/>
              <w:autoSpaceDN w:val="0"/>
              <w:adjustRightInd w:val="0"/>
            </w:pPr>
          </w:p>
          <w:p w:rsidR="004076AF" w:rsidRPr="004076AF" w:rsidRDefault="00433A7F" w:rsidP="004076AF">
            <w:pPr>
              <w:widowControl/>
              <w:autoSpaceDE w:val="0"/>
              <w:autoSpaceDN w:val="0"/>
              <w:adjustRightInd w:val="0"/>
              <w:rPr>
                <w:b/>
                <w:color w:val="000000"/>
                <w:szCs w:val="24"/>
              </w:rPr>
            </w:pPr>
            <w:r>
              <w:t xml:space="preserve">Utskottet ansåg att förslaget inte strider mot subsidiaritetsprincipen. </w:t>
            </w:r>
          </w:p>
          <w:p w:rsidR="00191D2E" w:rsidRPr="005D4E46" w:rsidRDefault="00191D2E" w:rsidP="00191D2E">
            <w:pPr>
              <w:widowControl/>
              <w:autoSpaceDE w:val="0"/>
              <w:autoSpaceDN w:val="0"/>
              <w:adjustRightInd w:val="0"/>
              <w:rPr>
                <w:b/>
                <w:color w:val="000000"/>
                <w:szCs w:val="24"/>
              </w:rPr>
            </w:pPr>
          </w:p>
        </w:tc>
      </w:tr>
      <w:tr w:rsidR="00191D2E" w:rsidTr="00637BF4">
        <w:trPr>
          <w:trHeight w:val="1288"/>
        </w:trPr>
        <w:tc>
          <w:tcPr>
            <w:tcW w:w="639" w:type="dxa"/>
          </w:tcPr>
          <w:p w:rsidR="00191D2E" w:rsidRDefault="00191D2E" w:rsidP="00191D2E">
            <w:pPr>
              <w:tabs>
                <w:tab w:val="left" w:pos="1701"/>
              </w:tabs>
              <w:rPr>
                <w:b/>
                <w:snapToGrid w:val="0"/>
              </w:rPr>
            </w:pPr>
            <w:r>
              <w:rPr>
                <w:b/>
                <w:snapToGrid w:val="0"/>
              </w:rPr>
              <w:t>§ 14</w:t>
            </w:r>
          </w:p>
        </w:tc>
        <w:tc>
          <w:tcPr>
            <w:tcW w:w="7583" w:type="dxa"/>
          </w:tcPr>
          <w:p w:rsidR="00191D2E" w:rsidRDefault="00191D2E" w:rsidP="00191D2E">
            <w:pPr>
              <w:widowControl/>
              <w:autoSpaceDE w:val="0"/>
              <w:autoSpaceDN w:val="0"/>
              <w:adjustRightInd w:val="0"/>
              <w:rPr>
                <w:rFonts w:eastAsiaTheme="minorHAnsi"/>
                <w:b/>
                <w:bCs/>
                <w:color w:val="000000"/>
                <w:szCs w:val="24"/>
                <w:lang w:eastAsia="en-US"/>
              </w:rPr>
            </w:pPr>
            <w:r>
              <w:rPr>
                <w:rFonts w:eastAsiaTheme="minorHAnsi"/>
                <w:b/>
                <w:bCs/>
                <w:color w:val="000000"/>
                <w:szCs w:val="24"/>
                <w:lang w:eastAsia="en-US"/>
              </w:rPr>
              <w:t>Kommissionens förslag om ändring av EU-direktivet om värdepappersfonder</w:t>
            </w:r>
          </w:p>
          <w:p w:rsidR="00433A7F" w:rsidRDefault="00433A7F" w:rsidP="00433A7F">
            <w:pPr>
              <w:widowControl/>
              <w:autoSpaceDE w:val="0"/>
              <w:autoSpaceDN w:val="0"/>
              <w:adjustRightInd w:val="0"/>
            </w:pPr>
            <w:r>
              <w:t xml:space="preserve">Utskottet inledde subsidiaritetsprövningen av </w:t>
            </w:r>
            <w:proofErr w:type="gramStart"/>
            <w:r w:rsidRPr="00433A7F">
              <w:rPr>
                <w:color w:val="000000"/>
                <w:szCs w:val="24"/>
              </w:rPr>
              <w:t>COM(</w:t>
            </w:r>
            <w:proofErr w:type="gramEnd"/>
            <w:r w:rsidRPr="00433A7F">
              <w:rPr>
                <w:color w:val="000000"/>
                <w:szCs w:val="24"/>
              </w:rPr>
              <w:t>2021) 39</w:t>
            </w:r>
            <w:r>
              <w:rPr>
                <w:color w:val="000000"/>
                <w:szCs w:val="24"/>
              </w:rPr>
              <w:t>9</w:t>
            </w:r>
            <w:r w:rsidRPr="00433A7F">
              <w:t>.</w:t>
            </w:r>
            <w:r>
              <w:t xml:space="preserve"> </w:t>
            </w:r>
          </w:p>
          <w:p w:rsidR="00433A7F" w:rsidRDefault="00433A7F" w:rsidP="00433A7F">
            <w:pPr>
              <w:widowControl/>
              <w:autoSpaceDE w:val="0"/>
              <w:autoSpaceDN w:val="0"/>
              <w:adjustRightInd w:val="0"/>
            </w:pPr>
          </w:p>
          <w:p w:rsidR="00433A7F" w:rsidRPr="004076AF" w:rsidRDefault="00433A7F" w:rsidP="00433A7F">
            <w:pPr>
              <w:widowControl/>
              <w:autoSpaceDE w:val="0"/>
              <w:autoSpaceDN w:val="0"/>
              <w:adjustRightInd w:val="0"/>
              <w:rPr>
                <w:b/>
                <w:color w:val="000000"/>
                <w:szCs w:val="24"/>
              </w:rPr>
            </w:pPr>
            <w:r>
              <w:t xml:space="preserve">Utskottet ansåg att förslaget inte strider mot subsidiaritetsprincipen. </w:t>
            </w:r>
          </w:p>
          <w:p w:rsidR="004076AF" w:rsidRPr="00305C38" w:rsidRDefault="004076AF" w:rsidP="00433A7F">
            <w:pPr>
              <w:widowControl/>
              <w:autoSpaceDE w:val="0"/>
              <w:autoSpaceDN w:val="0"/>
              <w:adjustRightInd w:val="0"/>
              <w:rPr>
                <w:color w:val="000000"/>
                <w:szCs w:val="24"/>
              </w:rPr>
            </w:pPr>
          </w:p>
        </w:tc>
      </w:tr>
      <w:tr w:rsidR="00191D2E" w:rsidTr="00637BF4">
        <w:trPr>
          <w:trHeight w:val="1845"/>
        </w:trPr>
        <w:tc>
          <w:tcPr>
            <w:tcW w:w="639" w:type="dxa"/>
          </w:tcPr>
          <w:p w:rsidR="00191D2E" w:rsidRDefault="00191D2E" w:rsidP="00191D2E">
            <w:pPr>
              <w:tabs>
                <w:tab w:val="left" w:pos="1701"/>
              </w:tabs>
              <w:rPr>
                <w:b/>
                <w:snapToGrid w:val="0"/>
              </w:rPr>
            </w:pPr>
            <w:bookmarkStart w:id="0" w:name="_Hlk83209900"/>
            <w:r>
              <w:rPr>
                <w:b/>
                <w:snapToGrid w:val="0"/>
              </w:rPr>
              <w:t>§ 15</w:t>
            </w:r>
          </w:p>
        </w:tc>
        <w:tc>
          <w:tcPr>
            <w:tcW w:w="7583" w:type="dxa"/>
          </w:tcPr>
          <w:p w:rsidR="00682429" w:rsidRDefault="00682429" w:rsidP="00682429">
            <w:pPr>
              <w:rPr>
                <w:b/>
                <w:bCs/>
                <w:sz w:val="22"/>
              </w:rPr>
            </w:pPr>
            <w:r>
              <w:rPr>
                <w:b/>
                <w:bCs/>
              </w:rPr>
              <w:t>Inhämtande av yttrande över förslag till utgiftsramar och beräkning av inkomsterna på statens budget</w:t>
            </w:r>
            <w:r>
              <w:rPr>
                <w:b/>
                <w:bCs/>
              </w:rPr>
              <w:br/>
            </w:r>
            <w:r>
              <w:t xml:space="preserve">Finansutskottet beslutar att </w:t>
            </w:r>
          </w:p>
          <w:p w:rsidR="00682429" w:rsidRDefault="00682429" w:rsidP="00682429">
            <w:pPr>
              <w:widowControl/>
              <w:numPr>
                <w:ilvl w:val="0"/>
                <w:numId w:val="11"/>
              </w:numPr>
              <w:spacing w:line="280" w:lineRule="exact"/>
            </w:pPr>
            <w:r>
              <w:rPr>
                <w:i/>
                <w:iCs/>
              </w:rPr>
              <w:t xml:space="preserve">dels </w:t>
            </w:r>
            <w:r>
              <w:t xml:space="preserve">bereda utskotten tillfälle att senast torsdagen den 28 oktober 2021 kl. 14.00 avge yttrande (inkl. avvikande meningar) över proposition 2021/22:1 Budgetpropositionen för 2022 (Förslag till statens budget för 2022, finansplan och skattefrågor) samt de motioner som kan komma att väckas i de delar de rör inkomster och utgifter som berör respektive utskotts ämnesområde, </w:t>
            </w:r>
          </w:p>
          <w:p w:rsidR="00682429" w:rsidRDefault="00682429" w:rsidP="00682429">
            <w:pPr>
              <w:ind w:left="720"/>
            </w:pPr>
          </w:p>
          <w:p w:rsidR="00682429" w:rsidRDefault="00682429" w:rsidP="00682429">
            <w:pPr>
              <w:widowControl/>
              <w:numPr>
                <w:ilvl w:val="0"/>
                <w:numId w:val="11"/>
              </w:numPr>
              <w:spacing w:line="280" w:lineRule="exact"/>
            </w:pPr>
            <w:r>
              <w:rPr>
                <w:i/>
                <w:iCs/>
              </w:rPr>
              <w:t xml:space="preserve">dels </w:t>
            </w:r>
            <w:r>
              <w:t xml:space="preserve">bereda skatteutskottet tillfälle att senast torsdagen den 11 november 2021 kl. 14.00 avge yttrande (inkl. avvikande meningar) över proposition 2021/22:1 Budgetpropositionen för 2022 (Förslag till statens budget för 2022, finansplan och skattefrågor) samt de motioner som kan komma att väckas i de delar de berör inkomstsidan på skatteutskottets ämnesområde. </w:t>
            </w:r>
          </w:p>
          <w:p w:rsidR="00682429" w:rsidRDefault="00682429" w:rsidP="00682429"/>
          <w:p w:rsidR="00682429" w:rsidRDefault="00682429" w:rsidP="00682429">
            <w:r>
              <w:t>Denna paragraf förklarades omedelbart justerad.</w:t>
            </w:r>
          </w:p>
          <w:p w:rsidR="00191D2E" w:rsidRPr="00BD7B20" w:rsidRDefault="00191D2E" w:rsidP="00682429">
            <w:pPr>
              <w:rPr>
                <w:szCs w:val="24"/>
              </w:rPr>
            </w:pPr>
          </w:p>
        </w:tc>
      </w:tr>
      <w:tr w:rsidR="00191D2E" w:rsidTr="00637BF4">
        <w:trPr>
          <w:trHeight w:val="707"/>
        </w:trPr>
        <w:tc>
          <w:tcPr>
            <w:tcW w:w="639" w:type="dxa"/>
          </w:tcPr>
          <w:p w:rsidR="00191D2E" w:rsidRDefault="00191D2E" w:rsidP="00191D2E">
            <w:pPr>
              <w:tabs>
                <w:tab w:val="left" w:pos="1701"/>
              </w:tabs>
              <w:rPr>
                <w:b/>
                <w:snapToGrid w:val="0"/>
              </w:rPr>
            </w:pPr>
            <w:r>
              <w:rPr>
                <w:b/>
                <w:snapToGrid w:val="0"/>
              </w:rPr>
              <w:t>§ 16</w:t>
            </w:r>
          </w:p>
          <w:p w:rsidR="00191D2E" w:rsidRDefault="00191D2E" w:rsidP="00191D2E">
            <w:pPr>
              <w:tabs>
                <w:tab w:val="left" w:pos="1701"/>
              </w:tabs>
              <w:rPr>
                <w:b/>
                <w:snapToGrid w:val="0"/>
              </w:rPr>
            </w:pPr>
          </w:p>
        </w:tc>
        <w:tc>
          <w:tcPr>
            <w:tcW w:w="7583" w:type="dxa"/>
          </w:tcPr>
          <w:p w:rsidR="00682429" w:rsidRPr="00682429" w:rsidRDefault="00682429" w:rsidP="00682429">
            <w:pPr>
              <w:widowControl/>
              <w:spacing w:line="280" w:lineRule="exact"/>
              <w:rPr>
                <w:iCs/>
              </w:rPr>
            </w:pPr>
            <w:r w:rsidRPr="00682429">
              <w:rPr>
                <w:b/>
                <w:iCs/>
              </w:rPr>
              <w:t>Inhämtande av yttrande över förslag till höständringsbudget för 202</w:t>
            </w:r>
            <w:r w:rsidR="00637BF4">
              <w:rPr>
                <w:b/>
                <w:iCs/>
              </w:rPr>
              <w:t>1</w:t>
            </w:r>
            <w:r w:rsidRPr="00682429">
              <w:rPr>
                <w:iCs/>
              </w:rPr>
              <w:br/>
              <w:t>Finansutskottet beslutar att bereda konstitutionsutskottet, skatteutskottet,  justitieutskottet, civilutskottet, utrikesutskottet, försvarsutskottet, socialförsäkringsutskottet, socialutskottet, kulturutskottet, utbildningsutskottet, trafikutskottet, miljö- och jordbruksutskottet och näringsutskottet, tillfälle att senast torsdagen den 28 oktober 2021 kl. 14.00 avge yttrande (inkl. avvikande meningar) över proposition 2021/22:2 Höständringsbudget för 2021 samt de motioner som kan komma att väckas med anledning av propositionen i de delar de berör respektive utskotts ämnesområde.</w:t>
            </w:r>
          </w:p>
          <w:p w:rsidR="00682429" w:rsidRPr="00682429" w:rsidRDefault="00682429" w:rsidP="00682429">
            <w:pPr>
              <w:widowControl/>
              <w:spacing w:line="280" w:lineRule="exact"/>
              <w:ind w:left="360"/>
              <w:rPr>
                <w:iCs/>
              </w:rPr>
            </w:pPr>
          </w:p>
          <w:p w:rsidR="00682429" w:rsidRPr="00682429" w:rsidRDefault="00682429" w:rsidP="00682429">
            <w:pPr>
              <w:widowControl/>
              <w:spacing w:line="280" w:lineRule="exact"/>
              <w:rPr>
                <w:iCs/>
              </w:rPr>
            </w:pPr>
            <w:r w:rsidRPr="00682429">
              <w:rPr>
                <w:iCs/>
              </w:rPr>
              <w:t>Denna paragraf förklarades omedelbart justerad.</w:t>
            </w:r>
          </w:p>
          <w:p w:rsidR="00191D2E" w:rsidRPr="00682429" w:rsidRDefault="00191D2E" w:rsidP="00682429">
            <w:pPr>
              <w:widowControl/>
              <w:spacing w:line="280" w:lineRule="exact"/>
              <w:ind w:left="360"/>
              <w:rPr>
                <w:iCs/>
              </w:rPr>
            </w:pPr>
          </w:p>
        </w:tc>
      </w:tr>
      <w:bookmarkEnd w:id="0"/>
      <w:tr w:rsidR="00191D2E" w:rsidTr="0070047B">
        <w:trPr>
          <w:trHeight w:val="617"/>
        </w:trPr>
        <w:tc>
          <w:tcPr>
            <w:tcW w:w="639" w:type="dxa"/>
          </w:tcPr>
          <w:p w:rsidR="00191D2E" w:rsidRDefault="00191D2E" w:rsidP="00191D2E">
            <w:pPr>
              <w:tabs>
                <w:tab w:val="left" w:pos="1701"/>
              </w:tabs>
              <w:rPr>
                <w:b/>
                <w:snapToGrid w:val="0"/>
              </w:rPr>
            </w:pPr>
            <w:r>
              <w:rPr>
                <w:b/>
                <w:snapToGrid w:val="0"/>
              </w:rPr>
              <w:t>§ 17</w:t>
            </w:r>
          </w:p>
          <w:p w:rsidR="00191D2E" w:rsidRDefault="00191D2E" w:rsidP="00191D2E">
            <w:pPr>
              <w:tabs>
                <w:tab w:val="left" w:pos="1701"/>
              </w:tabs>
              <w:rPr>
                <w:b/>
                <w:snapToGrid w:val="0"/>
              </w:rPr>
            </w:pPr>
          </w:p>
        </w:tc>
        <w:tc>
          <w:tcPr>
            <w:tcW w:w="7583" w:type="dxa"/>
          </w:tcPr>
          <w:p w:rsidR="00191D2E" w:rsidRDefault="00191D2E" w:rsidP="00191D2E">
            <w:pPr>
              <w:outlineLvl w:val="0"/>
              <w:rPr>
                <w:rFonts w:eastAsiaTheme="minorHAnsi"/>
                <w:b/>
                <w:bCs/>
                <w:color w:val="000000"/>
                <w:szCs w:val="22"/>
                <w:lang w:eastAsia="en-US"/>
              </w:rPr>
            </w:pPr>
            <w:r>
              <w:rPr>
                <w:rFonts w:eastAsiaTheme="minorHAnsi"/>
                <w:b/>
                <w:bCs/>
                <w:color w:val="000000"/>
                <w:szCs w:val="22"/>
                <w:lang w:eastAsia="en-US"/>
              </w:rPr>
              <w:t>Brev till kommissionen angående EU:s skogsstrategi</w:t>
            </w:r>
          </w:p>
          <w:p w:rsidR="0070047B" w:rsidRPr="00985A1B" w:rsidRDefault="0070047B" w:rsidP="0070047B">
            <w:pPr>
              <w:outlineLvl w:val="0"/>
              <w:rPr>
                <w:bCs/>
              </w:rPr>
            </w:pPr>
            <w:r>
              <w:rPr>
                <w:bCs/>
              </w:rPr>
              <w:t xml:space="preserve">Utskottet behandlade fråga </w:t>
            </w:r>
            <w:r w:rsidRPr="00985A1B">
              <w:rPr>
                <w:bCs/>
              </w:rPr>
              <w:t xml:space="preserve">om yttrande till </w:t>
            </w:r>
            <w:r>
              <w:rPr>
                <w:rFonts w:eastAsiaTheme="minorHAnsi"/>
                <w:color w:val="000000"/>
                <w:szCs w:val="24"/>
                <w:lang w:eastAsia="en-US"/>
              </w:rPr>
              <w:t xml:space="preserve">miljö- och jordbruksutskottet </w:t>
            </w:r>
            <w:r>
              <w:rPr>
                <w:bCs/>
              </w:rPr>
              <w:t xml:space="preserve">över ett </w:t>
            </w:r>
            <w:r w:rsidRPr="00985A1B">
              <w:rPr>
                <w:bCs/>
              </w:rPr>
              <w:t>förslag till utskottsinitiativ</w:t>
            </w:r>
            <w:r>
              <w:rPr>
                <w:bCs/>
              </w:rPr>
              <w:t>.</w:t>
            </w:r>
          </w:p>
          <w:p w:rsidR="00BF5430" w:rsidRDefault="00BF5430" w:rsidP="00191D2E">
            <w:pPr>
              <w:outlineLvl w:val="0"/>
              <w:rPr>
                <w:rFonts w:eastAsiaTheme="minorHAnsi"/>
                <w:color w:val="000000"/>
                <w:szCs w:val="22"/>
                <w:lang w:eastAsia="en-US"/>
              </w:rPr>
            </w:pPr>
          </w:p>
          <w:p w:rsidR="0070047B" w:rsidRDefault="0070047B" w:rsidP="00191D2E">
            <w:pPr>
              <w:outlineLvl w:val="0"/>
              <w:rPr>
                <w:bCs/>
              </w:rPr>
            </w:pPr>
            <w:r>
              <w:rPr>
                <w:bCs/>
              </w:rPr>
              <w:t xml:space="preserve">Utskottet beslutade att inte yttra sig. </w:t>
            </w:r>
          </w:p>
          <w:p w:rsidR="00433A7F" w:rsidRPr="0070047B" w:rsidRDefault="00433A7F" w:rsidP="00191D2E">
            <w:pPr>
              <w:outlineLvl w:val="0"/>
              <w:rPr>
                <w:bCs/>
              </w:rPr>
            </w:pPr>
          </w:p>
        </w:tc>
      </w:tr>
      <w:tr w:rsidR="00191D2E" w:rsidTr="00637BF4">
        <w:trPr>
          <w:trHeight w:val="707"/>
        </w:trPr>
        <w:tc>
          <w:tcPr>
            <w:tcW w:w="639" w:type="dxa"/>
          </w:tcPr>
          <w:p w:rsidR="00191D2E" w:rsidRDefault="00191D2E" w:rsidP="00191D2E">
            <w:pPr>
              <w:tabs>
                <w:tab w:val="left" w:pos="1701"/>
              </w:tabs>
              <w:rPr>
                <w:b/>
                <w:snapToGrid w:val="0"/>
              </w:rPr>
            </w:pPr>
            <w:r>
              <w:rPr>
                <w:b/>
                <w:snapToGrid w:val="0"/>
              </w:rPr>
              <w:t>§ 18</w:t>
            </w:r>
          </w:p>
          <w:p w:rsidR="00191D2E" w:rsidRDefault="00191D2E" w:rsidP="00191D2E">
            <w:pPr>
              <w:tabs>
                <w:tab w:val="left" w:pos="1701"/>
              </w:tabs>
              <w:rPr>
                <w:b/>
                <w:snapToGrid w:val="0"/>
              </w:rPr>
            </w:pPr>
          </w:p>
        </w:tc>
        <w:tc>
          <w:tcPr>
            <w:tcW w:w="7583" w:type="dxa"/>
          </w:tcPr>
          <w:p w:rsidR="00BF5430" w:rsidRDefault="00191D2E" w:rsidP="00BF5430">
            <w:pPr>
              <w:outlineLvl w:val="0"/>
              <w:rPr>
                <w:rFonts w:eastAsiaTheme="minorHAnsi"/>
                <w:bCs/>
                <w:color w:val="000000"/>
                <w:szCs w:val="22"/>
                <w:lang w:eastAsia="en-US"/>
              </w:rPr>
            </w:pPr>
            <w:r>
              <w:rPr>
                <w:rFonts w:eastAsiaTheme="minorHAnsi"/>
                <w:b/>
                <w:bCs/>
                <w:color w:val="000000"/>
                <w:szCs w:val="22"/>
                <w:lang w:eastAsia="en-US"/>
              </w:rPr>
              <w:t>Åtgärder för att rädda fiskbestånden i Östersjön</w:t>
            </w:r>
            <w:r w:rsidR="00BF5430">
              <w:rPr>
                <w:rFonts w:eastAsiaTheme="minorHAnsi"/>
                <w:b/>
                <w:bCs/>
                <w:color w:val="000000"/>
                <w:szCs w:val="22"/>
                <w:lang w:eastAsia="en-US"/>
              </w:rPr>
              <w:br/>
            </w:r>
            <w:r w:rsidR="0070047B">
              <w:rPr>
                <w:bCs/>
              </w:rPr>
              <w:t xml:space="preserve">Utskottet behandlade fråga </w:t>
            </w:r>
            <w:r w:rsidR="0070047B" w:rsidRPr="00985A1B">
              <w:rPr>
                <w:bCs/>
              </w:rPr>
              <w:t xml:space="preserve">om yttrande till </w:t>
            </w:r>
            <w:r w:rsidR="00BF5430" w:rsidRPr="00BF5430">
              <w:rPr>
                <w:rFonts w:eastAsiaTheme="minorHAnsi"/>
                <w:bCs/>
                <w:color w:val="000000"/>
                <w:szCs w:val="22"/>
                <w:lang w:eastAsia="en-US"/>
              </w:rPr>
              <w:t xml:space="preserve">miljö- och jordbruksutskottet över fem olika förslag till utskottsinitiativ angående åtgärder för att rädda </w:t>
            </w:r>
            <w:r w:rsidR="00BF5430" w:rsidRPr="00BF5430">
              <w:rPr>
                <w:rFonts w:eastAsiaTheme="minorHAnsi"/>
                <w:bCs/>
                <w:color w:val="000000"/>
                <w:szCs w:val="22"/>
                <w:lang w:eastAsia="en-US"/>
              </w:rPr>
              <w:lastRenderedPageBreak/>
              <w:t>fiskbestånden i Östersjön</w:t>
            </w:r>
            <w:r w:rsidR="0070047B">
              <w:rPr>
                <w:rFonts w:eastAsiaTheme="minorHAnsi"/>
                <w:bCs/>
                <w:color w:val="000000"/>
                <w:szCs w:val="22"/>
                <w:lang w:eastAsia="en-US"/>
              </w:rPr>
              <w:t xml:space="preserve">. </w:t>
            </w:r>
          </w:p>
          <w:p w:rsidR="0070047B" w:rsidRDefault="0070047B" w:rsidP="00BF5430">
            <w:pPr>
              <w:outlineLvl w:val="0"/>
              <w:rPr>
                <w:rFonts w:eastAsiaTheme="minorHAnsi"/>
                <w:bCs/>
                <w:color w:val="000000"/>
                <w:szCs w:val="22"/>
                <w:lang w:eastAsia="en-US"/>
              </w:rPr>
            </w:pPr>
          </w:p>
          <w:p w:rsidR="0070047B" w:rsidRPr="00BF5430" w:rsidRDefault="0070047B" w:rsidP="00BF5430">
            <w:pPr>
              <w:outlineLvl w:val="0"/>
              <w:rPr>
                <w:rFonts w:eastAsiaTheme="minorHAnsi"/>
                <w:bCs/>
                <w:color w:val="000000"/>
                <w:szCs w:val="22"/>
                <w:lang w:eastAsia="en-US"/>
              </w:rPr>
            </w:pPr>
            <w:r>
              <w:rPr>
                <w:bCs/>
              </w:rPr>
              <w:t>Utskottet beslutade att inte yttra sig.</w:t>
            </w:r>
          </w:p>
          <w:p w:rsidR="00191D2E" w:rsidRPr="00AD47F5" w:rsidRDefault="00191D2E" w:rsidP="00191D2E">
            <w:pPr>
              <w:outlineLvl w:val="0"/>
              <w:rPr>
                <w:b/>
                <w:bCs/>
              </w:rPr>
            </w:pPr>
          </w:p>
        </w:tc>
      </w:tr>
      <w:tr w:rsidR="00191D2E" w:rsidTr="00637BF4">
        <w:trPr>
          <w:trHeight w:val="707"/>
        </w:trPr>
        <w:tc>
          <w:tcPr>
            <w:tcW w:w="639" w:type="dxa"/>
          </w:tcPr>
          <w:p w:rsidR="00191D2E" w:rsidRDefault="00191D2E" w:rsidP="00191D2E">
            <w:pPr>
              <w:tabs>
                <w:tab w:val="left" w:pos="1701"/>
              </w:tabs>
              <w:rPr>
                <w:b/>
                <w:snapToGrid w:val="0"/>
              </w:rPr>
            </w:pPr>
            <w:r>
              <w:rPr>
                <w:b/>
                <w:snapToGrid w:val="0"/>
              </w:rPr>
              <w:lastRenderedPageBreak/>
              <w:t>§ 20</w:t>
            </w:r>
          </w:p>
        </w:tc>
        <w:tc>
          <w:tcPr>
            <w:tcW w:w="7583" w:type="dxa"/>
          </w:tcPr>
          <w:p w:rsidR="00191D2E" w:rsidRDefault="00191D2E" w:rsidP="00191D2E">
            <w:pPr>
              <w:outlineLvl w:val="0"/>
              <w:rPr>
                <w:b/>
                <w:bCs/>
              </w:rPr>
            </w:pPr>
            <w:r w:rsidRPr="00AD47F5">
              <w:rPr>
                <w:b/>
                <w:bCs/>
              </w:rPr>
              <w:t>Nästa sammanträde</w:t>
            </w:r>
          </w:p>
          <w:p w:rsidR="0070047B" w:rsidRPr="0070047B" w:rsidRDefault="0070047B" w:rsidP="00191D2E">
            <w:pPr>
              <w:outlineLvl w:val="0"/>
              <w:rPr>
                <w:bCs/>
              </w:rPr>
            </w:pPr>
            <w:r w:rsidRPr="0070047B">
              <w:rPr>
                <w:bCs/>
              </w:rPr>
              <w:t>Tisdag 28 september kl. 10.30</w:t>
            </w:r>
          </w:p>
        </w:tc>
      </w:tr>
      <w:tr w:rsidR="00191D2E" w:rsidTr="00637BF4">
        <w:tc>
          <w:tcPr>
            <w:tcW w:w="639" w:type="dxa"/>
          </w:tcPr>
          <w:p w:rsidR="00191D2E" w:rsidRDefault="00191D2E" w:rsidP="00191D2E">
            <w:pPr>
              <w:tabs>
                <w:tab w:val="left" w:pos="1701"/>
              </w:tabs>
              <w:rPr>
                <w:b/>
                <w:snapToGrid w:val="0"/>
              </w:rPr>
            </w:pPr>
          </w:p>
          <w:p w:rsidR="00191D2E" w:rsidRDefault="00191D2E" w:rsidP="00191D2E">
            <w:pPr>
              <w:tabs>
                <w:tab w:val="left" w:pos="1701"/>
              </w:tabs>
              <w:rPr>
                <w:b/>
                <w:snapToGrid w:val="0"/>
              </w:rPr>
            </w:pPr>
          </w:p>
          <w:p w:rsidR="00191D2E" w:rsidRDefault="00191D2E" w:rsidP="00191D2E">
            <w:pPr>
              <w:tabs>
                <w:tab w:val="left" w:pos="1701"/>
              </w:tabs>
              <w:rPr>
                <w:b/>
                <w:snapToGrid w:val="0"/>
              </w:rPr>
            </w:pPr>
          </w:p>
          <w:p w:rsidR="00191D2E" w:rsidRDefault="00191D2E" w:rsidP="00191D2E">
            <w:pPr>
              <w:tabs>
                <w:tab w:val="left" w:pos="1701"/>
              </w:tabs>
              <w:rPr>
                <w:b/>
                <w:snapToGrid w:val="0"/>
              </w:rPr>
            </w:pPr>
          </w:p>
        </w:tc>
        <w:tc>
          <w:tcPr>
            <w:tcW w:w="7583" w:type="dxa"/>
          </w:tcPr>
          <w:p w:rsidR="00191D2E" w:rsidRPr="00CD7E8B" w:rsidRDefault="00191D2E" w:rsidP="00191D2E">
            <w:pPr>
              <w:outlineLvl w:val="0"/>
              <w:rPr>
                <w:bCs/>
              </w:rPr>
            </w:pPr>
          </w:p>
          <w:p w:rsidR="00191D2E" w:rsidRPr="00CD7E8B" w:rsidRDefault="00191D2E" w:rsidP="00191D2E">
            <w:pPr>
              <w:outlineLvl w:val="0"/>
              <w:rPr>
                <w:bCs/>
              </w:rPr>
            </w:pPr>
            <w:r w:rsidRPr="00CD7E8B">
              <w:rPr>
                <w:bCs/>
              </w:rPr>
              <w:t>Justeras</w:t>
            </w:r>
          </w:p>
          <w:p w:rsidR="00191D2E" w:rsidRPr="00CD7E8B" w:rsidRDefault="00191D2E" w:rsidP="00191D2E">
            <w:pPr>
              <w:outlineLvl w:val="0"/>
              <w:rPr>
                <w:bCs/>
              </w:rPr>
            </w:pPr>
          </w:p>
          <w:p w:rsidR="00191D2E" w:rsidRPr="00CD7E8B" w:rsidRDefault="00191D2E" w:rsidP="00191D2E">
            <w:pPr>
              <w:outlineLvl w:val="0"/>
              <w:rPr>
                <w:bCs/>
              </w:rPr>
            </w:pPr>
          </w:p>
          <w:p w:rsidR="00191D2E" w:rsidRPr="00CD7E8B" w:rsidRDefault="00191D2E" w:rsidP="00191D2E">
            <w:pPr>
              <w:outlineLvl w:val="0"/>
              <w:rPr>
                <w:bCs/>
              </w:rPr>
            </w:pPr>
          </w:p>
          <w:p w:rsidR="00191D2E" w:rsidRPr="00CD7E8B" w:rsidRDefault="00840651" w:rsidP="00191D2E">
            <w:pPr>
              <w:outlineLvl w:val="0"/>
              <w:rPr>
                <w:bCs/>
              </w:rPr>
            </w:pPr>
            <w:r>
              <w:rPr>
                <w:bCs/>
              </w:rPr>
              <w:t>Edward Riedl</w:t>
            </w:r>
            <w:bookmarkStart w:id="1" w:name="_GoBack"/>
            <w:bookmarkEnd w:id="1"/>
          </w:p>
          <w:p w:rsidR="00191D2E" w:rsidRPr="00D12ED4" w:rsidRDefault="00191D2E" w:rsidP="00191D2E">
            <w:pPr>
              <w:outlineLvl w:val="0"/>
              <w:rPr>
                <w:bCs/>
              </w:rPr>
            </w:pPr>
          </w:p>
        </w:tc>
      </w:tr>
      <w:tr w:rsidR="00191D2E" w:rsidTr="008035C8">
        <w:tc>
          <w:tcPr>
            <w:tcW w:w="8222" w:type="dxa"/>
            <w:gridSpan w:val="2"/>
          </w:tcPr>
          <w:p w:rsidR="00191D2E" w:rsidRPr="00BD39D1" w:rsidRDefault="00191D2E" w:rsidP="00191D2E">
            <w:pPr>
              <w:outlineLvl w:val="0"/>
            </w:pPr>
          </w:p>
        </w:tc>
      </w:tr>
    </w:tbl>
    <w:p w:rsidR="00294515" w:rsidRDefault="00294515" w:rsidP="00223A90">
      <w:pPr>
        <w:pStyle w:val="Sidhuvud"/>
        <w:tabs>
          <w:tab w:val="clear" w:pos="4536"/>
          <w:tab w:val="left" w:pos="3402"/>
          <w:tab w:val="left" w:pos="6946"/>
        </w:tabs>
        <w:ind w:left="-851"/>
        <w:rPr>
          <w:sz w:val="20"/>
        </w:rPr>
      </w:pPr>
    </w:p>
    <w:p w:rsidR="00294515" w:rsidRDefault="00294515" w:rsidP="00223A90">
      <w:pPr>
        <w:pStyle w:val="Sidhuvud"/>
        <w:tabs>
          <w:tab w:val="clear" w:pos="4536"/>
          <w:tab w:val="left" w:pos="3402"/>
          <w:tab w:val="left" w:pos="6946"/>
        </w:tabs>
        <w:ind w:left="-851"/>
        <w:rPr>
          <w:sz w:val="20"/>
        </w:rPr>
      </w:pPr>
    </w:p>
    <w:p w:rsidR="00294515" w:rsidRDefault="00294515" w:rsidP="00223A90">
      <w:pPr>
        <w:pStyle w:val="Sidhuvud"/>
        <w:tabs>
          <w:tab w:val="clear" w:pos="4536"/>
          <w:tab w:val="left" w:pos="3402"/>
          <w:tab w:val="left" w:pos="6946"/>
        </w:tabs>
        <w:ind w:left="-851"/>
        <w:rPr>
          <w:sz w:val="20"/>
        </w:rPr>
      </w:pPr>
    </w:p>
    <w:p w:rsidR="00294515" w:rsidRDefault="00294515" w:rsidP="00223A90">
      <w:pPr>
        <w:pStyle w:val="Sidhuvud"/>
        <w:tabs>
          <w:tab w:val="clear" w:pos="4536"/>
          <w:tab w:val="left" w:pos="3402"/>
          <w:tab w:val="left" w:pos="6946"/>
        </w:tabs>
        <w:ind w:left="-851"/>
        <w:rPr>
          <w:sz w:val="20"/>
        </w:rPr>
      </w:pPr>
    </w:p>
    <w:p w:rsidR="00192BEE" w:rsidRDefault="00192BEE" w:rsidP="005A0175">
      <w:pPr>
        <w:pStyle w:val="Sidhuvud"/>
        <w:tabs>
          <w:tab w:val="clear" w:pos="4536"/>
          <w:tab w:val="left" w:pos="3402"/>
          <w:tab w:val="left" w:pos="6946"/>
        </w:tabs>
        <w:rPr>
          <w:sz w:val="20"/>
        </w:rPr>
      </w:pPr>
    </w:p>
    <w:p w:rsidR="005A0175" w:rsidRDefault="005A0175" w:rsidP="005A0175">
      <w:pPr>
        <w:pStyle w:val="Sidhuvud"/>
        <w:tabs>
          <w:tab w:val="clear" w:pos="4536"/>
          <w:tab w:val="left" w:pos="3402"/>
          <w:tab w:val="left" w:pos="6946"/>
        </w:tabs>
        <w:rPr>
          <w:sz w:val="20"/>
        </w:rPr>
      </w:pPr>
      <w:r>
        <w:rPr>
          <w:sz w:val="20"/>
        </w:rPr>
        <w:br w:type="page"/>
      </w:r>
    </w:p>
    <w:p w:rsidR="004C6601" w:rsidRDefault="004C6601" w:rsidP="004C6601">
      <w:pPr>
        <w:pStyle w:val="Sidhuvud"/>
        <w:tabs>
          <w:tab w:val="clear" w:pos="4536"/>
          <w:tab w:val="left" w:pos="3402"/>
          <w:tab w:val="left" w:pos="5529"/>
        </w:tabs>
        <w:ind w:left="-851"/>
        <w:rPr>
          <w:sz w:val="22"/>
        </w:rPr>
      </w:pPr>
      <w:r>
        <w:rPr>
          <w:sz w:val="20"/>
        </w:rPr>
        <w:lastRenderedPageBreak/>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w:t>
      </w:r>
      <w:r w:rsidR="00914E3E">
        <w:rPr>
          <w:sz w:val="22"/>
          <w:szCs w:val="22"/>
        </w:rPr>
        <w:t>21</w:t>
      </w:r>
      <w:r>
        <w:rPr>
          <w:sz w:val="22"/>
          <w:szCs w:val="22"/>
        </w:rPr>
        <w:t>/</w:t>
      </w:r>
      <w:r w:rsidR="00917732">
        <w:rPr>
          <w:sz w:val="22"/>
          <w:szCs w:val="22"/>
        </w:rPr>
        <w:t>2</w:t>
      </w:r>
      <w:r w:rsidR="00914E3E">
        <w:rPr>
          <w:sz w:val="22"/>
          <w:szCs w:val="22"/>
        </w:rPr>
        <w:t>2</w:t>
      </w:r>
      <w:r w:rsidRPr="00282678">
        <w:rPr>
          <w:sz w:val="22"/>
          <w:szCs w:val="22"/>
        </w:rPr>
        <w:t>:</w:t>
      </w:r>
      <w:r w:rsidR="005D4E46">
        <w:rPr>
          <w:sz w:val="22"/>
          <w:szCs w:val="22"/>
        </w:rPr>
        <w:t>3</w:t>
      </w:r>
    </w:p>
    <w:p w:rsidR="00282678" w:rsidRDefault="00282678" w:rsidP="00282678">
      <w:pPr>
        <w:pStyle w:val="Sidhuvud"/>
        <w:tabs>
          <w:tab w:val="clear" w:pos="4536"/>
          <w:tab w:val="left" w:pos="3402"/>
          <w:tab w:val="left" w:pos="6946"/>
        </w:tabs>
        <w:ind w:left="-851"/>
        <w:rPr>
          <w:sz w:val="20"/>
        </w:rPr>
      </w:pP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rsidR="004C6601" w:rsidRPr="000E151F" w:rsidRDefault="006D4141" w:rsidP="006B55D9">
            <w:pPr>
              <w:spacing w:line="360" w:lineRule="auto"/>
              <w:rPr>
                <w:sz w:val="22"/>
                <w:szCs w:val="22"/>
              </w:rPr>
            </w:pPr>
            <w:r>
              <w:rPr>
                <w:sz w:val="22"/>
                <w:szCs w:val="22"/>
              </w:rPr>
              <w:t>§1</w:t>
            </w: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6D4141" w:rsidP="006B55D9">
            <w:pPr>
              <w:rPr>
                <w:sz w:val="22"/>
                <w:szCs w:val="22"/>
              </w:rPr>
            </w:pPr>
            <w:r>
              <w:rPr>
                <w:sz w:val="22"/>
                <w:szCs w:val="22"/>
              </w:rPr>
              <w:t>§</w:t>
            </w:r>
            <w:proofErr w:type="gramStart"/>
            <w:r>
              <w:rPr>
                <w:sz w:val="22"/>
                <w:szCs w:val="22"/>
              </w:rPr>
              <w:t>2-20</w:t>
            </w:r>
            <w:proofErr w:type="gramEnd"/>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8A458A" w:rsidP="006B55D9">
            <w:pPr>
              <w:rPr>
                <w:b/>
                <w:i/>
                <w:sz w:val="22"/>
                <w:szCs w:val="22"/>
              </w:rPr>
            </w:pPr>
            <w:r>
              <w:rPr>
                <w:snapToGrid w:val="0"/>
                <w:sz w:val="22"/>
                <w:szCs w:val="22"/>
              </w:rPr>
              <w:t xml:space="preserve"> </w:t>
            </w:r>
            <w:r w:rsidR="00914E3E">
              <w:rPr>
                <w:snapToGrid w:val="0"/>
                <w:sz w:val="22"/>
                <w:szCs w:val="22"/>
              </w:rPr>
              <w:t>Åsa Westlund</w:t>
            </w:r>
            <w:r w:rsidR="004C6601" w:rsidRPr="000E151F">
              <w:rPr>
                <w:snapToGrid w:val="0"/>
                <w:sz w:val="22"/>
                <w:szCs w:val="22"/>
              </w:rPr>
              <w:t xml:space="preserve"> (S)</w:t>
            </w:r>
            <w:r w:rsidR="004C6601">
              <w:rPr>
                <w:snapToGrid w:val="0"/>
                <w:sz w:val="22"/>
                <w:szCs w:val="22"/>
              </w:rPr>
              <w:t xml:space="preserve"> </w:t>
            </w:r>
            <w:r w:rsidR="004C6601" w:rsidRPr="00AF3CA6">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6D4141"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6D4141"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ind w:left="-354" w:firstLine="426"/>
              <w:rPr>
                <w:snapToGrid w:val="0"/>
                <w:sz w:val="22"/>
                <w:szCs w:val="22"/>
              </w:rPr>
            </w:pPr>
            <w:r>
              <w:rPr>
                <w:snapToGrid w:val="0"/>
                <w:sz w:val="22"/>
                <w:szCs w:val="22"/>
              </w:rPr>
              <w:t xml:space="preserve">Elisabeth Svantesson (M) </w:t>
            </w:r>
            <w:r w:rsidRPr="00AF3CA6">
              <w:rPr>
                <w:i/>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6D4141"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rPr>
                <w:snapToGrid w:val="0"/>
                <w:sz w:val="22"/>
                <w:szCs w:val="22"/>
              </w:rPr>
            </w:pPr>
            <w:r>
              <w:rPr>
                <w:snapToGrid w:val="0"/>
                <w:sz w:val="22"/>
                <w:szCs w:val="22"/>
              </w:rPr>
              <w:t xml:space="preserve"> Gunilla Carlsson</w:t>
            </w:r>
            <w:r w:rsidRPr="000E151F">
              <w:rPr>
                <w:snapToGrid w:val="0"/>
                <w:sz w:val="22"/>
                <w:szCs w:val="22"/>
              </w:rPr>
              <w:t xml:space="preserve"> (S) </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6D4141"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rPr>
                <w:snapToGrid w:val="0"/>
                <w:sz w:val="22"/>
                <w:szCs w:val="22"/>
              </w:rPr>
            </w:pPr>
            <w:r>
              <w:rPr>
                <w:snapToGrid w:val="0"/>
                <w:sz w:val="22"/>
                <w:szCs w:val="22"/>
              </w:rPr>
              <w:t xml:space="preserve"> Edward Riedl</w:t>
            </w:r>
            <w:r w:rsidRPr="000E151F">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6D4141"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6D4141"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rPr>
                <w:snapToGrid w:val="0"/>
                <w:sz w:val="22"/>
                <w:szCs w:val="22"/>
              </w:rPr>
            </w:pPr>
            <w:r w:rsidRPr="000E151F">
              <w:rPr>
                <w:snapToGrid w:val="0"/>
                <w:sz w:val="22"/>
                <w:szCs w:val="22"/>
              </w:rPr>
              <w:t xml:space="preserve"> Oscar Sjöstedt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356"/>
              </w:tabs>
              <w:rPr>
                <w:snapToGrid w:val="0"/>
                <w:sz w:val="22"/>
                <w:szCs w:val="22"/>
              </w:rPr>
            </w:pPr>
            <w:r w:rsidRPr="000E151F">
              <w:rPr>
                <w:spacing w:val="4"/>
                <w:kern w:val="16"/>
                <w:sz w:val="22"/>
                <w:szCs w:val="22"/>
              </w:rPr>
              <w:t xml:space="preserve"> </w:t>
            </w:r>
            <w:r w:rsidRPr="000E151F">
              <w:rPr>
                <w:snapToGrid w:val="0"/>
                <w:sz w:val="22"/>
                <w:szCs w:val="22"/>
                <w:lang w:val="en-US"/>
              </w:rPr>
              <w:t xml:space="preserve">Adnan Dibrani </w:t>
            </w:r>
            <w:r w:rsidRPr="000E151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6D4141"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914E3E" w:rsidP="006B55D9">
            <w:pPr>
              <w:tabs>
                <w:tab w:val="left" w:pos="-70"/>
              </w:tabs>
              <w:ind w:left="-354" w:firstLine="426"/>
              <w:rPr>
                <w:snapToGrid w:val="0"/>
                <w:sz w:val="22"/>
                <w:szCs w:val="22"/>
              </w:rPr>
            </w:pPr>
            <w:r>
              <w:rPr>
                <w:snapToGrid w:val="0"/>
                <w:sz w:val="22"/>
                <w:szCs w:val="22"/>
              </w:rPr>
              <w:t>Martin Ådahl</w:t>
            </w:r>
            <w:r w:rsidR="004C6601" w:rsidRPr="000E151F">
              <w:rPr>
                <w:snapToGrid w:val="0"/>
                <w:sz w:val="22"/>
                <w:szCs w:val="22"/>
              </w:rPr>
              <w:t xml:space="preserve">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6D4141"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sidRPr="000E151F">
              <w:rPr>
                <w:snapToGrid w:val="0"/>
                <w:sz w:val="22"/>
                <w:szCs w:val="22"/>
              </w:rPr>
              <w:t>Ulla Andersson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Jan Ericson (M</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6D4141"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6D4141"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sidRPr="000E151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6D4141"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sidRPr="000E151F">
              <w:rPr>
                <w:snapToGrid w:val="0"/>
                <w:sz w:val="22"/>
                <w:szCs w:val="22"/>
              </w:rPr>
              <w:t>Ingela Nylund Watz (</w:t>
            </w:r>
            <w:r>
              <w:rPr>
                <w:snapToGrid w:val="0"/>
                <w:sz w:val="22"/>
                <w:szCs w:val="22"/>
              </w:rPr>
              <w:t>S</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Jakob Forssmed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6D4141"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914E3E" w:rsidP="006B55D9">
            <w:pPr>
              <w:tabs>
                <w:tab w:val="left" w:pos="497"/>
              </w:tabs>
              <w:ind w:left="72"/>
              <w:rPr>
                <w:snapToGrid w:val="0"/>
                <w:sz w:val="22"/>
                <w:szCs w:val="22"/>
              </w:rPr>
            </w:pPr>
            <w:r>
              <w:rPr>
                <w:snapToGrid w:val="0"/>
                <w:sz w:val="22"/>
                <w:szCs w:val="22"/>
              </w:rPr>
              <w:t>Vakant</w:t>
            </w:r>
            <w:r w:rsidR="004C6601">
              <w:rPr>
                <w:snapToGrid w:val="0"/>
                <w:sz w:val="22"/>
                <w:szCs w:val="22"/>
              </w:rPr>
              <w:t xml:space="preserve"> </w:t>
            </w:r>
            <w:r w:rsidR="004C6601" w:rsidRPr="000E151F">
              <w:rPr>
                <w:snapToGrid w:val="0"/>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917732" w:rsidP="006B55D9">
            <w:pPr>
              <w:tabs>
                <w:tab w:val="left" w:pos="497"/>
              </w:tabs>
              <w:ind w:left="72"/>
              <w:rPr>
                <w:snapToGrid w:val="0"/>
                <w:sz w:val="22"/>
                <w:szCs w:val="22"/>
              </w:rPr>
            </w:pPr>
            <w:r>
              <w:rPr>
                <w:snapToGrid w:val="0"/>
                <w:sz w:val="22"/>
                <w:szCs w:val="22"/>
              </w:rPr>
              <w:t>Mats Persson</w:t>
            </w:r>
            <w:r w:rsidR="004C6601">
              <w:rPr>
                <w:snapToGrid w:val="0"/>
                <w:sz w:val="22"/>
                <w:szCs w:val="22"/>
              </w:rPr>
              <w:t xml:space="preserve"> (L</w:t>
            </w:r>
            <w:r w:rsidR="004C6601"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6D4141"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6D4141"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6D4141"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 xml:space="preserve">Karolina Skog </w:t>
            </w:r>
            <w:r w:rsidRPr="000E151F">
              <w:rPr>
                <w:snapToGrid w:val="0"/>
                <w:sz w:val="22"/>
                <w:szCs w:val="22"/>
              </w:rPr>
              <w:t>(MP</w:t>
            </w:r>
            <w:r>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6D4141"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Ma</w:t>
            </w:r>
            <w:r w:rsidR="00914E3E">
              <w:rPr>
                <w:snapToGrid w:val="0"/>
                <w:sz w:val="22"/>
                <w:szCs w:val="22"/>
              </w:rPr>
              <w:t>gdalena Schröder</w:t>
            </w:r>
            <w:r>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6D4141"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numPr>
                <w:ilvl w:val="0"/>
                <w:numId w:val="3"/>
              </w:numPr>
              <w:tabs>
                <w:tab w:val="clear" w:pos="360"/>
                <w:tab w:val="left" w:pos="0"/>
              </w:tabs>
              <w:ind w:hanging="720"/>
              <w:rPr>
                <w:snapToGrid w:val="0"/>
                <w:sz w:val="22"/>
                <w:szCs w:val="22"/>
              </w:rPr>
            </w:pPr>
            <w:r>
              <w:rPr>
                <w:snapToGrid w:val="0"/>
                <w:sz w:val="22"/>
                <w:szCs w:val="22"/>
              </w:rPr>
              <w:t xml:space="preserve"> </w:t>
            </w:r>
            <w:r w:rsidR="00914E3E">
              <w:rPr>
                <w:snapToGrid w:val="0"/>
                <w:sz w:val="22"/>
                <w:szCs w:val="22"/>
              </w:rPr>
              <w:t>Björn Wiechel</w:t>
            </w:r>
            <w:r>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6D4141"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6D4141"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napToGrid w:val="0"/>
                <w:sz w:val="22"/>
                <w:szCs w:val="22"/>
              </w:rPr>
            </w:pPr>
            <w:r>
              <w:rPr>
                <w:snapToGrid w:val="0"/>
                <w:sz w:val="22"/>
                <w:szCs w:val="22"/>
              </w:rPr>
              <w:t xml:space="preserve"> Sofia Westergren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6D4141"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356"/>
              </w:tabs>
              <w:rPr>
                <w:snapToGrid w:val="0"/>
                <w:sz w:val="22"/>
                <w:szCs w:val="22"/>
              </w:rPr>
            </w:pPr>
            <w:r>
              <w:rPr>
                <w:snapToGrid w:val="0"/>
                <w:sz w:val="22"/>
                <w:szCs w:val="22"/>
              </w:rPr>
              <w:t xml:space="preserve"> Eva Lindh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6D4141"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pacing w:val="4"/>
                <w:kern w:val="16"/>
                <w:sz w:val="22"/>
              </w:rPr>
              <w:t xml:space="preserve"> Josefin Malmqvist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w:t>
            </w:r>
            <w:r>
              <w:rPr>
                <w:snapToGrid w:val="0"/>
                <w:sz w:val="22"/>
                <w:szCs w:val="22"/>
              </w:rPr>
              <w:t>Sven-Olof Sällström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Johan Andersson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Lars Thomsson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Ida Gabrielsson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sidRPr="000E151F">
              <w:rPr>
                <w:snapToGrid w:val="0"/>
                <w:sz w:val="22"/>
                <w:szCs w:val="22"/>
                <w:lang w:val="en-US"/>
              </w:rPr>
              <w:t xml:space="preserve"> </w:t>
            </w:r>
            <w:r>
              <w:rPr>
                <w:snapToGrid w:val="0"/>
                <w:sz w:val="22"/>
                <w:szCs w:val="22"/>
              </w:rPr>
              <w:t>Saila Quicklund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1701"/>
              </w:tabs>
              <w:rPr>
                <w:snapToGrid w:val="0"/>
                <w:sz w:val="22"/>
                <w:szCs w:val="22"/>
              </w:rPr>
            </w:pPr>
            <w:r>
              <w:rPr>
                <w:snapToGrid w:val="0"/>
                <w:sz w:val="22"/>
                <w:szCs w:val="22"/>
              </w:rPr>
              <w:t xml:space="preserve"> Ann-Christine From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Monica Haider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1701"/>
              </w:tabs>
              <w:rPr>
                <w:snapToGrid w:val="0"/>
                <w:sz w:val="22"/>
                <w:szCs w:val="22"/>
              </w:rPr>
            </w:pPr>
            <w:r>
              <w:rPr>
                <w:snapToGrid w:val="0"/>
                <w:sz w:val="22"/>
                <w:szCs w:val="22"/>
              </w:rPr>
              <w:t xml:space="preserve"> Hampus Hagman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sidRPr="000E151F">
              <w:rPr>
                <w:snapToGrid w:val="0"/>
                <w:sz w:val="22"/>
                <w:szCs w:val="22"/>
              </w:rPr>
              <w:t xml:space="preserve"> </w:t>
            </w:r>
            <w:r>
              <w:rPr>
                <w:snapToGrid w:val="0"/>
                <w:sz w:val="22"/>
                <w:szCs w:val="22"/>
              </w:rPr>
              <w:t>Teres Lindberg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Joar Forssell (L)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sidRPr="000E151F">
              <w:rPr>
                <w:snapToGrid w:val="0"/>
                <w:sz w:val="22"/>
                <w:szCs w:val="22"/>
              </w:rPr>
              <w:t xml:space="preserve"> </w:t>
            </w:r>
            <w:r>
              <w:rPr>
                <w:snapToGrid w:val="0"/>
                <w:sz w:val="22"/>
                <w:szCs w:val="22"/>
              </w:rPr>
              <w:t>Staffan Eklöf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Rasmus Ling (MP)</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Kjell Jansson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Jörgen Grubb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Clara Aranda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w:t>
            </w:r>
            <w:r w:rsidR="00917732">
              <w:rPr>
                <w:snapToGrid w:val="0"/>
                <w:sz w:val="22"/>
                <w:szCs w:val="22"/>
              </w:rPr>
              <w:t xml:space="preserve">Johan Pehrson </w:t>
            </w:r>
            <w:r>
              <w:rPr>
                <w:snapToGrid w:val="0"/>
                <w:sz w:val="22"/>
                <w:szCs w:val="22"/>
              </w:rPr>
              <w:t>(L)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Gulan Avci (L)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Sofia Nilsson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Tony Haddou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Larry Söder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Andreas Carlson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Janine Alm Ericson (MP)</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Jörgen Hellman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1F64CD">
        <w:tc>
          <w:tcPr>
            <w:tcW w:w="4395" w:type="dxa"/>
            <w:tcBorders>
              <w:top w:val="single" w:sz="6" w:space="0" w:color="auto"/>
              <w:left w:val="single" w:sz="6" w:space="0" w:color="auto"/>
              <w:bottom w:val="single" w:sz="4" w:space="0" w:color="auto"/>
              <w:right w:val="single" w:sz="6" w:space="0" w:color="auto"/>
            </w:tcBorders>
          </w:tcPr>
          <w:p w:rsidR="004C6601" w:rsidRDefault="004C6601" w:rsidP="006B55D9">
            <w:pPr>
              <w:tabs>
                <w:tab w:val="left" w:pos="497"/>
              </w:tabs>
              <w:rPr>
                <w:snapToGrid w:val="0"/>
                <w:sz w:val="22"/>
                <w:szCs w:val="22"/>
              </w:rPr>
            </w:pPr>
            <w:r>
              <w:rPr>
                <w:snapToGrid w:val="0"/>
                <w:sz w:val="22"/>
                <w:szCs w:val="22"/>
              </w:rPr>
              <w:t xml:space="preserve"> Sultan Kayhan (S)</w:t>
            </w:r>
          </w:p>
        </w:tc>
        <w:tc>
          <w:tcPr>
            <w:tcW w:w="488"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r>
      <w:tr w:rsidR="001F64CD" w:rsidRPr="000E151F" w:rsidTr="001F64CD">
        <w:tc>
          <w:tcPr>
            <w:tcW w:w="4395" w:type="dxa"/>
            <w:tcBorders>
              <w:top w:val="single" w:sz="4" w:space="0" w:color="auto"/>
              <w:left w:val="single" w:sz="4" w:space="0" w:color="auto"/>
              <w:bottom w:val="single" w:sz="4" w:space="0" w:color="auto"/>
              <w:right w:val="single" w:sz="4" w:space="0" w:color="auto"/>
            </w:tcBorders>
          </w:tcPr>
          <w:p w:rsidR="001F64CD" w:rsidRDefault="006D4141" w:rsidP="006B55D9">
            <w:pPr>
              <w:tabs>
                <w:tab w:val="left" w:pos="497"/>
              </w:tabs>
              <w:rPr>
                <w:snapToGrid w:val="0"/>
                <w:sz w:val="22"/>
                <w:szCs w:val="22"/>
              </w:rPr>
            </w:pPr>
            <w:r>
              <w:rPr>
                <w:snapToGrid w:val="0"/>
                <w:sz w:val="22"/>
                <w:szCs w:val="22"/>
              </w:rPr>
              <w:t>Ilona Szatmari Waldau (V)</w:t>
            </w:r>
          </w:p>
        </w:tc>
        <w:tc>
          <w:tcPr>
            <w:tcW w:w="488" w:type="dxa"/>
            <w:tcBorders>
              <w:top w:val="single" w:sz="4" w:space="0" w:color="auto"/>
              <w:left w:val="single" w:sz="4" w:space="0" w:color="auto"/>
              <w:bottom w:val="single" w:sz="4" w:space="0" w:color="auto"/>
              <w:right w:val="single" w:sz="4" w:space="0" w:color="auto"/>
            </w:tcBorders>
          </w:tcPr>
          <w:p w:rsidR="001F64CD" w:rsidRPr="000E151F" w:rsidRDefault="006D4141" w:rsidP="006B55D9">
            <w:pPr>
              <w:rPr>
                <w:sz w:val="22"/>
                <w:szCs w:val="22"/>
              </w:rPr>
            </w:pPr>
            <w:r>
              <w:rPr>
                <w:sz w:val="22"/>
                <w:szCs w:val="22"/>
              </w:rPr>
              <w:t>X</w:t>
            </w:r>
          </w:p>
        </w:tc>
        <w:tc>
          <w:tcPr>
            <w:tcW w:w="507"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6D4141" w:rsidP="006B55D9">
            <w:pPr>
              <w:rPr>
                <w:sz w:val="22"/>
                <w:szCs w:val="22"/>
              </w:rPr>
            </w:pPr>
            <w:r>
              <w:rPr>
                <w:sz w:val="22"/>
                <w:szCs w:val="22"/>
              </w:rPr>
              <w:t>X</w:t>
            </w: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r>
      <w:tr w:rsidR="006D4141" w:rsidRPr="000E151F" w:rsidTr="001F64CD">
        <w:tc>
          <w:tcPr>
            <w:tcW w:w="4395" w:type="dxa"/>
            <w:tcBorders>
              <w:top w:val="single" w:sz="4" w:space="0" w:color="auto"/>
              <w:left w:val="single" w:sz="4" w:space="0" w:color="auto"/>
              <w:bottom w:val="single" w:sz="4" w:space="0" w:color="auto"/>
              <w:right w:val="single" w:sz="4" w:space="0" w:color="auto"/>
            </w:tcBorders>
          </w:tcPr>
          <w:p w:rsidR="006D4141" w:rsidRDefault="006D4141" w:rsidP="006B55D9">
            <w:pPr>
              <w:tabs>
                <w:tab w:val="left" w:pos="497"/>
              </w:tabs>
              <w:rPr>
                <w:snapToGrid w:val="0"/>
                <w:sz w:val="22"/>
                <w:szCs w:val="22"/>
              </w:rPr>
            </w:pPr>
            <w:r>
              <w:rPr>
                <w:snapToGrid w:val="0"/>
                <w:sz w:val="22"/>
                <w:szCs w:val="22"/>
              </w:rPr>
              <w:t>Alexander Christiansson (SD)</w:t>
            </w:r>
          </w:p>
        </w:tc>
        <w:tc>
          <w:tcPr>
            <w:tcW w:w="488" w:type="dxa"/>
            <w:tcBorders>
              <w:top w:val="single" w:sz="4" w:space="0" w:color="auto"/>
              <w:left w:val="single" w:sz="4" w:space="0" w:color="auto"/>
              <w:bottom w:val="single" w:sz="4" w:space="0" w:color="auto"/>
              <w:right w:val="single" w:sz="4" w:space="0" w:color="auto"/>
            </w:tcBorders>
          </w:tcPr>
          <w:p w:rsidR="006D4141" w:rsidRDefault="006D4141"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6D4141" w:rsidRPr="000E151F" w:rsidRDefault="006D4141"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D4141" w:rsidRPr="000E151F" w:rsidRDefault="006D4141" w:rsidP="006B55D9">
            <w:pPr>
              <w:rPr>
                <w:sz w:val="22"/>
                <w:szCs w:val="22"/>
              </w:rPr>
            </w:pPr>
            <w:r>
              <w:rPr>
                <w:sz w:val="22"/>
                <w:szCs w:val="22"/>
              </w:rPr>
              <w:t>O</w:t>
            </w:r>
          </w:p>
        </w:tc>
        <w:tc>
          <w:tcPr>
            <w:tcW w:w="396" w:type="dxa"/>
            <w:tcBorders>
              <w:top w:val="single" w:sz="4" w:space="0" w:color="auto"/>
              <w:left w:val="single" w:sz="4" w:space="0" w:color="auto"/>
              <w:bottom w:val="single" w:sz="4" w:space="0" w:color="auto"/>
              <w:right w:val="single" w:sz="4" w:space="0" w:color="auto"/>
            </w:tcBorders>
          </w:tcPr>
          <w:p w:rsidR="006D4141" w:rsidRPr="000E151F" w:rsidRDefault="006D4141"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D4141" w:rsidRPr="000E151F" w:rsidRDefault="006D4141"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D4141" w:rsidRPr="000E151F" w:rsidRDefault="006D4141"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D4141" w:rsidRPr="000E151F" w:rsidRDefault="006D4141"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D4141" w:rsidRPr="000E151F" w:rsidRDefault="006D4141"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D4141" w:rsidRPr="000E151F" w:rsidRDefault="006D4141"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D4141" w:rsidRPr="000E151F" w:rsidRDefault="006D4141"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D4141" w:rsidRPr="000E151F" w:rsidRDefault="006D4141"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6D4141" w:rsidRPr="000E151F" w:rsidRDefault="006D4141" w:rsidP="006B55D9">
            <w:pPr>
              <w:rPr>
                <w:sz w:val="22"/>
                <w:szCs w:val="22"/>
              </w:rPr>
            </w:pPr>
          </w:p>
        </w:tc>
      </w:tr>
    </w:tbl>
    <w:p w:rsidR="004C6601" w:rsidRDefault="004C6601" w:rsidP="004C6601">
      <w:pPr>
        <w:ind w:left="-709"/>
        <w:rPr>
          <w:spacing w:val="2"/>
          <w:sz w:val="18"/>
        </w:rPr>
      </w:pPr>
      <w:r>
        <w:rPr>
          <w:spacing w:val="2"/>
          <w:sz w:val="18"/>
        </w:rPr>
        <w:t>N= Närvarande                                                                    X= ledamöter som deltagit i handläggningen</w:t>
      </w:r>
    </w:p>
    <w:p w:rsidR="004C6601" w:rsidRDefault="004C6601" w:rsidP="004C6601">
      <w:pPr>
        <w:ind w:left="-709"/>
        <w:rPr>
          <w:spacing w:val="2"/>
          <w:sz w:val="18"/>
        </w:rPr>
      </w:pPr>
      <w:r>
        <w:rPr>
          <w:spacing w:val="2"/>
          <w:sz w:val="18"/>
        </w:rPr>
        <w:t>V=  Votering                                                                       O= ledamöter som härutöver varit närvarande</w:t>
      </w:r>
    </w:p>
    <w:p w:rsidR="008035C8" w:rsidRDefault="008035C8" w:rsidP="004C6601">
      <w:pPr>
        <w:pStyle w:val="Sidhuvud"/>
        <w:tabs>
          <w:tab w:val="clear" w:pos="4536"/>
          <w:tab w:val="left" w:pos="3402"/>
          <w:tab w:val="left" w:pos="5529"/>
        </w:tabs>
        <w:ind w:left="-851"/>
        <w:rPr>
          <w:sz w:val="20"/>
        </w:rPr>
      </w:pPr>
    </w:p>
    <w:sectPr w:rsidR="008035C8" w:rsidSect="00223A90">
      <w:headerReference w:type="default" r:id="rId9"/>
      <w:pgSz w:w="11906" w:h="16838" w:code="9"/>
      <w:pgMar w:top="425" w:right="1134" w:bottom="680"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AB4" w:rsidRDefault="007E0AB4">
      <w:r>
        <w:separator/>
      </w:r>
    </w:p>
  </w:endnote>
  <w:endnote w:type="continuationSeparator" w:id="0">
    <w:p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AB4" w:rsidRDefault="007E0AB4">
      <w:r>
        <w:separator/>
      </w:r>
    </w:p>
  </w:footnote>
  <w:footnote w:type="continuationSeparator" w:id="0">
    <w:p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F65" w:rsidRDefault="00C07F65" w:rsidP="00C07F65">
    <w:pPr>
      <w:pStyle w:val="Sidhuvud"/>
      <w:ind w:left="-567"/>
    </w:pPr>
    <w:bookmarkStart w:id="2" w:name="Svenska"/>
    <w:r>
      <w:t>Finansutskottet</w:t>
    </w:r>
    <w:r>
      <w:tab/>
    </w:r>
    <w:r>
      <w:tab/>
    </w:r>
    <w:r>
      <w:rPr>
        <w:noProof/>
      </w:rPr>
      <w:drawing>
        <wp:inline distT="0" distB="0" distL="0" distR="0">
          <wp:extent cx="1438275" cy="382905"/>
          <wp:effectExtent l="0" t="0" r="9525" b="0"/>
          <wp:docPr id="58"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7" w15:restartNumberingAfterBreak="0">
    <w:nsid w:val="32AB17F1"/>
    <w:multiLevelType w:val="hybridMultilevel"/>
    <w:tmpl w:val="5F70C290"/>
    <w:lvl w:ilvl="0" w:tplc="91EC8A80">
      <w:start w:val="1274"/>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24A4856"/>
    <w:multiLevelType w:val="hybridMultilevel"/>
    <w:tmpl w:val="7AA6BDE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42591C4C"/>
    <w:multiLevelType w:val="hybridMultilevel"/>
    <w:tmpl w:val="4E2C5974"/>
    <w:lvl w:ilvl="0" w:tplc="4AC286EA">
      <w:start w:val="202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CAE0476"/>
    <w:multiLevelType w:val="hybridMultilevel"/>
    <w:tmpl w:val="1BDC1E6A"/>
    <w:lvl w:ilvl="0" w:tplc="4218F6F0">
      <w:start w:val="1"/>
      <w:numFmt w:val="decimal"/>
      <w:lvlText w:val="%1."/>
      <w:lvlJc w:val="left"/>
      <w:pPr>
        <w:ind w:left="2880" w:hanging="360"/>
      </w:pPr>
      <w:rPr>
        <w:rFonts w:hint="default"/>
      </w:rPr>
    </w:lvl>
    <w:lvl w:ilvl="1" w:tplc="041D0019" w:tentative="1">
      <w:start w:val="1"/>
      <w:numFmt w:val="lowerLetter"/>
      <w:lvlText w:val="%2."/>
      <w:lvlJc w:val="left"/>
      <w:pPr>
        <w:ind w:left="3600" w:hanging="360"/>
      </w:pPr>
    </w:lvl>
    <w:lvl w:ilvl="2" w:tplc="041D001B" w:tentative="1">
      <w:start w:val="1"/>
      <w:numFmt w:val="lowerRoman"/>
      <w:lvlText w:val="%3."/>
      <w:lvlJc w:val="right"/>
      <w:pPr>
        <w:ind w:left="4320" w:hanging="180"/>
      </w:pPr>
    </w:lvl>
    <w:lvl w:ilvl="3" w:tplc="041D000F" w:tentative="1">
      <w:start w:val="1"/>
      <w:numFmt w:val="decimal"/>
      <w:lvlText w:val="%4."/>
      <w:lvlJc w:val="left"/>
      <w:pPr>
        <w:ind w:left="5040" w:hanging="360"/>
      </w:pPr>
    </w:lvl>
    <w:lvl w:ilvl="4" w:tplc="041D0019" w:tentative="1">
      <w:start w:val="1"/>
      <w:numFmt w:val="lowerLetter"/>
      <w:lvlText w:val="%5."/>
      <w:lvlJc w:val="left"/>
      <w:pPr>
        <w:ind w:left="5760" w:hanging="360"/>
      </w:pPr>
    </w:lvl>
    <w:lvl w:ilvl="5" w:tplc="041D001B" w:tentative="1">
      <w:start w:val="1"/>
      <w:numFmt w:val="lowerRoman"/>
      <w:lvlText w:val="%6."/>
      <w:lvlJc w:val="right"/>
      <w:pPr>
        <w:ind w:left="6480" w:hanging="180"/>
      </w:pPr>
    </w:lvl>
    <w:lvl w:ilvl="6" w:tplc="041D000F" w:tentative="1">
      <w:start w:val="1"/>
      <w:numFmt w:val="decimal"/>
      <w:lvlText w:val="%7."/>
      <w:lvlJc w:val="left"/>
      <w:pPr>
        <w:ind w:left="7200" w:hanging="360"/>
      </w:pPr>
    </w:lvl>
    <w:lvl w:ilvl="7" w:tplc="041D0019" w:tentative="1">
      <w:start w:val="1"/>
      <w:numFmt w:val="lowerLetter"/>
      <w:lvlText w:val="%8."/>
      <w:lvlJc w:val="left"/>
      <w:pPr>
        <w:ind w:left="7920" w:hanging="360"/>
      </w:pPr>
    </w:lvl>
    <w:lvl w:ilvl="8" w:tplc="041D001B" w:tentative="1">
      <w:start w:val="1"/>
      <w:numFmt w:val="lowerRoman"/>
      <w:lvlText w:val="%9."/>
      <w:lvlJc w:val="right"/>
      <w:pPr>
        <w:ind w:left="8640" w:hanging="180"/>
      </w:pPr>
    </w:lvl>
  </w:abstractNum>
  <w:abstractNum w:abstractNumId="12"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12"/>
  </w:num>
  <w:num w:numId="6">
    <w:abstractNumId w:val="2"/>
  </w:num>
  <w:num w:numId="7">
    <w:abstractNumId w:val="8"/>
  </w:num>
  <w:num w:numId="8">
    <w:abstractNumId w:val="4"/>
  </w:num>
  <w:num w:numId="9">
    <w:abstractNumId w:val="5"/>
  </w:num>
  <w:num w:numId="10">
    <w:abstractNumId w:val="11"/>
  </w:num>
  <w:num w:numId="11">
    <w:abstractNumId w:val="7"/>
  </w:num>
  <w:num w:numId="12">
    <w:abstractNumId w:val="7"/>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21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3470E"/>
    <w:rsid w:val="00035F71"/>
    <w:rsid w:val="0004121C"/>
    <w:rsid w:val="000413E5"/>
    <w:rsid w:val="00042EA9"/>
    <w:rsid w:val="00046C0A"/>
    <w:rsid w:val="00050120"/>
    <w:rsid w:val="000534EB"/>
    <w:rsid w:val="0006237B"/>
    <w:rsid w:val="00062D71"/>
    <w:rsid w:val="00084E75"/>
    <w:rsid w:val="000853D9"/>
    <w:rsid w:val="00087F8C"/>
    <w:rsid w:val="000B29E8"/>
    <w:rsid w:val="000B4B42"/>
    <w:rsid w:val="000C033A"/>
    <w:rsid w:val="000C726F"/>
    <w:rsid w:val="000E010A"/>
    <w:rsid w:val="000E151F"/>
    <w:rsid w:val="000E58AB"/>
    <w:rsid w:val="0010300B"/>
    <w:rsid w:val="00103F5F"/>
    <w:rsid w:val="00104A51"/>
    <w:rsid w:val="00110CDD"/>
    <w:rsid w:val="00111135"/>
    <w:rsid w:val="00112605"/>
    <w:rsid w:val="00114574"/>
    <w:rsid w:val="00116AAA"/>
    <w:rsid w:val="00126BB8"/>
    <w:rsid w:val="0013018A"/>
    <w:rsid w:val="001436E6"/>
    <w:rsid w:val="00146CDA"/>
    <w:rsid w:val="00161AA6"/>
    <w:rsid w:val="001655F6"/>
    <w:rsid w:val="001756F2"/>
    <w:rsid w:val="001765D3"/>
    <w:rsid w:val="00183CBA"/>
    <w:rsid w:val="001852E2"/>
    <w:rsid w:val="00191D2E"/>
    <w:rsid w:val="00192BEE"/>
    <w:rsid w:val="00194EBF"/>
    <w:rsid w:val="001B0A1C"/>
    <w:rsid w:val="001B0DA9"/>
    <w:rsid w:val="001B212B"/>
    <w:rsid w:val="001B3CF9"/>
    <w:rsid w:val="001D09A0"/>
    <w:rsid w:val="001D7293"/>
    <w:rsid w:val="001E237A"/>
    <w:rsid w:val="001E7E3D"/>
    <w:rsid w:val="001F54B4"/>
    <w:rsid w:val="001F64CD"/>
    <w:rsid w:val="001F71CC"/>
    <w:rsid w:val="001F7917"/>
    <w:rsid w:val="00200515"/>
    <w:rsid w:val="00200FDD"/>
    <w:rsid w:val="002035E8"/>
    <w:rsid w:val="0020579F"/>
    <w:rsid w:val="002119A8"/>
    <w:rsid w:val="002174A8"/>
    <w:rsid w:val="002206E4"/>
    <w:rsid w:val="00223A90"/>
    <w:rsid w:val="00225E80"/>
    <w:rsid w:val="00233D58"/>
    <w:rsid w:val="00236DB7"/>
    <w:rsid w:val="00237DF5"/>
    <w:rsid w:val="00240A97"/>
    <w:rsid w:val="00242439"/>
    <w:rsid w:val="002464D6"/>
    <w:rsid w:val="00251D5D"/>
    <w:rsid w:val="00252DC2"/>
    <w:rsid w:val="002544E0"/>
    <w:rsid w:val="00254784"/>
    <w:rsid w:val="00256366"/>
    <w:rsid w:val="002624FF"/>
    <w:rsid w:val="00281FD0"/>
    <w:rsid w:val="00282678"/>
    <w:rsid w:val="002854B7"/>
    <w:rsid w:val="00294515"/>
    <w:rsid w:val="00296D10"/>
    <w:rsid w:val="002B480E"/>
    <w:rsid w:val="002B5D70"/>
    <w:rsid w:val="002C0221"/>
    <w:rsid w:val="002C1771"/>
    <w:rsid w:val="002C538C"/>
    <w:rsid w:val="002D2AB5"/>
    <w:rsid w:val="002D7BA8"/>
    <w:rsid w:val="002F284C"/>
    <w:rsid w:val="002F654D"/>
    <w:rsid w:val="00305C38"/>
    <w:rsid w:val="0030711A"/>
    <w:rsid w:val="0032581E"/>
    <w:rsid w:val="0033576A"/>
    <w:rsid w:val="00342BB1"/>
    <w:rsid w:val="003441D7"/>
    <w:rsid w:val="003529BA"/>
    <w:rsid w:val="00357121"/>
    <w:rsid w:val="00357FF4"/>
    <w:rsid w:val="00360479"/>
    <w:rsid w:val="00360664"/>
    <w:rsid w:val="00362F6A"/>
    <w:rsid w:val="0039212D"/>
    <w:rsid w:val="003952A4"/>
    <w:rsid w:val="0039591D"/>
    <w:rsid w:val="00396EF2"/>
    <w:rsid w:val="003A48EB"/>
    <w:rsid w:val="003A69D1"/>
    <w:rsid w:val="003A6F3C"/>
    <w:rsid w:val="003C0E60"/>
    <w:rsid w:val="003C1D28"/>
    <w:rsid w:val="003C3701"/>
    <w:rsid w:val="003C3BC9"/>
    <w:rsid w:val="003D2821"/>
    <w:rsid w:val="003F39D9"/>
    <w:rsid w:val="00402064"/>
    <w:rsid w:val="004076AF"/>
    <w:rsid w:val="00410507"/>
    <w:rsid w:val="00410AFE"/>
    <w:rsid w:val="00413964"/>
    <w:rsid w:val="0041580F"/>
    <w:rsid w:val="0042098E"/>
    <w:rsid w:val="00430C08"/>
    <w:rsid w:val="00433A7F"/>
    <w:rsid w:val="00440F4D"/>
    <w:rsid w:val="00450BFD"/>
    <w:rsid w:val="00454D13"/>
    <w:rsid w:val="00454E86"/>
    <w:rsid w:val="00461C67"/>
    <w:rsid w:val="00462AC9"/>
    <w:rsid w:val="0047277D"/>
    <w:rsid w:val="00474848"/>
    <w:rsid w:val="004A0267"/>
    <w:rsid w:val="004A0CDF"/>
    <w:rsid w:val="004A36BA"/>
    <w:rsid w:val="004A4171"/>
    <w:rsid w:val="004A41BC"/>
    <w:rsid w:val="004B1312"/>
    <w:rsid w:val="004C6601"/>
    <w:rsid w:val="004C6A09"/>
    <w:rsid w:val="004D4929"/>
    <w:rsid w:val="004E2BD4"/>
    <w:rsid w:val="004F0826"/>
    <w:rsid w:val="004F1B55"/>
    <w:rsid w:val="004F2904"/>
    <w:rsid w:val="004F680C"/>
    <w:rsid w:val="005017B0"/>
    <w:rsid w:val="0050317D"/>
    <w:rsid w:val="00504616"/>
    <w:rsid w:val="00515EBA"/>
    <w:rsid w:val="00520187"/>
    <w:rsid w:val="005228C9"/>
    <w:rsid w:val="00537FF9"/>
    <w:rsid w:val="00540493"/>
    <w:rsid w:val="00541406"/>
    <w:rsid w:val="00541EF8"/>
    <w:rsid w:val="00543E57"/>
    <w:rsid w:val="0054604E"/>
    <w:rsid w:val="0055672C"/>
    <w:rsid w:val="00562EF7"/>
    <w:rsid w:val="0057774D"/>
    <w:rsid w:val="00577C45"/>
    <w:rsid w:val="00580536"/>
    <w:rsid w:val="00583B96"/>
    <w:rsid w:val="005874E8"/>
    <w:rsid w:val="005956B3"/>
    <w:rsid w:val="005A0175"/>
    <w:rsid w:val="005A5091"/>
    <w:rsid w:val="005B498F"/>
    <w:rsid w:val="005C1541"/>
    <w:rsid w:val="005C61EB"/>
    <w:rsid w:val="005D4E46"/>
    <w:rsid w:val="005E28B9"/>
    <w:rsid w:val="005E2FA7"/>
    <w:rsid w:val="005E439C"/>
    <w:rsid w:val="00627839"/>
    <w:rsid w:val="00637BF4"/>
    <w:rsid w:val="00643E28"/>
    <w:rsid w:val="006457B3"/>
    <w:rsid w:val="006572A3"/>
    <w:rsid w:val="00667E9B"/>
    <w:rsid w:val="00674AF0"/>
    <w:rsid w:val="00682429"/>
    <w:rsid w:val="006921D0"/>
    <w:rsid w:val="00692522"/>
    <w:rsid w:val="006A0738"/>
    <w:rsid w:val="006A1A13"/>
    <w:rsid w:val="006A70AB"/>
    <w:rsid w:val="006B7747"/>
    <w:rsid w:val="006B7B0C"/>
    <w:rsid w:val="006C1499"/>
    <w:rsid w:val="006C21FA"/>
    <w:rsid w:val="006D0D77"/>
    <w:rsid w:val="006D3126"/>
    <w:rsid w:val="006D3360"/>
    <w:rsid w:val="006D4141"/>
    <w:rsid w:val="006D5482"/>
    <w:rsid w:val="0070047B"/>
    <w:rsid w:val="007055E3"/>
    <w:rsid w:val="00723D66"/>
    <w:rsid w:val="007243F5"/>
    <w:rsid w:val="00730493"/>
    <w:rsid w:val="00743A44"/>
    <w:rsid w:val="00750FF0"/>
    <w:rsid w:val="00751AFD"/>
    <w:rsid w:val="00755F03"/>
    <w:rsid w:val="00761D68"/>
    <w:rsid w:val="00767BDA"/>
    <w:rsid w:val="00774482"/>
    <w:rsid w:val="007773C2"/>
    <w:rsid w:val="007826C0"/>
    <w:rsid w:val="007843F6"/>
    <w:rsid w:val="00784960"/>
    <w:rsid w:val="00792356"/>
    <w:rsid w:val="007A59C4"/>
    <w:rsid w:val="007B11CA"/>
    <w:rsid w:val="007B1842"/>
    <w:rsid w:val="007B7C03"/>
    <w:rsid w:val="007C3B46"/>
    <w:rsid w:val="007E0AB4"/>
    <w:rsid w:val="007F080A"/>
    <w:rsid w:val="008035C8"/>
    <w:rsid w:val="00804511"/>
    <w:rsid w:val="00813862"/>
    <w:rsid w:val="00822922"/>
    <w:rsid w:val="008231F4"/>
    <w:rsid w:val="00825025"/>
    <w:rsid w:val="00830BA7"/>
    <w:rsid w:val="00834B38"/>
    <w:rsid w:val="0083629F"/>
    <w:rsid w:val="00837D29"/>
    <w:rsid w:val="00840651"/>
    <w:rsid w:val="0084550B"/>
    <w:rsid w:val="008557FA"/>
    <w:rsid w:val="00870671"/>
    <w:rsid w:val="00882022"/>
    <w:rsid w:val="0089258A"/>
    <w:rsid w:val="00893998"/>
    <w:rsid w:val="0089581D"/>
    <w:rsid w:val="008A1F6A"/>
    <w:rsid w:val="008A458A"/>
    <w:rsid w:val="008B3639"/>
    <w:rsid w:val="008B71CE"/>
    <w:rsid w:val="008C0FEC"/>
    <w:rsid w:val="008C79F1"/>
    <w:rsid w:val="008D303B"/>
    <w:rsid w:val="008D51ED"/>
    <w:rsid w:val="008E3A32"/>
    <w:rsid w:val="008F4D68"/>
    <w:rsid w:val="008F5A68"/>
    <w:rsid w:val="0090138D"/>
    <w:rsid w:val="00902D30"/>
    <w:rsid w:val="00905D9C"/>
    <w:rsid w:val="00906C2D"/>
    <w:rsid w:val="009102F7"/>
    <w:rsid w:val="00910BB7"/>
    <w:rsid w:val="00914E3E"/>
    <w:rsid w:val="00917732"/>
    <w:rsid w:val="00917C71"/>
    <w:rsid w:val="0092036A"/>
    <w:rsid w:val="00920A21"/>
    <w:rsid w:val="009327CF"/>
    <w:rsid w:val="00932FD6"/>
    <w:rsid w:val="009354FE"/>
    <w:rsid w:val="009433B3"/>
    <w:rsid w:val="009434B5"/>
    <w:rsid w:val="009460B9"/>
    <w:rsid w:val="00946978"/>
    <w:rsid w:val="0095206A"/>
    <w:rsid w:val="0096348C"/>
    <w:rsid w:val="00964ACB"/>
    <w:rsid w:val="0096754F"/>
    <w:rsid w:val="00973D8B"/>
    <w:rsid w:val="0097434A"/>
    <w:rsid w:val="0097719E"/>
    <w:rsid w:val="00991390"/>
    <w:rsid w:val="009A68FE"/>
    <w:rsid w:val="009A772E"/>
    <w:rsid w:val="009B0A01"/>
    <w:rsid w:val="009B18B5"/>
    <w:rsid w:val="009B5F52"/>
    <w:rsid w:val="009C1EA6"/>
    <w:rsid w:val="009C27A1"/>
    <w:rsid w:val="009D20DC"/>
    <w:rsid w:val="009F15A5"/>
    <w:rsid w:val="009F4AAA"/>
    <w:rsid w:val="009F5E2E"/>
    <w:rsid w:val="009F69BC"/>
    <w:rsid w:val="00A016D3"/>
    <w:rsid w:val="00A0379C"/>
    <w:rsid w:val="00A25498"/>
    <w:rsid w:val="00A257B8"/>
    <w:rsid w:val="00A401A5"/>
    <w:rsid w:val="00A40A44"/>
    <w:rsid w:val="00A46556"/>
    <w:rsid w:val="00A63190"/>
    <w:rsid w:val="00A640B1"/>
    <w:rsid w:val="00A67C77"/>
    <w:rsid w:val="00A744C3"/>
    <w:rsid w:val="00A75B9F"/>
    <w:rsid w:val="00AA0DFB"/>
    <w:rsid w:val="00AA2873"/>
    <w:rsid w:val="00AC283D"/>
    <w:rsid w:val="00AD0133"/>
    <w:rsid w:val="00AD47F5"/>
    <w:rsid w:val="00AE5BBD"/>
    <w:rsid w:val="00AF3CA6"/>
    <w:rsid w:val="00AF46DF"/>
    <w:rsid w:val="00B054F1"/>
    <w:rsid w:val="00B35814"/>
    <w:rsid w:val="00B36495"/>
    <w:rsid w:val="00B44E5B"/>
    <w:rsid w:val="00B523F7"/>
    <w:rsid w:val="00B54410"/>
    <w:rsid w:val="00B547D0"/>
    <w:rsid w:val="00B55F04"/>
    <w:rsid w:val="00B86CB0"/>
    <w:rsid w:val="00B9203B"/>
    <w:rsid w:val="00BB6541"/>
    <w:rsid w:val="00BB6AE7"/>
    <w:rsid w:val="00BC2283"/>
    <w:rsid w:val="00BD39D1"/>
    <w:rsid w:val="00BD7B20"/>
    <w:rsid w:val="00BE5A5B"/>
    <w:rsid w:val="00BF0A00"/>
    <w:rsid w:val="00BF0B99"/>
    <w:rsid w:val="00BF5430"/>
    <w:rsid w:val="00C06043"/>
    <w:rsid w:val="00C0720F"/>
    <w:rsid w:val="00C07F65"/>
    <w:rsid w:val="00C12324"/>
    <w:rsid w:val="00C15B79"/>
    <w:rsid w:val="00C3449C"/>
    <w:rsid w:val="00C35200"/>
    <w:rsid w:val="00C3579D"/>
    <w:rsid w:val="00C447CF"/>
    <w:rsid w:val="00C45FAF"/>
    <w:rsid w:val="00C540B9"/>
    <w:rsid w:val="00C574FE"/>
    <w:rsid w:val="00C63961"/>
    <w:rsid w:val="00C64E6C"/>
    <w:rsid w:val="00C66E21"/>
    <w:rsid w:val="00C74946"/>
    <w:rsid w:val="00C82D0B"/>
    <w:rsid w:val="00C8766C"/>
    <w:rsid w:val="00C93236"/>
    <w:rsid w:val="00CA58BF"/>
    <w:rsid w:val="00CB01C5"/>
    <w:rsid w:val="00CB50C7"/>
    <w:rsid w:val="00CC0949"/>
    <w:rsid w:val="00CC1AE1"/>
    <w:rsid w:val="00CC4B83"/>
    <w:rsid w:val="00CC60EB"/>
    <w:rsid w:val="00CD1527"/>
    <w:rsid w:val="00CD47D4"/>
    <w:rsid w:val="00CD7E8B"/>
    <w:rsid w:val="00CE09AE"/>
    <w:rsid w:val="00CF36BC"/>
    <w:rsid w:val="00D021DB"/>
    <w:rsid w:val="00D037BA"/>
    <w:rsid w:val="00D04453"/>
    <w:rsid w:val="00D12ED4"/>
    <w:rsid w:val="00D20E5C"/>
    <w:rsid w:val="00D21638"/>
    <w:rsid w:val="00D31100"/>
    <w:rsid w:val="00D34D00"/>
    <w:rsid w:val="00D37D24"/>
    <w:rsid w:val="00D4656A"/>
    <w:rsid w:val="00D46648"/>
    <w:rsid w:val="00D470BA"/>
    <w:rsid w:val="00D518B5"/>
    <w:rsid w:val="00D614E9"/>
    <w:rsid w:val="00D84F88"/>
    <w:rsid w:val="00DA30F0"/>
    <w:rsid w:val="00DB1740"/>
    <w:rsid w:val="00DB1AB2"/>
    <w:rsid w:val="00DD11DB"/>
    <w:rsid w:val="00DE54FF"/>
    <w:rsid w:val="00DF06AE"/>
    <w:rsid w:val="00E0219D"/>
    <w:rsid w:val="00E15BE8"/>
    <w:rsid w:val="00E2015B"/>
    <w:rsid w:val="00E264E7"/>
    <w:rsid w:val="00E266FD"/>
    <w:rsid w:val="00E27E50"/>
    <w:rsid w:val="00E42E5F"/>
    <w:rsid w:val="00E43F8A"/>
    <w:rsid w:val="00E443F3"/>
    <w:rsid w:val="00E51CE3"/>
    <w:rsid w:val="00E653E8"/>
    <w:rsid w:val="00E67EBA"/>
    <w:rsid w:val="00E833F2"/>
    <w:rsid w:val="00E872C8"/>
    <w:rsid w:val="00E916EA"/>
    <w:rsid w:val="00E950E4"/>
    <w:rsid w:val="00E97AED"/>
    <w:rsid w:val="00EA4AA0"/>
    <w:rsid w:val="00EB6C36"/>
    <w:rsid w:val="00EC107D"/>
    <w:rsid w:val="00EC1224"/>
    <w:rsid w:val="00EC14B0"/>
    <w:rsid w:val="00EC4415"/>
    <w:rsid w:val="00ED357E"/>
    <w:rsid w:val="00EE57B7"/>
    <w:rsid w:val="00EF16D4"/>
    <w:rsid w:val="00EF57E7"/>
    <w:rsid w:val="00EF721A"/>
    <w:rsid w:val="00F013FB"/>
    <w:rsid w:val="00F055E5"/>
    <w:rsid w:val="00F06D7D"/>
    <w:rsid w:val="00F14A8D"/>
    <w:rsid w:val="00F215FF"/>
    <w:rsid w:val="00F23F38"/>
    <w:rsid w:val="00F30EC6"/>
    <w:rsid w:val="00F37DC2"/>
    <w:rsid w:val="00F5222B"/>
    <w:rsid w:val="00F53772"/>
    <w:rsid w:val="00F5670E"/>
    <w:rsid w:val="00F71C16"/>
    <w:rsid w:val="00F774B5"/>
    <w:rsid w:val="00F82F2C"/>
    <w:rsid w:val="00F85D75"/>
    <w:rsid w:val="00F948C4"/>
    <w:rsid w:val="00F94CF3"/>
    <w:rsid w:val="00FB0978"/>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1185"/>
    <o:shapelayout v:ext="edit">
      <o:idmap v:ext="edit" data="1"/>
    </o:shapelayout>
  </w:shapeDefaults>
  <w:decimalSymbol w:val=","/>
  <w:listSeparator w:val=";"/>
  <w14:docId w14:val="022CA2A0"/>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link w:val="Rubrik4Char"/>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customStyle="1" w:styleId="Rubrik4Char">
    <w:name w:val="Rubrik 4 Char"/>
    <w:basedOn w:val="Standardstycketeckensnitt"/>
    <w:link w:val="Rubrik4"/>
    <w:rsid w:val="00682429"/>
    <w:rPr>
      <w:b/>
      <w:sz w:val="22"/>
    </w:rPr>
  </w:style>
  <w:style w:type="paragraph" w:customStyle="1" w:styleId="TableParagraph">
    <w:name w:val="Table Paragraph"/>
    <w:basedOn w:val="Normal"/>
    <w:uiPriority w:val="1"/>
    <w:qFormat/>
    <w:rsid w:val="00F23F38"/>
    <w:pPr>
      <w:autoSpaceDE w:val="0"/>
      <w:autoSpaceDN w:val="0"/>
      <w:ind w:left="111"/>
    </w:pPr>
    <w:rPr>
      <w:sz w:val="22"/>
      <w:szCs w:val="22"/>
      <w:lang w:bidi="sv-SE"/>
    </w:rPr>
  </w:style>
  <w:style w:type="paragraph" w:customStyle="1" w:styleId="blockcitat">
    <w:name w:val="blockcitat"/>
    <w:basedOn w:val="Normal"/>
    <w:qFormat/>
    <w:rsid w:val="00F23F38"/>
    <w:pPr>
      <w:outlineLvl w:val="0"/>
    </w:pPr>
    <w:rPr>
      <w:bCs/>
      <w:szCs w:val="24"/>
    </w:rPr>
  </w:style>
  <w:style w:type="character" w:styleId="Olstomnmnande">
    <w:name w:val="Unresolved Mention"/>
    <w:basedOn w:val="Standardstycketeckensnitt"/>
    <w:uiPriority w:val="99"/>
    <w:semiHidden/>
    <w:unhideWhenUsed/>
    <w:rsid w:val="004076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467721">
      <w:bodyDiv w:val="1"/>
      <w:marLeft w:val="0"/>
      <w:marRight w:val="0"/>
      <w:marTop w:val="0"/>
      <w:marBottom w:val="0"/>
      <w:divBdr>
        <w:top w:val="none" w:sz="0" w:space="0" w:color="auto"/>
        <w:left w:val="none" w:sz="0" w:space="0" w:color="auto"/>
        <w:bottom w:val="none" w:sz="0" w:space="0" w:color="auto"/>
        <w:right w:val="none" w:sz="0" w:space="0" w:color="auto"/>
      </w:divBdr>
    </w:div>
    <w:div w:id="1383403258">
      <w:bodyDiv w:val="1"/>
      <w:marLeft w:val="0"/>
      <w:marRight w:val="0"/>
      <w:marTop w:val="0"/>
      <w:marBottom w:val="0"/>
      <w:divBdr>
        <w:top w:val="none" w:sz="0" w:space="0" w:color="auto"/>
        <w:left w:val="none" w:sz="0" w:space="0" w:color="auto"/>
        <w:bottom w:val="none" w:sz="0" w:space="0" w:color="auto"/>
        <w:right w:val="none" w:sz="0" w:space="0" w:color="auto"/>
      </w:divBdr>
    </w:div>
    <w:div w:id="1445807194">
      <w:bodyDiv w:val="1"/>
      <w:marLeft w:val="0"/>
      <w:marRight w:val="0"/>
      <w:marTop w:val="0"/>
      <w:marBottom w:val="0"/>
      <w:divBdr>
        <w:top w:val="none" w:sz="0" w:space="0" w:color="auto"/>
        <w:left w:val="none" w:sz="0" w:space="0" w:color="auto"/>
        <w:bottom w:val="none" w:sz="0" w:space="0" w:color="auto"/>
        <w:right w:val="none" w:sz="0" w:space="0" w:color="auto"/>
      </w:divBdr>
    </w:div>
    <w:div w:id="1649090809">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 w:id="202127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ata.riksdagen.se/fil/2C2485D6-F44D-440D-BEAA-31C24EAC76B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CEF0A-CDC0-4E3B-A1FA-0E64EC89F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2520</Words>
  <Characters>17218</Characters>
  <Application>Microsoft Office Word</Application>
  <DocSecurity>0</DocSecurity>
  <Lines>1147</Lines>
  <Paragraphs>303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Sylvia Fredlund</cp:lastModifiedBy>
  <cp:revision>6</cp:revision>
  <cp:lastPrinted>2018-10-02T11:13:00Z</cp:lastPrinted>
  <dcterms:created xsi:type="dcterms:W3CDTF">2021-09-23T13:56:00Z</dcterms:created>
  <dcterms:modified xsi:type="dcterms:W3CDTF">2021-09-28T11:12:00Z</dcterms:modified>
</cp:coreProperties>
</file>