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717A6288" w14:textId="77777777">
      <w:pPr>
        <w:pStyle w:val="RubrikFrslagTIllRiksdagsbeslut"/>
      </w:pPr>
      <w:sdt>
        <w:sdtPr>
          <w:alias w:val="CC_Boilerplate_4"/>
          <w:tag w:val="CC_Boilerplate_4"/>
          <w:id w:val="-1644581176"/>
          <w:lock w:val="sdtContentLocked"/>
          <w:placeholder>
            <w:docPart w:val="778105DD9E034A4AB80E9467E2FBDBA4"/>
          </w:placeholder>
          <w:text/>
        </w:sdtPr>
        <w:sdtContent>
          <w:r w:rsidRPr="009B062B">
            <w:t>Förslag till riksdagsbeslut</w:t>
          </w:r>
        </w:sdtContent>
      </w:sdt>
      <w:bookmarkEnd w:id="0"/>
      <w:bookmarkEnd w:id="1"/>
    </w:p>
    <w:sdt>
      <w:sdtPr>
        <w:alias w:val="Yrkande 1"/>
        <w:tag w:val="22a7bc37-2afb-4e5d-a2cb-ba554438ae04"/>
        <w:id w:val="-1683655614"/>
        <w:lock w:val="sdtLocked"/>
        <w:richText/>
      </w:sdtPr>
      <w:sdtContent>
        <w:p w:rsidR="002E233B" w14:paraId="3FD19931" w14:textId="77777777">
          <w:pPr>
            <w:pStyle w:val="Frslagstext"/>
            <w:numPr>
              <w:ilvl w:val="0"/>
              <w:numId w:val="0"/>
            </w:numPr>
          </w:pPr>
          <w:r>
            <w:t>Riksdagen ställer sig bakom det som anförs i motionen om att utreda hur långvariga limbosituationer kan undvikas för personer vars utvisningsbeslut inte kan verkställas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B017D2A16FD485AB977EE53ED586DE5"/>
        </w:placeholder>
        <w:text/>
      </w:sdtPr>
      <w:sdtContent>
        <w:p w:rsidR="006D79C9" w:rsidRPr="009B062B" w:rsidP="00333E95" w14:paraId="7B9FC6E7" w14:textId="77777777">
          <w:pPr>
            <w:pStyle w:val="Heading1"/>
          </w:pPr>
          <w:r>
            <w:t>Motivering</w:t>
          </w:r>
        </w:p>
      </w:sdtContent>
    </w:sdt>
    <w:bookmarkEnd w:id="3" w:displacedByCustomXml="prev"/>
    <w:bookmarkEnd w:id="4" w:displacedByCustomXml="prev"/>
    <w:p w:rsidR="002069B9" w:rsidP="00061C24" w14:paraId="22EFAE22" w14:textId="039341E8">
      <w:pPr>
        <w:pStyle w:val="Normalutanindragellerluft"/>
      </w:pPr>
      <w:r w:rsidRPr="00061C24">
        <w:t>Ett beslut om utvisning ska som huvudregel verkställas. Samtidigt förekommer situa</w:t>
      </w:r>
      <w:r>
        <w:softHyphen/>
      </w:r>
      <w:r w:rsidRPr="00061C24">
        <w:t>tioner där detta inte är möjligt av skäl som den enskilde inte råder över, exempelvis att mottagarlandet vägrar ta emot personen. Den som blir kvar i Sverige kan då hamna i en långvarig rättslig och ekonomisk limbo, utan möjlighet att arbeta lagligt och i en del fall utan offentligt stöd över huvud taget för sin försörjning. Utöver det mänskliga lidandet riskerar detta att driva människor till svartarbete och göra dem beroende av andra eller utsatta för exploatering. Därmed skapas en grogrund för ett skuggsamhälle.</w:t>
      </w:r>
    </w:p>
    <w:p w:rsidR="002069B9" w:rsidP="002069B9" w14:paraId="05720E17" w14:textId="77777777">
      <w:r w:rsidRPr="00061C24">
        <w:t xml:space="preserve">Regeringen bör utreda hur sådana situationer kan undvikas. Utredningen bör särskilt pröva möjligheten till laglig försörjning och ett tydligt ansvar för grundläggande stöd under den tid som utvisningen inte kan verkställas. </w:t>
      </w:r>
    </w:p>
    <w:sdt>
      <w:sdtPr>
        <w:alias w:val="CC_Underskrifter"/>
        <w:tag w:val="CC_Underskrifter"/>
        <w:id w:val="583496634"/>
        <w:lock w:val="sdtContentLocked"/>
        <w:placeholder>
          <w:docPart w:val="9BC1D94CCD95480293F5E31E8578B630"/>
        </w:placeholder>
        <w:richText/>
      </w:sdtPr>
      <w:sdtEndPr>
        <w:rPr>
          <w:i/>
          <w:noProof/>
        </w:rPr>
      </w:sdtEndPr>
      <w:sdtContent>
        <w:p w:rsidR="00061C24" w:rsidP="00D318C9" w14:paraId="4550C4CC" w14:textId="227534A9"/>
        <w:p w:rsidR="00061C24" w:rsidP="00D318C9" w14:paraId="71DA0103" w14:textId="261E1391"/>
      </w:sdtContent>
    </w:sdt>
    <w:tbl>
      <w:tblPr>
        <w:tblCaption w:val="underskrifter"/>
        <w:tblW w:w="5000" w:type="pct"/>
        <w:tblLook w:val="04A0"/>
      </w:tblPr>
      <w:tblGrid>
        <w:gridCol w:w="4252"/>
        <w:gridCol w:w="4252"/>
      </w:tblGrid>
      <w:tr w14:paraId="763229FA" w14:textId="77777777">
        <w:tblPrEx>
          <w:tblW w:w="5000" w:type="pct"/>
          <w:tblLook w:val="04A0"/>
        </w:tblPrEx>
        <w:trPr>
          <w:cantSplit/>
        </w:trPr>
        <w:tc>
          <w:tcPr>
            <w:tcW w:w="50" w:type="pct"/>
            <w:vAlign w:val="bottom"/>
          </w:tcPr>
          <w:p w:rsidR="002E233B" w14:paraId="29992550" w14:textId="77777777">
            <w:pPr>
              <w:pStyle w:val="Underskrifter"/>
              <w:spacing w:after="0"/>
            </w:pPr>
            <w:r>
              <w:t>Kjell-Arne Ottosson (KD)</w:t>
            </w:r>
          </w:p>
        </w:tc>
        <w:tc>
          <w:tcPr>
            <w:tcW w:w="50" w:type="pct"/>
            <w:vAlign w:val="bottom"/>
          </w:tcPr>
          <w:p w:rsidR="002E233B" w14:paraId="73393EFB" w14:textId="77777777">
            <w:pPr>
              <w:pStyle w:val="Underskrifter"/>
              <w:spacing w:after="0"/>
            </w:pPr>
          </w:p>
        </w:tc>
      </w:tr>
    </w:tbl>
    <w:p w:rsidR="004801AC" w:rsidRPr="008E0FE2" w:rsidP="00DF3554" w14:paraId="29F2F18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59252E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340EF7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318C9" w:rsidP="00D318C9" w14:paraId="2581BDBB" w14:textId="3B404AD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4EF6D0D"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CD74A1B">
                          <w:pPr>
                            <w:jc w:val="right"/>
                          </w:pPr>
                          <w:sdt>
                            <w:sdtPr>
                              <w:alias w:val="CC_Noformat_Partikod"/>
                              <w:tag w:val="CC_Noformat_Partikod"/>
                              <w:id w:val="-53464382"/>
                              <w:placeholder>
                                <w:docPart w:val="C90B46B571194CF99BFC852640B311A2"/>
                              </w:placeholder>
                              <w:text/>
                            </w:sdtPr>
                            <w:sdtContent>
                              <w:r w:rsidR="00061C24">
                                <w:t>KD</w:t>
                              </w:r>
                            </w:sdtContent>
                          </w:sdt>
                          <w:sdt>
                            <w:sdtPr>
                              <w:alias w:val="CC_Noformat_Partinummer"/>
                              <w:tag w:val="CC_Noformat_Partinummer"/>
                              <w:id w:val="-1709555926"/>
                              <w:placeholder>
                                <w:docPart w:val="261DE219DE1A4E65BB722DB7CD9294AD"/>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3A4E105" w14:textId="2CD74A1B">
                    <w:pPr>
                      <w:jc w:val="right"/>
                    </w:pPr>
                    <w:sdt>
                      <w:sdtPr>
                        <w:alias w:val="CC_Noformat_Partikod"/>
                        <w:tag w:val="CC_Noformat_Partikod"/>
                        <w:id w:val="1764875003"/>
                        <w:placeholder>
                          <w:docPart w:val="C90B46B571194CF99BFC852640B311A2"/>
                        </w:placeholder>
                        <w:text/>
                      </w:sdtPr>
                      <w:sdtContent>
                        <w:r w:rsidR="00061C24">
                          <w:t>KD</w:t>
                        </w:r>
                      </w:sdtContent>
                    </w:sdt>
                    <w:sdt>
                      <w:sdtPr>
                        <w:alias w:val="CC_Noformat_Partinummer"/>
                        <w:tag w:val="CC_Noformat_Partinummer"/>
                        <w:id w:val="1375903019"/>
                        <w:placeholder>
                          <w:docPart w:val="261DE219DE1A4E65BB722DB7CD9294AD"/>
                        </w:placeholder>
                        <w:showingPlcHdr/>
                        <w:text/>
                      </w:sdtPr>
                      <w:sdtContent>
                        <w:r>
                          <w:t xml:space="preserve"> </w:t>
                        </w:r>
                      </w:sdtContent>
                    </w:sdt>
                  </w:p>
                </w:txbxContent>
              </v:textbox>
            </v:shape>
          </w:pict>
        </mc:Fallback>
      </mc:AlternateContent>
    </w:r>
  </w:p>
  <w:p w:rsidR="00262EA3" w:rsidRPr="00293C4F" w:rsidP="00776B74" w14:paraId="10375C4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3A3507F" w14:textId="77777777">
    <w:pPr>
      <w:jc w:val="right"/>
    </w:pPr>
  </w:p>
  <w:p w:rsidR="00262EA3" w:rsidP="00776B74" w14:paraId="4B53DE4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ECA0171"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6A634E0" w14:textId="4EF7BCB8">
    <w:pPr>
      <w:pStyle w:val="FSHNormal"/>
      <w:spacing w:before="40"/>
    </w:pPr>
    <w:sdt>
      <w:sdtPr>
        <w:alias w:val="CC_Noformat_Motionstyp"/>
        <w:tag w:val="CC_Noformat_Motionstyp"/>
        <w:id w:val="1162973129"/>
        <w:lock w:val="sdtContentLocked"/>
        <w:text/>
        <w15:appearance w15:val="hidden"/>
      </w:sdtPr>
      <w:sdtContent>
        <w:r w:rsidR="001D4446">
          <w:t>Enskild motion</w:t>
        </w:r>
      </w:sdtContent>
    </w:sdt>
    <w:r w:rsidR="00821B36">
      <w:t xml:space="preserve"> </w:t>
    </w:r>
    <w:sdt>
      <w:sdtPr>
        <w:alias w:val="CC_Noformat_Partikod"/>
        <w:tag w:val="CC_Noformat_Partikod"/>
        <w:id w:val="1471015553"/>
        <w:text/>
      </w:sdtPr>
      <w:sdtContent>
        <w:r w:rsidR="00061C24">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14753A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8605B05" w14:textId="6FEF322C">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D4446">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D4446">
          <w:t>:255</w:t>
        </w:r>
      </w:sdtContent>
    </w:sdt>
  </w:p>
  <w:p w:rsidR="00262EA3" w:rsidP="00E03A3D" w14:paraId="2390C19C" w14:textId="650A829E">
    <w:pPr>
      <w:pStyle w:val="Motionr"/>
    </w:pPr>
    <w:sdt>
      <w:sdtPr>
        <w:alias w:val="CC_Noformat_Avtext"/>
        <w:tag w:val="CC_Noformat_Avtext"/>
        <w:id w:val="-2020768203"/>
        <w:lock w:val="sdtContentLocked"/>
        <w:placeholder>
          <w:docPart w:val="C90B46B571194CF99BFC852640B311A2"/>
        </w:placeholder>
        <w:text/>
        <w15:appearance w15:val="hidden"/>
      </w:sdtPr>
      <w:sdtContent>
        <w:r w:rsidR="001D4446">
          <w:t>av Kjell-Arne Ottosson (KD)</w:t>
        </w:r>
      </w:sdtContent>
    </w:sdt>
  </w:p>
  <w:sdt>
    <w:sdtPr>
      <w:alias w:val="CC_Noformat_Rubtext"/>
      <w:tag w:val="CC_Noformat_Rubtext"/>
      <w:id w:val="-218060500"/>
      <w:lock w:val="sdtLocked"/>
      <w:placeholder>
        <w:docPart w:val="261DE219DE1A4E65BB722DB7CD9294AD"/>
      </w:placeholder>
      <w:text/>
    </w:sdtPr>
    <w:sdtContent>
      <w:p w:rsidR="00262EA3" w:rsidP="00283E0F" w14:paraId="03603BA4" w14:textId="76276D40">
        <w:pPr>
          <w:pStyle w:val="FSHRub2"/>
        </w:pPr>
        <w:r>
          <w:t>Motverkan av limbosituationer vid hinder mot utvisning</w:t>
        </w:r>
      </w:p>
    </w:sdtContent>
  </w:sdt>
  <w:sdt>
    <w:sdtPr>
      <w:alias w:val="CC_Boilerplate_3"/>
      <w:tag w:val="CC_Boilerplate_3"/>
      <w:id w:val="1606463544"/>
      <w:lock w:val="sdtContentLocked"/>
      <w:text w:multiLine="1"/>
      <w15:appearance w15:val="hidden"/>
    </w:sdtPr>
    <w:sdtContent>
      <w:p w:rsidR="00262EA3" w:rsidP="00283E0F" w14:paraId="1DDCBE6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C2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62"/>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C24"/>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191"/>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446"/>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9B9"/>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5EB5"/>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2B36"/>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33B"/>
    <w:rsid w:val="002E250F"/>
    <w:rsid w:val="002E500B"/>
    <w:rsid w:val="002E59A6"/>
    <w:rsid w:val="002E59D4"/>
    <w:rsid w:val="002E5B01"/>
    <w:rsid w:val="002E5D58"/>
    <w:rsid w:val="002E6D85"/>
    <w:rsid w:val="002E6E29"/>
    <w:rsid w:val="002E6FF5"/>
    <w:rsid w:val="002E70CE"/>
    <w:rsid w:val="002E78B7"/>
    <w:rsid w:val="002E7DF0"/>
    <w:rsid w:val="002F01E7"/>
    <w:rsid w:val="002F05C2"/>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1FF0"/>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0F1"/>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3DA0"/>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7F7"/>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335"/>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0C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BB2"/>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8C9"/>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2F46FFF"/>
  <w15:chartTrackingRefBased/>
  <w15:docId w15:val="{0118904A-77E2-47E4-A6BD-E49661745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78105DD9E034A4AB80E9467E2FBDBA4"/>
        <w:category>
          <w:name w:val="Allmänt"/>
          <w:gallery w:val="placeholder"/>
        </w:category>
        <w:types>
          <w:type w:val="bbPlcHdr"/>
        </w:types>
        <w:behaviors>
          <w:behavior w:val="content"/>
        </w:behaviors>
        <w:guid w:val="{82F8798C-3F82-495B-85DD-5E0F98212D59}"/>
      </w:docPartPr>
      <w:docPartBody>
        <w:p w:rsidR="006250F1">
          <w:pPr>
            <w:pStyle w:val="778105DD9E034A4AB80E9467E2FBDBA4"/>
          </w:pPr>
          <w:r w:rsidRPr="005A0A93">
            <w:rPr>
              <w:rStyle w:val="PlaceholderText"/>
            </w:rPr>
            <w:t>Förslag till riksdagsbeslut</w:t>
          </w:r>
        </w:p>
      </w:docPartBody>
    </w:docPart>
    <w:docPart>
      <w:docPartPr>
        <w:name w:val="AB017D2A16FD485AB977EE53ED586DE5"/>
        <w:category>
          <w:name w:val="Allmänt"/>
          <w:gallery w:val="placeholder"/>
        </w:category>
        <w:types>
          <w:type w:val="bbPlcHdr"/>
        </w:types>
        <w:behaviors>
          <w:behavior w:val="content"/>
        </w:behaviors>
        <w:guid w:val="{B02A1210-C79E-472E-B866-12A3B656468B}"/>
      </w:docPartPr>
      <w:docPartBody>
        <w:p w:rsidR="006250F1">
          <w:pPr>
            <w:pStyle w:val="AB017D2A16FD485AB977EE53ED586DE5"/>
          </w:pPr>
          <w:r w:rsidRPr="005A0A93">
            <w:rPr>
              <w:rStyle w:val="PlaceholderText"/>
            </w:rPr>
            <w:t>Motivering</w:t>
          </w:r>
        </w:p>
      </w:docPartBody>
    </w:docPart>
    <w:docPart>
      <w:docPartPr>
        <w:name w:val="C90B46B571194CF99BFC852640B311A2"/>
        <w:category>
          <w:name w:val="Allmänt"/>
          <w:gallery w:val="placeholder"/>
        </w:category>
        <w:types>
          <w:type w:val="bbPlcHdr"/>
        </w:types>
        <w:behaviors>
          <w:behavior w:val="content"/>
        </w:behaviors>
        <w:guid w:val="{65CCDC23-7126-4D7D-A5DC-239735C190B4}"/>
      </w:docPartPr>
      <w:docPartBody>
        <w:p w:rsidR="006250F1">
          <w:pPr>
            <w:pStyle w:val="C90B46B571194CF99BFC852640B311A2"/>
          </w:pPr>
          <w:r>
            <w:rPr>
              <w:rStyle w:val="PlaceholderText"/>
            </w:rPr>
            <w:t xml:space="preserve"> </w:t>
          </w:r>
        </w:p>
      </w:docPartBody>
    </w:docPart>
    <w:docPart>
      <w:docPartPr>
        <w:name w:val="261DE219DE1A4E65BB722DB7CD9294AD"/>
        <w:category>
          <w:name w:val="Allmänt"/>
          <w:gallery w:val="placeholder"/>
        </w:category>
        <w:types>
          <w:type w:val="bbPlcHdr"/>
        </w:types>
        <w:behaviors>
          <w:behavior w:val="content"/>
        </w:behaviors>
        <w:guid w:val="{CF5EB630-53F6-4D52-95B5-DACAF3FB5BF3}"/>
      </w:docPartPr>
      <w:docPartBody>
        <w:p w:rsidR="006250F1">
          <w:pPr>
            <w:pStyle w:val="261DE219DE1A4E65BB722DB7CD9294AD"/>
          </w:pPr>
          <w:r>
            <w:t xml:space="preserve"> </w:t>
          </w:r>
        </w:p>
      </w:docPartBody>
    </w:docPart>
    <w:docPart>
      <w:docPartPr>
        <w:name w:val="9BC1D94CCD95480293F5E31E8578B630"/>
        <w:category>
          <w:name w:val="Allmänt"/>
          <w:gallery w:val="placeholder"/>
        </w:category>
        <w:types>
          <w:type w:val="bbPlcHdr"/>
        </w:types>
        <w:behaviors>
          <w:behavior w:val="content"/>
        </w:behaviors>
        <w:guid w:val="{605DB20D-3101-4475-9DBF-A1495BE0116A}"/>
      </w:docPartPr>
      <w:docPartBody>
        <w:p w:rsidR="007747F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0F1"/>
    <w:rsid w:val="00282B36"/>
    <w:rsid w:val="002F05C2"/>
    <w:rsid w:val="006250F1"/>
    <w:rsid w:val="007747F7"/>
    <w:rsid w:val="00AB1999"/>
    <w:rsid w:val="00AF20C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78105DD9E034A4AB80E9467E2FBDBA4">
    <w:name w:val="778105DD9E034A4AB80E9467E2FBDBA4"/>
  </w:style>
  <w:style w:type="paragraph" w:customStyle="1" w:styleId="AB017D2A16FD485AB977EE53ED586DE5">
    <w:name w:val="AB017D2A16FD485AB977EE53ED586DE5"/>
  </w:style>
  <w:style w:type="paragraph" w:customStyle="1" w:styleId="C90B46B571194CF99BFC852640B311A2">
    <w:name w:val="C90B46B571194CF99BFC852640B311A2"/>
  </w:style>
  <w:style w:type="paragraph" w:customStyle="1" w:styleId="261DE219DE1A4E65BB722DB7CD9294AD">
    <w:name w:val="261DE219DE1A4E65BB722DB7CD9294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0BC02D08-3A56-4CAB-B34D-71B04650D583}"/>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1</Pages>
  <Words>163</Words>
  <Characters>951</Characters>
  <Application>Microsoft Office Word</Application>
  <DocSecurity>0</DocSecurity>
  <Lines>19</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Motverka limbosituationer vid hinder mot utvisning</vt:lpstr>
      <vt:lpstr>
      </vt:lpstr>
    </vt:vector>
  </TitlesOfParts>
  <Company>Sveriges riksdag</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