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469B4C3C94744888E36963D9486EA4D"/>
        </w:placeholder>
        <w:text/>
      </w:sdtPr>
      <w:sdtEndPr/>
      <w:sdtContent>
        <w:p w:rsidRPr="009B062B" w:rsidR="00AF30DD" w:rsidP="00964085" w:rsidRDefault="00AF30DD" w14:paraId="0E65782E" w14:textId="77777777">
          <w:pPr>
            <w:pStyle w:val="Rubrik1"/>
            <w:spacing w:after="300"/>
          </w:pPr>
          <w:r w:rsidRPr="009B062B">
            <w:t>Förslag till riksdagsbeslut</w:t>
          </w:r>
        </w:p>
      </w:sdtContent>
    </w:sdt>
    <w:sdt>
      <w:sdtPr>
        <w:alias w:val="Yrkande 1"/>
        <w:tag w:val="e1131879-eaf0-4296-90f8-5c6588892ea2"/>
        <w:id w:val="-1536192192"/>
        <w:lock w:val="sdtLocked"/>
      </w:sdtPr>
      <w:sdtEndPr/>
      <w:sdtContent>
        <w:p w:rsidR="0073048B" w:rsidRDefault="002043E1" w14:paraId="064DA0FB" w14:textId="77777777">
          <w:pPr>
            <w:pStyle w:val="Frslagstext"/>
          </w:pPr>
          <w:r>
            <w:t>Riksdagen ställer sig bakom det som anförs i motionen om att kartlägga och möta de hinder som finns i vägen för Sveriges basindustrier och tillkännager detta för regeringen.</w:t>
          </w:r>
        </w:p>
      </w:sdtContent>
    </w:sdt>
    <w:sdt>
      <w:sdtPr>
        <w:alias w:val="Yrkande 2"/>
        <w:tag w:val="9c76dcaf-6493-48a5-9e2e-f9cfb6cbbcc5"/>
        <w:id w:val="-347561896"/>
        <w:lock w:val="sdtLocked"/>
      </w:sdtPr>
      <w:sdtEndPr/>
      <w:sdtContent>
        <w:p w:rsidR="0073048B" w:rsidRDefault="002043E1" w14:paraId="0E0569D0" w14:textId="77777777">
          <w:pPr>
            <w:pStyle w:val="Frslagstext"/>
          </w:pPr>
          <w:r>
            <w:t>Riksdagen ställer sig bakom det som anförs i motionen om att stärka förutsättningarna för basindustrins kompetensförsörjning och tillkännager detta för regeringen.</w:t>
          </w:r>
        </w:p>
      </w:sdtContent>
    </w:sdt>
    <w:sdt>
      <w:sdtPr>
        <w:alias w:val="Yrkande 3"/>
        <w:tag w:val="402cb376-34a4-4efd-80ff-246b95a1061a"/>
        <w:id w:val="-2104640944"/>
        <w:lock w:val="sdtLocked"/>
      </w:sdtPr>
      <w:sdtEndPr/>
      <w:sdtContent>
        <w:p w:rsidR="0073048B" w:rsidRDefault="002043E1" w14:paraId="5237C9D6" w14:textId="77777777">
          <w:pPr>
            <w:pStyle w:val="Frslagstext"/>
          </w:pPr>
          <w:r>
            <w:t>Riksdagen ställer sig bakom det som anförs i motionen om en konkurrenskraftig infrastruktur för basindustrin och tillkännager detta för regeringen.</w:t>
          </w:r>
        </w:p>
      </w:sdtContent>
    </w:sdt>
    <w:sdt>
      <w:sdtPr>
        <w:alias w:val="Yrkande 4"/>
        <w:tag w:val="a7e793c0-3a3a-4a36-a3ff-e6e2bcdcf9a4"/>
        <w:id w:val="-247967692"/>
        <w:lock w:val="sdtLocked"/>
      </w:sdtPr>
      <w:sdtEndPr/>
      <w:sdtContent>
        <w:p w:rsidR="0073048B" w:rsidRDefault="002043E1" w14:paraId="01280D8D" w14:textId="77777777">
          <w:pPr>
            <w:pStyle w:val="Frslagstext"/>
          </w:pPr>
          <w:r>
            <w:t>Riksdagen ställer sig bakom det som anförs i motionen om en välfungerande digital infrastruktur för en ökad digitalisering i basindustrin och tillkännager detta för regeringen.</w:t>
          </w:r>
        </w:p>
      </w:sdtContent>
    </w:sdt>
    <w:sdt>
      <w:sdtPr>
        <w:alias w:val="Yrkande 5"/>
        <w:tag w:val="bdce4d55-4891-4984-957b-784f0e34ba30"/>
        <w:id w:val="1796642628"/>
        <w:lock w:val="sdtLocked"/>
      </w:sdtPr>
      <w:sdtEndPr/>
      <w:sdtContent>
        <w:p w:rsidR="0073048B" w:rsidRDefault="002043E1" w14:paraId="18029145" w14:textId="77777777">
          <w:pPr>
            <w:pStyle w:val="Frslagstext"/>
          </w:pPr>
          <w:r>
            <w:t>Riksdagen ställer sig bakom det som anförs i motionen om att säkerställa medel till järnvägsunderhåll avseende viktiga lokala och regionala industrispår och tillkännager detta för regeringen.</w:t>
          </w:r>
        </w:p>
      </w:sdtContent>
    </w:sdt>
    <w:sdt>
      <w:sdtPr>
        <w:alias w:val="Yrkande 6"/>
        <w:tag w:val="a34e7a95-5437-43e3-afdd-3548a82fcbb2"/>
        <w:id w:val="-1247105091"/>
        <w:lock w:val="sdtLocked"/>
      </w:sdtPr>
      <w:sdtEndPr/>
      <w:sdtContent>
        <w:p w:rsidR="0073048B" w:rsidRDefault="002043E1" w14:paraId="3E90FA0E" w14:textId="77777777">
          <w:pPr>
            <w:pStyle w:val="Frslagstext"/>
          </w:pPr>
          <w:r>
            <w:t>Riksdagen ställer sig bakom det som anförs i motionen om att åtgärder ska vidtas för att säkerställa att längre och tyngre lastbilar och tåg skyndsamt tillåts och säkerställa ett tillräckligt, funktionellt och sammanhållet väg- och järnvägsnät i hela Sverige och tillkännager detta för regeringen.</w:t>
          </w:r>
        </w:p>
      </w:sdtContent>
    </w:sdt>
    <w:sdt>
      <w:sdtPr>
        <w:alias w:val="Yrkande 7"/>
        <w:tag w:val="fc655960-7aa4-4202-8f49-7f4d6159d504"/>
        <w:id w:val="-2120280436"/>
        <w:lock w:val="sdtLocked"/>
      </w:sdtPr>
      <w:sdtEndPr/>
      <w:sdtContent>
        <w:p w:rsidR="0073048B" w:rsidRDefault="002043E1" w14:paraId="1F314927" w14:textId="77777777">
          <w:pPr>
            <w:pStyle w:val="Frslagstext"/>
          </w:pPr>
          <w:r>
            <w:t>Riksdagen ställer sig bakom det som anförs i motionen om att regeringen bör ge Trafikverket i uppdrag att påskynda omklassningen av kommunalt vägnät i anslutning till terminaler från BK1 till BK4 i syfte att stärka industrins konkurrenskraft och tillkännager detta för regeringen.</w:t>
          </w:r>
        </w:p>
      </w:sdtContent>
    </w:sdt>
    <w:sdt>
      <w:sdtPr>
        <w:alias w:val="Yrkande 8"/>
        <w:tag w:val="b70108ba-da7c-402d-93e2-f44899e0be40"/>
        <w:id w:val="797654669"/>
        <w:lock w:val="sdtLocked"/>
      </w:sdtPr>
      <w:sdtEndPr/>
      <w:sdtContent>
        <w:p w:rsidR="0073048B" w:rsidRDefault="002043E1" w14:paraId="1CAC4453"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9"/>
        <w:tag w:val="62d1cb1b-837d-42b8-bb85-7b23a7b14323"/>
        <w:id w:val="-200250133"/>
        <w:lock w:val="sdtLocked"/>
      </w:sdtPr>
      <w:sdtEndPr/>
      <w:sdtContent>
        <w:p w:rsidR="0073048B" w:rsidRDefault="002043E1" w14:paraId="7472FAB3"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10"/>
        <w:tag w:val="1ba86cfa-8d3b-46fe-9ca9-ae97299f6d13"/>
        <w:id w:val="1701352103"/>
        <w:lock w:val="sdtLocked"/>
      </w:sdtPr>
      <w:sdtEndPr/>
      <w:sdtContent>
        <w:p w:rsidR="0073048B" w:rsidRDefault="002043E1" w14:paraId="615C72FD" w14:textId="77777777">
          <w:pPr>
            <w:pStyle w:val="Frslagstext"/>
          </w:pPr>
          <w:r>
            <w:t>Riksdagen ställer sig bakom det som anförs i motionen om att regeringen bör säkerställa att det pågående generationsskiftet med nya isbrytare genomförs utifrån både näringslivets och myndigheternas behov av tillräcklig kapacitet och tillkännager detta för regeringen.</w:t>
          </w:r>
        </w:p>
      </w:sdtContent>
    </w:sdt>
    <w:sdt>
      <w:sdtPr>
        <w:alias w:val="Yrkande 11"/>
        <w:tag w:val="d283e3cc-c882-4929-b667-263bf60588f7"/>
        <w:id w:val="-647442745"/>
        <w:lock w:val="sdtLocked"/>
      </w:sdtPr>
      <w:sdtEndPr/>
      <w:sdtContent>
        <w:p w:rsidR="0073048B" w:rsidRDefault="002043E1" w14:paraId="3211B760" w14:textId="77777777">
          <w:pPr>
            <w:pStyle w:val="Frslagstext"/>
          </w:pPr>
          <w:r>
            <w:t>Riksdagen ställer sig bakom det som anförs i motionen om att Sverige aktivt bör analysera förutsättningarna för stöd till svensk basindustri sett mot bakgrund av EU:s nya industristrategi samt den gröna given och tillkännager detta för regeringen.</w:t>
          </w:r>
        </w:p>
      </w:sdtContent>
    </w:sdt>
    <w:sdt>
      <w:sdtPr>
        <w:alias w:val="Yrkande 12"/>
        <w:tag w:val="7ac2c81e-99c7-4d63-8b6f-9359458494a1"/>
        <w:id w:val="-957564740"/>
        <w:lock w:val="sdtLocked"/>
      </w:sdtPr>
      <w:sdtEndPr/>
      <w:sdtContent>
        <w:p w:rsidR="0073048B" w:rsidRDefault="002043E1" w14:paraId="7FAB2350" w14:textId="77777777">
          <w:pPr>
            <w:pStyle w:val="Frslagstext"/>
          </w:pPr>
          <w:r>
            <w:t>Riksdagen ställer sig bakom det som anförs i motionen om att anta ett mål om att fördubbla Sveriges produktion av utsläppsfri el till 2030 och tillkännager detta för regeringen.</w:t>
          </w:r>
        </w:p>
      </w:sdtContent>
    </w:sdt>
    <w:sdt>
      <w:sdtPr>
        <w:alias w:val="Yrkande 13"/>
        <w:tag w:val="afddaf2a-3e52-46e4-9ef4-e39077ab26eb"/>
        <w:id w:val="1259951292"/>
        <w:lock w:val="sdtLocked"/>
      </w:sdtPr>
      <w:sdtEndPr/>
      <w:sdtContent>
        <w:p w:rsidR="0073048B" w:rsidRDefault="002043E1" w14:paraId="309A2BBE" w14:textId="77777777">
          <w:pPr>
            <w:pStyle w:val="Frslagstext"/>
          </w:pPr>
          <w:r>
            <w:t>Riksdagen ställer sig bakom det som anförs i motionen om att öka elproduktionen med 50 TWh innevarande mandatperiod – motsvarande 10 miljoner villors årsförbrukning av el – och tillkännager detta för regeringen.</w:t>
          </w:r>
        </w:p>
      </w:sdtContent>
    </w:sdt>
    <w:sdt>
      <w:sdtPr>
        <w:alias w:val="Yrkande 14"/>
        <w:tag w:val="f91261ed-8758-499b-9991-7993e335dc92"/>
        <w:id w:val="-95019083"/>
        <w:lock w:val="sdtLocked"/>
      </w:sdtPr>
      <w:sdtEndPr/>
      <w:sdtContent>
        <w:p w:rsidR="0073048B" w:rsidRDefault="002043E1" w14:paraId="7DB0A80B" w14:textId="77777777">
          <w:pPr>
            <w:pStyle w:val="Frslagstext"/>
          </w:pPr>
          <w:r>
            <w:t>Riksdagen ställer sig bakom det som anförs i motionen om att blixtinkalla till nya energisamtal med målet att anta en ny bred politisk överenskommelse som säkerställer långsiktiga förutsättningar för energiproduktion och tillkännager detta för regeringen.</w:t>
          </w:r>
        </w:p>
      </w:sdtContent>
    </w:sdt>
    <w:sdt>
      <w:sdtPr>
        <w:alias w:val="Yrkande 15"/>
        <w:tag w:val="73fdceb3-0667-4564-9588-ddc796a8cdbd"/>
        <w:id w:val="-1482924431"/>
        <w:lock w:val="sdtLocked"/>
      </w:sdtPr>
      <w:sdtEndPr/>
      <w:sdtContent>
        <w:p w:rsidR="0073048B" w:rsidRDefault="002043E1" w14:paraId="57BB9EF7" w14:textId="77777777">
          <w:pPr>
            <w:pStyle w:val="Frslagstext"/>
          </w:pPr>
          <w:r>
            <w:t>Riksdagen ställer sig bakom det som anförs i motionen om att värna, utveckla och stärka lönsamheten för vattenkraften genom minskat regelkrångel, respekt för äganderätten och effektiva miljöåtgärder med rimliga kostnader och tillkännager detta för regeringen.</w:t>
          </w:r>
        </w:p>
      </w:sdtContent>
    </w:sdt>
    <w:sdt>
      <w:sdtPr>
        <w:alias w:val="Yrkande 16"/>
        <w:tag w:val="27a4ae96-7625-4123-93e4-6a190ee03b03"/>
        <w:id w:val="-130329719"/>
        <w:lock w:val="sdtLocked"/>
      </w:sdtPr>
      <w:sdtEndPr/>
      <w:sdtContent>
        <w:p w:rsidR="0073048B" w:rsidRDefault="002043E1" w14:paraId="37BD8182" w14:textId="77777777">
          <w:pPr>
            <w:pStyle w:val="Frslagstext"/>
          </w:pPr>
          <w:r>
            <w:t>Riksdagen ställer sig bakom det som anförs i motionen om att utvidga minerallagen till att omfatta geotermala fält och geotermalt vatten och tillkännager detta för regeringen.</w:t>
          </w:r>
        </w:p>
      </w:sdtContent>
    </w:sdt>
    <w:sdt>
      <w:sdtPr>
        <w:alias w:val="Yrkande 17"/>
        <w:tag w:val="2d7caee8-e33e-4cfe-8f56-2b14ee78d791"/>
        <w:id w:val="1615247473"/>
        <w:lock w:val="sdtLocked"/>
      </w:sdtPr>
      <w:sdtEndPr/>
      <w:sdtContent>
        <w:p w:rsidR="0073048B" w:rsidRDefault="002043E1" w14:paraId="79F7BD3B" w14:textId="77777777">
          <w:pPr>
            <w:pStyle w:val="Frslagstext"/>
          </w:pPr>
          <w:r>
            <w:t>Riksdagen ställer sig bakom det som anförs i motionen om att en genomlysning av möjligheterna till en långsiktigt hållbar utvinning av innovationskritiska metaller och mineral bör göras och tillkännager detta för regeringen.</w:t>
          </w:r>
        </w:p>
      </w:sdtContent>
    </w:sdt>
    <w:sdt>
      <w:sdtPr>
        <w:alias w:val="Yrkande 18"/>
        <w:tag w:val="1e319994-2908-427c-9e98-fb83b3947bd1"/>
        <w:id w:val="855706970"/>
        <w:lock w:val="sdtLocked"/>
      </w:sdtPr>
      <w:sdtEndPr/>
      <w:sdtContent>
        <w:p w:rsidR="0073048B" w:rsidRDefault="002043E1" w14:paraId="0E3B7195" w14:textId="77777777">
          <w:pPr>
            <w:pStyle w:val="Frslagstext"/>
          </w:pPr>
          <w:r>
            <w:t>Riksdagen ställer sig bakom det som anförs i motionen om att undersöka förutsättningarna för att höja mineralavgiften något och att göra tillämpningen av riksintressena mer flexibel genom att utreda möjligheten till lokalt inflytande och tillkännager detta för regeringen.</w:t>
          </w:r>
        </w:p>
      </w:sdtContent>
    </w:sdt>
    <w:sdt>
      <w:sdtPr>
        <w:alias w:val="Yrkande 19"/>
        <w:tag w:val="00794795-0efb-443d-a493-fc60ffd2875d"/>
        <w:id w:val="-792823431"/>
        <w:lock w:val="sdtLocked"/>
      </w:sdtPr>
      <w:sdtEndPr/>
      <w:sdtContent>
        <w:p w:rsidR="0073048B" w:rsidRDefault="002043E1" w14:paraId="3A945A7A" w14:textId="77777777">
          <w:pPr>
            <w:pStyle w:val="Frslagstext"/>
          </w:pPr>
          <w:r>
            <w:t>Riksdagen ställer sig bakom det som anförs i motionen om att se över möjligheten att stärka berörda myndigheters och domstolars resurser till prövning av miljöfarlig verksamhet och tillkännager detta för regeringen.</w:t>
          </w:r>
        </w:p>
      </w:sdtContent>
    </w:sdt>
    <w:sdt>
      <w:sdtPr>
        <w:alias w:val="Yrkande 20"/>
        <w:tag w:val="f2ff7d8f-1a17-4358-8ff5-6f6f50f4a140"/>
        <w:id w:val="239377489"/>
        <w:lock w:val="sdtLocked"/>
      </w:sdtPr>
      <w:sdtEndPr/>
      <w:sdtContent>
        <w:p w:rsidR="0073048B" w:rsidRDefault="002043E1" w14:paraId="4235058A" w14:textId="77777777">
          <w:pPr>
            <w:pStyle w:val="Frslagstext"/>
          </w:pPr>
          <w:r>
            <w:t>Riksdagen ställer sig bakom det som anförs i motionen om att göra en översyn och modernisering av minerallagen och tillkännager detta för regeringen.</w:t>
          </w:r>
        </w:p>
      </w:sdtContent>
    </w:sdt>
    <w:sdt>
      <w:sdtPr>
        <w:alias w:val="Yrkande 21"/>
        <w:tag w:val="8d284680-e4da-476b-ade7-b07ea5edf6fa"/>
        <w:id w:val="838115585"/>
        <w:lock w:val="sdtLocked"/>
      </w:sdtPr>
      <w:sdtEndPr/>
      <w:sdtContent>
        <w:p w:rsidR="0073048B" w:rsidRDefault="002043E1" w14:paraId="15AC95C4" w14:textId="77777777">
          <w:pPr>
            <w:pStyle w:val="Frslagstext"/>
          </w:pPr>
          <w:r>
            <w:t>Riksdagen ställer sig bakom det som anförs i motionen om att säkerställa att de myndigheter som hanterar tillståndsärenden för industrin har tillräckliga resurser i syfte att förkorta handläggningstiderna och tillkännager detta för regeringen.</w:t>
          </w:r>
        </w:p>
      </w:sdtContent>
    </w:sdt>
    <w:sdt>
      <w:sdtPr>
        <w:alias w:val="Yrkande 22"/>
        <w:tag w:val="5aafc0ac-c8b1-4072-9bfe-ffb14d3edcfd"/>
        <w:id w:val="-1968343073"/>
        <w:lock w:val="sdtLocked"/>
      </w:sdtPr>
      <w:sdtEndPr/>
      <w:sdtContent>
        <w:p w:rsidR="0073048B" w:rsidRDefault="002043E1" w14:paraId="7A05A350" w14:textId="77777777">
          <w:pPr>
            <w:pStyle w:val="Frslagstext"/>
          </w:pPr>
          <w:r>
            <w:t>Riksdagen ställer sig bakom det som anförs i motionen om att göra det möjligt för domstolar och myndigheter att väga in ett projekts klimatnytta när de fattar beslut, och detta tillkännager riksdagen för regeringen.</w:t>
          </w:r>
        </w:p>
      </w:sdtContent>
    </w:sdt>
    <w:sdt>
      <w:sdtPr>
        <w:alias w:val="Yrkande 23"/>
        <w:tag w:val="2b8fca13-14bb-48c4-a439-b6d26b86831d"/>
        <w:id w:val="2043321162"/>
        <w:lock w:val="sdtLocked"/>
      </w:sdtPr>
      <w:sdtEndPr/>
      <w:sdtContent>
        <w:p w:rsidR="0073048B" w:rsidRDefault="002043E1" w14:paraId="09AC953A" w14:textId="77777777">
          <w:pPr>
            <w:pStyle w:val="Frslagstext"/>
          </w:pPr>
          <w:r>
            <w:t>Riksdagen ställer sig bakom det som anförs i motionen om att ändringstillstånd ska användas som huvudregel i miljötillståndsprocesser med syftet att förkorta tillståndsprocesserna och tillkännager detta för regeringen.</w:t>
          </w:r>
        </w:p>
      </w:sdtContent>
    </w:sdt>
    <w:sdt>
      <w:sdtPr>
        <w:alias w:val="Yrkande 24"/>
        <w:tag w:val="9803ae69-b66d-457a-964c-5ab6b2c010bb"/>
        <w:id w:val="615644082"/>
        <w:lock w:val="sdtLocked"/>
      </w:sdtPr>
      <w:sdtEndPr/>
      <w:sdtContent>
        <w:p w:rsidR="0073048B" w:rsidRDefault="002043E1" w14:paraId="63320E3C" w14:textId="77777777">
          <w:pPr>
            <w:pStyle w:val="Frslagstext"/>
          </w:pPr>
          <w:r>
            <w:t xml:space="preserve">Riksdagen ställer sig bakom det som anförs i motionen om att i högre grad använda anmälningsplikt och därmed minska antalet verksamheter som blir föremål för </w:t>
          </w:r>
          <w:r>
            <w:lastRenderedPageBreak/>
            <w:t>individuella prövningar vid miljötillstånd, och detta tillkännager riksdagen för regeringen.</w:t>
          </w:r>
        </w:p>
      </w:sdtContent>
    </w:sdt>
    <w:sdt>
      <w:sdtPr>
        <w:alias w:val="Yrkande 25"/>
        <w:tag w:val="47b96d80-6181-47bb-b261-cc44c1a20823"/>
        <w:id w:val="1427076399"/>
        <w:lock w:val="sdtLocked"/>
      </w:sdtPr>
      <w:sdtEndPr/>
      <w:sdtContent>
        <w:p w:rsidR="0073048B" w:rsidRDefault="002043E1" w14:paraId="2E9BD004" w14:textId="77777777">
          <w:pPr>
            <w:pStyle w:val="Frslagstext"/>
          </w:pPr>
          <w:r>
            <w:t>Riksdagen ställer sig bakom det som anförs i motionen om att införa en proportionalitetsprincip för avslag i miljötillståndsprocesser och tillkännager detta för regeringen.</w:t>
          </w:r>
        </w:p>
      </w:sdtContent>
    </w:sdt>
    <w:sdt>
      <w:sdtPr>
        <w:alias w:val="Yrkande 26"/>
        <w:tag w:val="d8ffbc20-227d-45d7-8232-49c9b796e922"/>
        <w:id w:val="1360935831"/>
        <w:lock w:val="sdtLocked"/>
      </w:sdtPr>
      <w:sdtEndPr/>
      <w:sdtContent>
        <w:p w:rsidR="0073048B" w:rsidRDefault="002043E1" w14:paraId="6E4A042E" w14:textId="77777777">
          <w:pPr>
            <w:pStyle w:val="Frslagstext"/>
          </w:pPr>
          <w:r>
            <w:t>Riksdagen ställer sig bakom det som anförs i motionen om att koncentrera prövningen enligt 3 och 4 kap. miljöbalken i bearbetningskoncessionsärenden till färre länsstyrelser och tillkännager detta för regeringen.</w:t>
          </w:r>
        </w:p>
      </w:sdtContent>
    </w:sdt>
    <w:sdt>
      <w:sdtPr>
        <w:alias w:val="Yrkande 27"/>
        <w:tag w:val="a68a1d45-2cbe-473a-bb0c-27a12bc20aa2"/>
        <w:id w:val="-2003342924"/>
        <w:lock w:val="sdtLocked"/>
      </w:sdtPr>
      <w:sdtEndPr/>
      <w:sdtContent>
        <w:p w:rsidR="0073048B" w:rsidRDefault="002043E1" w14:paraId="2CAEADBE" w14:textId="77777777">
          <w:pPr>
            <w:pStyle w:val="Frslagstext"/>
          </w:pPr>
          <w:r>
            <w:t>Riksdagen ställer sig bakom det som anförs i motionen om att koncentrera tillsyn enligt 26 kap. miljöbalken för verksamheter och åtgärder kopplade till gruvverksamhet enligt bilagan till förordningen (1998:899) om miljöfarlig verksamhet och hälsoskydd till flera länsstyrelser och tillkännager detta för regeringen.</w:t>
          </w:r>
        </w:p>
      </w:sdtContent>
    </w:sdt>
    <w:sdt>
      <w:sdtPr>
        <w:alias w:val="Yrkande 28"/>
        <w:tag w:val="9871bf57-c375-4d7c-a047-402c9a52c2a9"/>
        <w:id w:val="1436951171"/>
        <w:lock w:val="sdtLocked"/>
      </w:sdtPr>
      <w:sdtEndPr/>
      <w:sdtContent>
        <w:p w:rsidR="0073048B" w:rsidRDefault="002043E1" w14:paraId="3DA2D509" w14:textId="77777777">
          <w:pPr>
            <w:pStyle w:val="Frslagstext"/>
          </w:pPr>
          <w:r>
            <w:t>Riksdagen ställer sig bakom det som anförs i motionen om att se över omfattningen av och ansvarsfördelningen mellan de statliga myndigheternas medverkan i tillståndsprocesser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4F2D59CE134DEE9BFA37DFC5E5D5C5"/>
        </w:placeholder>
        <w:text/>
      </w:sdtPr>
      <w:sdtEndPr/>
      <w:sdtContent>
        <w:p w:rsidRPr="00964085" w:rsidR="006D79C9" w:rsidP="00333E95" w:rsidRDefault="006D79C9" w14:paraId="17000A64" w14:textId="77777777">
          <w:pPr>
            <w:pStyle w:val="Rubrik1"/>
          </w:pPr>
          <w:r>
            <w:t>Motivering</w:t>
          </w:r>
        </w:p>
      </w:sdtContent>
    </w:sdt>
    <w:bookmarkEnd w:displacedByCustomXml="prev" w:id="3"/>
    <w:bookmarkEnd w:displacedByCustomXml="prev" w:id="4"/>
    <w:p w:rsidRPr="00964085" w:rsidR="00F36801" w:rsidP="006C299C" w:rsidRDefault="00F36801" w14:paraId="3182E0F5" w14:textId="4EB2F3ED">
      <w:pPr>
        <w:pStyle w:val="Normalutanindragellerluft"/>
      </w:pPr>
      <w:r w:rsidRPr="00964085">
        <w:t>Sveriges välståndsutveckling har i mångt och mycket sin grund i växande basindustrier. Tillväxten i basindustrin innebar att den genomsnittliga svenska invånarens välstånds</w:t>
      </w:r>
      <w:r w:rsidR="006C299C">
        <w:softHyphen/>
      </w:r>
      <w:r w:rsidRPr="00964085">
        <w:t>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w:t>
      </w:r>
      <w:r w:rsidR="006C299C">
        <w:softHyphen/>
      </w:r>
      <w:r w:rsidRPr="00964085">
        <w:t xml:space="preserve">liska mineralprodukter) skapar exportintäkter och arbetstillfällen runtom i landet, inte minst i de mindre tätbefolkade delarna av landet där behovet av arbetstillfällen är som störst. </w:t>
      </w:r>
    </w:p>
    <w:p w:rsidRPr="00964085" w:rsidR="00F36801" w:rsidP="00F36801" w:rsidRDefault="00F36801" w14:paraId="7240F339" w14:textId="7D3B9ED2">
      <w:r w:rsidRPr="00964085">
        <w:t>Investeringarna i basindustrin norra Sverige som aviserats från näringslivet är mycket glädjande. Dessa megaprojekt sätter fokus på behovet av en rad reformer inom en rad områden, reformer som Centerpartiet velat se länge men som nu bli</w:t>
      </w:r>
      <w:r w:rsidR="00836CDA">
        <w:t>r</w:t>
      </w:r>
      <w:r w:rsidRPr="00964085">
        <w:t xml:space="preserve"> alltmer </w:t>
      </w:r>
      <w:r w:rsidRPr="006C299C">
        <w:rPr>
          <w:spacing w:val="-1"/>
        </w:rPr>
        <w:t>aktuella. Exempelvis behövs investeringar i utbildningsväsendet, en översyn av inkomst</w:t>
      </w:r>
      <w:r w:rsidRPr="006C299C" w:rsidR="006C299C">
        <w:rPr>
          <w:spacing w:val="-1"/>
        </w:rPr>
        <w:softHyphen/>
      </w:r>
      <w:r w:rsidRPr="006C299C">
        <w:rPr>
          <w:spacing w:val="-1"/>
        </w:rPr>
        <w:t>beskattningen,</w:t>
      </w:r>
      <w:r w:rsidRPr="00964085">
        <w:t xml:space="preserve"> bättre vägar, järnvägar och flygplatser och en översyn av miljöbalken och en förenkling och effektiv tillståndsprövning för miljöpåverkande verksamheter. Från statligt håll borde man säkerställa att det blir mer attraktivt för utrikesbaserad spetskompetens inom det aktuella industrifältet att söka sig till Sverige. I denna inter</w:t>
      </w:r>
      <w:r w:rsidR="006C299C">
        <w:softHyphen/>
      </w:r>
      <w:r w:rsidRPr="00964085">
        <w:t>nationella kontext spelar inte minst inkomstbeskattning en relativt stor roll och det är knappast någon hemlighet att Sverige inte är konkurrenskraftigt ur den aspekten. På samma sätt har Sverige en dokumenterat sönderreglerad bostadsmarknad där det är svårt och dyrt att bygga nytt.</w:t>
      </w:r>
    </w:p>
    <w:p w:rsidRPr="00964085" w:rsidR="00F36801" w:rsidP="00F36801" w:rsidRDefault="00F36801" w14:paraId="168EEFE1" w14:textId="00483B89">
      <w:r w:rsidRPr="00964085">
        <w:t>När det gäller svensk basindustri kan särskilt nämnas gruv- och skogsnäringen. Av svensk industris totala sysselsättning, export, omsättning och förädlingsvärde svarar skogsindustrin för cirka 10 procent. 70</w:t>
      </w:r>
      <w:r w:rsidR="000B6FB3">
        <w:t> </w:t>
      </w:r>
      <w:r w:rsidRPr="00964085">
        <w:t>000 människor är direkt anställda i skogs</w:t>
      </w:r>
      <w:r w:rsidR="006C299C">
        <w:softHyphen/>
      </w:r>
      <w:r w:rsidRPr="00964085">
        <w:t>när</w:t>
      </w:r>
      <w:r w:rsidR="006C299C">
        <w:softHyphen/>
      </w:r>
      <w:r w:rsidRPr="00964085">
        <w:t>ingen. När man räknar in alla underleverantörer är 120</w:t>
      </w:r>
      <w:r w:rsidR="0073143F">
        <w:t> </w:t>
      </w:r>
      <w:r w:rsidRPr="00964085">
        <w:t xml:space="preserve">000 människor sysselsatta i branschen. År 2020 investerade skogsindustrin för 13,3 miljarder kronor och stod därmed för 20 procent av svensk industris totala investeringar. Det totala exportvärdet </w:t>
      </w:r>
      <w:r w:rsidRPr="00964085">
        <w:lastRenderedPageBreak/>
        <w:t>för branschen låg 2021 på 167 miljarder kronor. Gruvnäringen är en bärande del av svensk export och står för cirka 20</w:t>
      </w:r>
      <w:r w:rsidR="0093091E">
        <w:t> </w:t>
      </w:r>
      <w:r w:rsidRPr="00964085">
        <w:t>000 direkta jobb i Sverige. 2019 investerade gruv</w:t>
      </w:r>
      <w:r w:rsidR="008A75DD">
        <w:softHyphen/>
      </w:r>
      <w:r w:rsidRPr="00964085">
        <w:t>näringen 6,3 miljarder kronor i Sverige, och under de kommande 20 åren väntas ytter</w:t>
      </w:r>
      <w:r w:rsidR="008A75DD">
        <w:softHyphen/>
      </w:r>
      <w:r w:rsidRPr="00964085">
        <w:t xml:space="preserve">ligare hundratals miljarder nyinvesteras. </w:t>
      </w:r>
    </w:p>
    <w:p w:rsidRPr="00964085" w:rsidR="00F36801" w:rsidP="00F36801" w:rsidRDefault="00F36801" w14:paraId="6DF924B5" w14:textId="3DC5AF1A">
      <w:r w:rsidRPr="00964085">
        <w:t xml:space="preserve">Svensk basindustri är effektiv och ligger i framkant när det gäller till exempel </w:t>
      </w:r>
      <w:r w:rsidRPr="006C299C">
        <w:rPr>
          <w:spacing w:val="-1"/>
        </w:rPr>
        <w:t>håll</w:t>
      </w:r>
      <w:r w:rsidRPr="006C299C" w:rsidR="006C299C">
        <w:rPr>
          <w:spacing w:val="-1"/>
        </w:rPr>
        <w:softHyphen/>
      </w:r>
      <w:r w:rsidRPr="006C299C">
        <w:rPr>
          <w:spacing w:val="-1"/>
        </w:rPr>
        <w:t>barhet. Miljöarbetet i bolagen sker på ett strukturerat och långsiktigt vis. Tyvärr hämmas</w:t>
      </w:r>
      <w:r w:rsidRPr="00964085">
        <w:t xml:space="preserve"> dock basindustrierna i sin ambition att växa. Industrierna möter svårigheter när det kommer till att rekrytera personer med nödvändig kompetens, eftersom för få utbildas med efterfrågade tekniska färdigheter. Det krävs både bättre samordning av statens insatser för kompetensutveckling, en mer välfungerande matchning, samt att företagen kan möta sina behov med regelverk för arbetskraftsinvandring som möjliggör en effek</w:t>
      </w:r>
      <w:r w:rsidR="006C299C">
        <w:softHyphen/>
      </w:r>
      <w:r w:rsidRPr="00964085">
        <w:t xml:space="preserve">tiv rekrytering. Samtidigt gör processen med miljötillstånd och byggtillstånd att det är dyrt och tidskrävande att starta nya produktionsanläggningar. </w:t>
      </w:r>
    </w:p>
    <w:p w:rsidRPr="00964085" w:rsidR="00F36801" w:rsidP="00F36801" w:rsidRDefault="00F36801" w14:paraId="1114753D" w14:textId="63DB5115">
      <w:r w:rsidRPr="00964085">
        <w:t>Politiken ska bidra till utvecklingen av alla typer av företag, små och medelstora</w:t>
      </w:r>
      <w:r w:rsidR="00EB47BD">
        <w:t xml:space="preserve"> och</w:t>
      </w:r>
      <w:r w:rsidRPr="00964085">
        <w:t xml:space="preserve"> större företag, såväl tjänste- som industriföretag. Det finns ingen motsättning mellan industri- och tjänsteproduktion. I debatten har enskilda siffror ibland framställts som att de visar på en avindustrialisering av Sverige. Det är en felaktig föreställning. Industrin spelar en särskilt viktig roll för välståndsutvecklingen, då det är i denna sektor som exportvärdet skapas. En betydande del av tjänsteexporten är industrinära tjänster, till exempel underhåll av avancerade maskiner som exporterats. Den svenska tillverknings</w:t>
      </w:r>
      <w:r w:rsidR="006C299C">
        <w:softHyphen/>
      </w:r>
      <w:r w:rsidRPr="00964085">
        <w:t>industrin svarar för 20 procent av näringslivets förädlingsvärde. Inom industrin har basindustrin en av de högsta exportandelarna bland industrins samtliga branscher, drygt 90 procent. Nationalräkenskaperna leder ofta tanken fel när den konstgjort delar upp ekonomin. I en modern ekonomi är tjänstesektorn integrerad i industrin och industrin i tjänstesektorn. På punkt efter punkt behövs en analys och ett aktivt reformarbete för att motverka de hinder som svensk basindustri möter. Det är en tematik som återkommande tas upp i denna motion.</w:t>
      </w:r>
    </w:p>
    <w:p w:rsidRPr="00964085" w:rsidR="00F36801" w:rsidP="00F36801" w:rsidRDefault="00F36801" w14:paraId="03241FDB" w14:textId="77777777">
      <w:pPr>
        <w:pStyle w:val="Rubrik2"/>
      </w:pPr>
      <w:r w:rsidRPr="00964085">
        <w:t>Kompetensförsörjning, forskning och innovation</w:t>
      </w:r>
    </w:p>
    <w:p w:rsidRPr="00964085" w:rsidR="00F36801" w:rsidP="00F36801" w:rsidRDefault="00F36801" w14:paraId="7E0DFB86" w14:textId="6E20B3E9">
      <w:pPr>
        <w:pStyle w:val="Normalutanindragellerluft"/>
      </w:pPr>
      <w:r w:rsidRPr="00964085">
        <w:t>En avgörande faktor för att kunna driva och expandera företag är att det finns möjlighet att anställa kompetent personal. Dagens moderna värld ställer höga och skiftande krav på medarbetarna. Allt fler företagare upplever problem med att hitta kompetent arbets</w:t>
      </w:r>
      <w:r w:rsidR="006C299C">
        <w:softHyphen/>
      </w:r>
      <w:r w:rsidRPr="00964085">
        <w:t xml:space="preserve">kraft, oavsett konjunkturläge eller bransch. Vi ser en paradox: </w:t>
      </w:r>
      <w:r w:rsidR="00E563ED">
        <w:t>A</w:t>
      </w:r>
      <w:r w:rsidRPr="00964085">
        <w:t xml:space="preserve">rbetslösheten bland i synnerhet grupper som står långt från arbetsmarknaden stiger, samtidigt som företag skriker efter ny personal. Att beskriva fenomenet som enbart en matchningsproblematik är inte längre tillräckligt. </w:t>
      </w:r>
      <w:r w:rsidRPr="008A75DD">
        <w:rPr>
          <w:spacing w:val="-1"/>
        </w:rPr>
        <w:t>Bristen på kompetent arbetskraft med relevant utbildning är ett strukturellt problem. I förlängningen hotar kompetensbristen att skada den internationella</w:t>
      </w:r>
      <w:r w:rsidRPr="00964085">
        <w:t xml:space="preserve"> konkurrenskraften hos näringslivet.</w:t>
      </w:r>
    </w:p>
    <w:p w:rsidRPr="00964085" w:rsidR="00F36801" w:rsidP="00F36801" w:rsidRDefault="00F36801" w14:paraId="70629C30" w14:textId="2B24DBDC">
      <w:r w:rsidRPr="00964085">
        <w:t>En grundläggande utveckling är att utbildningssystemet har växt ifrån näringslivets behov. Den otillräckliga kopplingen mellan arbetsmarknad och utbildning behöver åtgärdas med politiska reformer som återigen belönar praktisk kunskap, stärker sam</w:t>
      </w:r>
      <w:r w:rsidR="006C299C">
        <w:softHyphen/>
      </w:r>
      <w:r w:rsidRPr="00964085">
        <w:t>verkan mellan näringsliv och utbildning, och skapar incitament för att utbilda sig till yrken som efterfrågas.</w:t>
      </w:r>
    </w:p>
    <w:p w:rsidRPr="00964085" w:rsidR="00F36801" w:rsidP="00F36801" w:rsidRDefault="00F36801" w14:paraId="5C1DD392" w14:textId="77777777">
      <w:r w:rsidRPr="00964085">
        <w:t xml:space="preserve">Innovationer bidrar ofta till att riva strukturer och skapa nya ordningar. De kan därför inte dikteras fram uppifrån. I en fungerande och dynamisk marknadsekonomi stöts och blöts idéer mot varandra. I fria miljöer där olika perspektiv bryts mot varandra </w:t>
      </w:r>
      <w:r w:rsidRPr="00964085">
        <w:lastRenderedPageBreak/>
        <w:t>skapas innovationer som bryter med nuvarande sätt att tänka. För att den här processen ska äga rum krävs ordentligt med riskvilligt kapital och möjlighet till finansiering.</w:t>
      </w:r>
    </w:p>
    <w:p w:rsidRPr="00964085" w:rsidR="00F36801" w:rsidP="00F36801" w:rsidRDefault="00F36801" w14:paraId="6437DF4C" w14:textId="64787CFE">
      <w:r w:rsidRPr="00964085">
        <w:t xml:space="preserve">I stället för att tvinga in innovationsarbetet i strukturer ovanifrån behöver vi tänka underifrån och främja både fria tankar och en levande vital debatt. Näringsliv, akademi </w:t>
      </w:r>
      <w:r w:rsidRPr="006C299C">
        <w:rPr>
          <w:spacing w:val="-1"/>
        </w:rPr>
        <w:t>och det offentliga måste få nya och starkare incitament för att samverka och nyttogöra nya idéer och innovationer. I mångt och mycket handlar den statliga innovationspolitiken</w:t>
      </w:r>
      <w:r w:rsidRPr="00964085">
        <w:t xml:space="preserve"> om att skapa goda villkor för företagande. De högskolor som verkar regionalt har ofta en viktig roll att spela i det regionala innovationsklimatet. Ofta har de en bra samverkan med det omkringliggande näringslivet. </w:t>
      </w:r>
    </w:p>
    <w:p w:rsidRPr="00964085" w:rsidR="00F36801" w:rsidP="00F36801" w:rsidRDefault="00F36801" w14:paraId="5CF40804" w14:textId="77777777">
      <w:r w:rsidRPr="00964085">
        <w:t>En framgångsfaktor för att få fler unga att välja en utbildning eller karriär som ingenjör kan vara att tydliggöra hur ingenjörsyrken och hållbarhetsarbete nu alltmer växer samman. Det har påpekats att detta kan skapa förutsättningar för ett ökat intresse från tjejer och kvinnor att välja denna bana. Idag är utbildningarna till högskoleingenjör och civilingenjör de enda yrkesutbildningarna på högskolan där kvinnorna fortsatt är tydligt underrepresenterade. Andelen kvinnor som antas till ingenjörsprogrammen ligger fortfarande endast mellan 25 och 30 procent. Detta ska ställas i kontrast till att det totalt vid högskolestudier är 60 procent kvinnor. Med svensk basindustri som förebild i att knyta samman traditionell industri och den gröna omställningen kan jämställdheten inom ingenjörsutbildningarna och arbetsliv öka.</w:t>
      </w:r>
    </w:p>
    <w:p w:rsidRPr="00964085" w:rsidR="00F36801" w:rsidP="00F36801" w:rsidRDefault="00F36801" w14:paraId="27988716" w14:textId="77777777">
      <w:pPr>
        <w:pStyle w:val="Rubrik2"/>
      </w:pPr>
      <w:r w:rsidRPr="00964085">
        <w:t>Skatter</w:t>
      </w:r>
    </w:p>
    <w:p w:rsidRPr="00964085" w:rsidR="00F36801" w:rsidP="00F36801" w:rsidRDefault="00F36801" w14:paraId="3BAB49F7" w14:textId="7D600279">
      <w:pPr>
        <w:pStyle w:val="Normalutanindragellerluft"/>
      </w:pPr>
      <w:r w:rsidRPr="00964085">
        <w:t>En effektiv ekonomi förutsätter att skatter som styrmedel används med eftertänksamhet. Ett skattesystem som främjar företagande innebär minskad beskattning av samhälls</w:t>
      </w:r>
      <w:r w:rsidR="006C299C">
        <w:softHyphen/>
      </w:r>
      <w:r w:rsidRPr="00964085">
        <w:t>nyttor som investeringar, vinst och arbete. Utgångspunkten i skattepolitiken ska vara att stärka den svenska konkurrenskraften. Som i många andra politikområden bör de lägst hängande frukterna plockas först – att helt enkelt göra det enklare för företagen att bedriva sin verksamhet.</w:t>
      </w:r>
    </w:p>
    <w:p w:rsidRPr="00964085" w:rsidR="00F36801" w:rsidP="00F36801" w:rsidRDefault="00F36801" w14:paraId="260B0842" w14:textId="49BE477C">
      <w:r w:rsidRPr="00964085">
        <w:t>Skatterna är en av de största utgifterna för de flesta företagare. Skattebelastningen har visserligen minskat under det senaste decenniet. Samtidigt är den administrativa bördan fortsatt alltför stor för företag. Exempelvis visar Världsbankens studie ”</w:t>
      </w:r>
      <w:proofErr w:type="spellStart"/>
      <w:r w:rsidRPr="00964085">
        <w:t>Paying</w:t>
      </w:r>
      <w:proofErr w:type="spellEnd"/>
      <w:r w:rsidRPr="00964085">
        <w:t xml:space="preserve"> </w:t>
      </w:r>
      <w:proofErr w:type="spellStart"/>
      <w:r w:rsidRPr="00964085">
        <w:t>taxes</w:t>
      </w:r>
      <w:proofErr w:type="spellEnd"/>
      <w:r w:rsidRPr="00964085">
        <w:t>” att det tar lika lång tid idag som det gjorde 2004 för företag att följa skatteregelverket. Hos såväl Sveriges medborgare som företag är tilltron till det svenska skattesystemet och Skatteverket som myndighet mycket stort, men det finns trots allt brister. Attityden till företagare, och tillämpningen och tolkningen av lagarna</w:t>
      </w:r>
      <w:r w:rsidR="00223DD6">
        <w:t>,</w:t>
      </w:r>
      <w:r w:rsidRPr="00964085">
        <w:t xml:space="preserve"> varierar i landet. Den osäkerhet och de rättsprocesser som detta leder till kan äventyra seriösa företags möjligheter att överleva. Utöver skattereformer är det nödvändigt att förbättra rättssäkerhet</w:t>
      </w:r>
      <w:r w:rsidR="00B05074">
        <w:t>en</w:t>
      </w:r>
      <w:r w:rsidRPr="00964085">
        <w:t xml:space="preserve"> i skattemål och förändra Skatteverkets attityd till företagande.</w:t>
      </w:r>
    </w:p>
    <w:p w:rsidRPr="00964085" w:rsidR="00F36801" w:rsidP="00F36801" w:rsidRDefault="00F36801" w14:paraId="30CB544C" w14:textId="77777777">
      <w:pPr>
        <w:pStyle w:val="Rubrik2"/>
      </w:pPr>
      <w:r w:rsidRPr="00964085">
        <w:t>Infrastruktur och transporter</w:t>
      </w:r>
    </w:p>
    <w:p w:rsidRPr="00964085" w:rsidR="00F36801" w:rsidP="00F36801" w:rsidRDefault="00F36801" w14:paraId="24E2679B" w14:textId="4A23E165">
      <w:pPr>
        <w:pStyle w:val="Normalutanindragellerluft"/>
      </w:pPr>
      <w:r w:rsidRPr="00964085">
        <w:t xml:space="preserve">Pålitliga och miljövänliga transporter blir allt viktigare i en globaliserad värld. Sverige är ett av EU:s mest glesbefolkade länder. Avstånden får inte verka hämmande för konkurrenskraften. Företag måste snabbare kunna få leveranser och skicka ut sina produkter. Samtidigt blir kraven på fungerande transporter för pendling allt högre i takt med att arbetsgivarna efterfrågar mer specifika kompetenser och arbetstagarna skaffar sig mer specialiserade utbildningar. Industrin behöver även andra typer av infrastruktur </w:t>
      </w:r>
      <w:r w:rsidRPr="00964085">
        <w:lastRenderedPageBreak/>
        <w:t>än transportinfrastruktur, till exempel energi, fastigheter och IT. Det är därmed viktigt att dessa system utvecklas gemensamt och ses som en helhet. Väl utbyggd digital infrastruktur blir allt viktigare och är i sig en förutsättning för till exempel förarlösa fordon i gruvor och skogsbruk. Att säkerställa tillräcklig kapacitet och täckning är därför mycket viktigt</w:t>
      </w:r>
      <w:r w:rsidR="00CE205D">
        <w:t>.</w:t>
      </w:r>
    </w:p>
    <w:p w:rsidRPr="00964085" w:rsidR="00F36801" w:rsidP="00F36801" w:rsidRDefault="00F36801" w14:paraId="44CBBF4F" w14:textId="62E572AD">
      <w:r w:rsidRPr="00964085">
        <w:t xml:space="preserve">Industrin är beroende av att infrastrukturen fungerar inte bara inom Sverige men </w:t>
      </w:r>
      <w:r w:rsidRPr="006C299C">
        <w:rPr>
          <w:spacing w:val="-1"/>
        </w:rPr>
        <w:t xml:space="preserve">också av en välfungerande infrastruktur för att föra ut varor från Sverige och </w:t>
      </w:r>
      <w:r w:rsidRPr="006C299C" w:rsidR="00266886">
        <w:rPr>
          <w:spacing w:val="-1"/>
        </w:rPr>
        <w:t xml:space="preserve">föra </w:t>
      </w:r>
      <w:r w:rsidRPr="006C299C">
        <w:rPr>
          <w:spacing w:val="-1"/>
        </w:rPr>
        <w:t>reserv</w:t>
      </w:r>
      <w:r w:rsidRPr="006C299C" w:rsidR="006C299C">
        <w:rPr>
          <w:spacing w:val="-1"/>
        </w:rPr>
        <w:softHyphen/>
      </w:r>
      <w:r w:rsidRPr="006C299C">
        <w:rPr>
          <w:spacing w:val="-1"/>
        </w:rPr>
        <w:t>delar</w:t>
      </w:r>
      <w:r w:rsidRPr="00964085">
        <w:t xml:space="preserve"> in. Det är viktigt att kapaciteten utökas på redan hårt belastade stråk. För att säkra svensk industriexport samt import av komponenter till industrin måste infra</w:t>
      </w:r>
      <w:r w:rsidR="006C299C">
        <w:softHyphen/>
      </w:r>
      <w:r w:rsidRPr="00964085">
        <w:t>strukturen förbättras.</w:t>
      </w:r>
    </w:p>
    <w:p w:rsidRPr="00964085" w:rsidR="00F36801" w:rsidP="00F36801" w:rsidRDefault="00F36801" w14:paraId="0BFC406A" w14:textId="39DB899E">
      <w:r w:rsidRPr="00964085">
        <w:t xml:space="preserve">Trafikverket har pekat ut ett stort antal järnvägar där hastigheten måste sänkas för att banorna är i så dåligt skick. Det är ett av många exempel på hur det regionala och lokala </w:t>
      </w:r>
      <w:r w:rsidRPr="006C299C">
        <w:rPr>
          <w:spacing w:val="-2"/>
        </w:rPr>
        <w:t>järnvägsnätet prioriterats ned, trots att flera av banorna är industrispår och mycket viktiga</w:t>
      </w:r>
      <w:r w:rsidRPr="00964085">
        <w:t xml:space="preserve"> för näringslivet och dess godstransporter. Centerpartiet vill därför se över möjlig</w:t>
      </w:r>
      <w:r w:rsidR="006C299C">
        <w:softHyphen/>
      </w:r>
      <w:r w:rsidRPr="00964085">
        <w:t xml:space="preserve">heten </w:t>
      </w:r>
      <w:r w:rsidRPr="006C299C">
        <w:rPr>
          <w:spacing w:val="-1"/>
        </w:rPr>
        <w:t>att öronmärka en del av järnvägsunderhållet till att rusta upp lokala banor på den svenska</w:t>
      </w:r>
      <w:r w:rsidRPr="00964085">
        <w:t xml:space="preserve"> landsbygden med viktig godstransportfunktion, som har stor betydelse för bas</w:t>
      </w:r>
      <w:r w:rsidR="006C299C">
        <w:softHyphen/>
      </w:r>
      <w:r w:rsidRPr="00964085">
        <w:t>industrin och därmed jobb och tillväxt. Dessa hamnar långt ned på Trafikverkets priori</w:t>
      </w:r>
      <w:r w:rsidR="006C299C">
        <w:softHyphen/>
      </w:r>
      <w:r w:rsidRPr="00964085">
        <w:t>teringar</w:t>
      </w:r>
      <w:r w:rsidR="00EE19E6">
        <w:t>,</w:t>
      </w:r>
      <w:r w:rsidRPr="00964085">
        <w:t xml:space="preserve"> där stambanorna som regel alltid ligger först. </w:t>
      </w:r>
    </w:p>
    <w:p w:rsidRPr="00964085" w:rsidR="00F36801" w:rsidP="00F36801" w:rsidRDefault="00F36801" w14:paraId="187C6527" w14:textId="65D43033">
      <w:r w:rsidRPr="00964085">
        <w:t xml:space="preserve">Centerpartiet värnar utbyggnaden av Inlandsbanan, som med rätt investeringar kan </w:t>
      </w:r>
      <w:r w:rsidRPr="006C299C">
        <w:rPr>
          <w:spacing w:val="-1"/>
        </w:rPr>
        <w:t>bli ännu viktigare för godstransporter och dessutom frigöra utrymme på andra ban</w:t>
      </w:r>
      <w:r w:rsidRPr="006C299C" w:rsidR="006C299C">
        <w:rPr>
          <w:spacing w:val="-1"/>
        </w:rPr>
        <w:softHyphen/>
      </w:r>
      <w:r w:rsidRPr="006C299C">
        <w:rPr>
          <w:spacing w:val="-1"/>
        </w:rPr>
        <w:t>sträck</w:t>
      </w:r>
      <w:r w:rsidRPr="006C299C" w:rsidR="006C299C">
        <w:rPr>
          <w:spacing w:val="-1"/>
        </w:rPr>
        <w:softHyphen/>
      </w:r>
      <w:r w:rsidRPr="006C299C">
        <w:rPr>
          <w:spacing w:val="-1"/>
        </w:rPr>
        <w:t>ningar.</w:t>
      </w:r>
      <w:r w:rsidRPr="00964085">
        <w:t xml:space="preserve"> Centerpartiet anser fortsatt att utbyggnaden av järnvägen i norra Sverige ska fortsätta och planeringen för att bygga </w:t>
      </w:r>
      <w:proofErr w:type="spellStart"/>
      <w:r w:rsidRPr="00964085">
        <w:t>Norrbotniabanan</w:t>
      </w:r>
      <w:proofErr w:type="spellEnd"/>
      <w:r w:rsidRPr="00964085">
        <w:t xml:space="preserve"> i sin helhet intensifieras.</w:t>
      </w:r>
    </w:p>
    <w:p w:rsidRPr="00964085" w:rsidR="00F36801" w:rsidP="00F36801" w:rsidRDefault="00F36801" w14:paraId="1BA6A44A" w14:textId="184A078C">
      <w:r w:rsidRPr="00964085">
        <w:t>Det råder ingen tvekan om att transportsektorn är en nyckel för att minska Sveriges totala klimatpåverkan samt konkurrenskraften för basindustrin.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som stål-, gruv</w:t>
      </w:r>
      <w:r w:rsidR="00854F6E">
        <w:t>-</w:t>
      </w:r>
      <w:r w:rsidRPr="00964085">
        <w:t xml:space="preserve"> och skogs</w:t>
      </w:r>
      <w:r w:rsidR="006C299C">
        <w:softHyphen/>
      </w:r>
      <w:r w:rsidRPr="00964085">
        <w:t>näringen. Centerpartiet vill göra det möjligt för tyngre fordon att rulla på Sveriges vägar och järnvägar.</w:t>
      </w:r>
    </w:p>
    <w:p w:rsidRPr="00964085" w:rsidR="00F36801" w:rsidP="00F36801" w:rsidRDefault="00F36801" w14:paraId="169C9EF4" w14:textId="6B103DD4">
      <w:r w:rsidRPr="00964085">
        <w:t>I vårt grannland Finland, som också är ett konkurrentland för den svenska skogs</w:t>
      </w:r>
      <w:r w:rsidR="006C299C">
        <w:softHyphen/>
      </w:r>
      <w:r w:rsidRPr="00964085">
        <w:t>näringen, har en ökning av högsta tillåtn</w:t>
      </w:r>
      <w:r w:rsidR="006A53C0">
        <w:t>a</w:t>
      </w:r>
      <w:r w:rsidRPr="00964085">
        <w:t xml:space="preserve"> bruttovikt genomförts, från 60 ton till 76 ton. I augusti 2022 fattades regeringsbeslut om att tillåta längre och tyngre lastbilar på delar av vägnätet. Detta är positivt men behöver utvecklas och implementeras för att tillvarata den fulla potentialen. Det är nu viktigt att Trafikverket skyndsamt tar fram anvisningar för var den tunga trafiken ska få gå för hela landet. </w:t>
      </w:r>
    </w:p>
    <w:p w:rsidRPr="00964085" w:rsidR="00F36801" w:rsidP="00F36801" w:rsidRDefault="00F36801" w14:paraId="134AA8EE" w14:textId="56F0C6C4">
      <w:r w:rsidRPr="00964085">
        <w:t xml:space="preserve">Sedan år 2009 pågår försök med längre och tyngre fordonståg än de som tillåts i </w:t>
      </w:r>
      <w:r w:rsidRPr="006C299C">
        <w:rPr>
          <w:spacing w:val="-1"/>
        </w:rPr>
        <w:t xml:space="preserve">Sverige i dag. Tillsammans med en rad olika studier visar försöken att utsläppen minskar </w:t>
      </w:r>
      <w:r w:rsidRPr="00964085">
        <w:t xml:space="preserve">med mellan 5 och 17 procent (i genomsnitt ungefär 10 procent) per transporterat ton. Det </w:t>
      </w:r>
      <w:r w:rsidRPr="006C299C">
        <w:rPr>
          <w:spacing w:val="-2"/>
        </w:rPr>
        <w:t>är också ett prioriterat arbete att gå vidare med hur längre fordon än i dag ska kunna intro</w:t>
      </w:r>
      <w:r w:rsidRPr="006C299C" w:rsidR="006C299C">
        <w:rPr>
          <w:spacing w:val="-2"/>
        </w:rPr>
        <w:softHyphen/>
      </w:r>
      <w:r w:rsidRPr="006C299C">
        <w:rPr>
          <w:spacing w:val="-2"/>
        </w:rPr>
        <w:t>duceras i trafiken. Tyngre och längre fordon är en effektiv åtgärd för att öka transport</w:t>
      </w:r>
      <w:r w:rsidRPr="006C299C" w:rsidR="006C299C">
        <w:rPr>
          <w:spacing w:val="-2"/>
        </w:rPr>
        <w:softHyphen/>
      </w:r>
      <w:r w:rsidRPr="006C299C">
        <w:rPr>
          <w:spacing w:val="-2"/>
        </w:rPr>
        <w:t>effektiviteten</w:t>
      </w:r>
      <w:r w:rsidRPr="00964085">
        <w:t xml:space="preserve"> och därmed konkurrenskraften.</w:t>
      </w:r>
    </w:p>
    <w:p w:rsidRPr="00964085" w:rsidR="00F36801" w:rsidP="00F36801" w:rsidRDefault="00F36801" w14:paraId="4780DF7A" w14:textId="7F874679">
      <w:r w:rsidRPr="00964085">
        <w:t>Centerpartiet vill således se en snabbare implementering av BK4-standard i både statliga, enskilda och kommunala vägar, allt i syfte att få ett sammanhållet och funk</w:t>
      </w:r>
      <w:r w:rsidR="006C299C">
        <w:softHyphen/>
      </w:r>
      <w:r w:rsidRPr="00964085">
        <w:t>tionellt transportsystem för mer klimat- och transporteffektiva fordon. Branschen ser idag en gradvis omklassning på det statliga vägnätet, men inte samma tempo i omklass</w:t>
      </w:r>
      <w:r w:rsidR="006C299C">
        <w:softHyphen/>
      </w:r>
      <w:r w:rsidRPr="00964085">
        <w:t xml:space="preserve">ning på kommunala vägar. Kommunerna har i begränsad omfattning varit delaktiga i processen och därför är få kommunala vägar idag utpekade som BK4. Detta riskerar </w:t>
      </w:r>
      <w:r w:rsidRPr="00964085">
        <w:lastRenderedPageBreak/>
        <w:t>utgöra ett stort hinder eftersom gods transporteras till och från en industri, terminal eller hamn</w:t>
      </w:r>
      <w:r w:rsidR="008C360B">
        <w:t>,</w:t>
      </w:r>
      <w:r w:rsidRPr="00964085">
        <w:t xml:space="preserve"> och vägarna till dessa noder är i de flesta fall kommunala. För att möjliggöra färd med ett 74-tonsfordon måste hela sträckan vara klassad som BK4.</w:t>
      </w:r>
    </w:p>
    <w:p w:rsidRPr="00964085" w:rsidR="00F36801" w:rsidP="00F36801" w:rsidRDefault="00F36801" w14:paraId="3EADA2A7" w14:textId="6A53555B">
      <w:r w:rsidRPr="00964085">
        <w:t>Samhällsekonomiska kalkylmodeller ligger till grund för vilka beslut om invester</w:t>
      </w:r>
      <w:r w:rsidR="006C299C">
        <w:softHyphen/>
      </w:r>
      <w:r w:rsidRPr="00964085">
        <w:t>ingar som fattas. Det är därför helt avgörande att kalkylmodellerna är rättvisande. I dagens modeller framgår inte nyttan av tillförlitliga godstransporter i kalkylmodellerna. Med en felaktig eller ofullständig kalkyl kommer felaktiga samhälleliga investerings</w:t>
      </w:r>
      <w:r w:rsidR="006C299C">
        <w:softHyphen/>
      </w:r>
      <w:r w:rsidRPr="00964085">
        <w:t>beslut att fattas. För att beräkna den samhällsekonomiska nyttan i ett projekt behöver även exempelvis restidsvärden justeras så att de ger en mer rättvisande bild av de sam</w:t>
      </w:r>
      <w:r w:rsidR="006C299C">
        <w:softHyphen/>
      </w:r>
      <w:r w:rsidRPr="00964085">
        <w:t>hällsekonomiska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964085" w:rsidR="00F36801" w:rsidP="00F36801" w:rsidRDefault="00F36801" w14:paraId="5B86E51B" w14:textId="19FE78E0">
      <w:r w:rsidRPr="00964085">
        <w:t>Utvecklingsarbetet med kalkylmodeller och samlade effektbedömningar av gods</w:t>
      </w:r>
      <w:r w:rsidR="006C299C">
        <w:softHyphen/>
      </w:r>
      <w:r w:rsidRPr="00964085">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964085" w:rsidR="00F36801" w:rsidP="00F36801" w:rsidRDefault="00F36801" w14:paraId="70637F1E" w14:textId="77777777">
      <w:pPr>
        <w:pStyle w:val="Rubrik2"/>
      </w:pPr>
      <w:r w:rsidRPr="00964085">
        <w:t>Hamnar och sjöfart</w:t>
      </w:r>
    </w:p>
    <w:p w:rsidRPr="00964085" w:rsidR="00F36801" w:rsidP="00F36801" w:rsidRDefault="00F36801" w14:paraId="79D1D7AC" w14:textId="144476F3">
      <w:pPr>
        <w:pStyle w:val="Normalutanindragellerluft"/>
      </w:pPr>
      <w:r w:rsidRPr="00964085">
        <w:t>Totalt sett finns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w:t>
      </w:r>
    </w:p>
    <w:p w:rsidRPr="00964085" w:rsidR="00F36801" w:rsidP="0095422D" w:rsidRDefault="00F36801" w14:paraId="35967DD2" w14:textId="526FE3AB">
      <w:r w:rsidRPr="00964085">
        <w:t xml:space="preserve">Ur ett nationellt perspektiv vore det dock bra att staten i större utsträckning ser den svenska hamnverksamheten som en integrerad del i infrastrukturen. Hamnarna ingår i en nationell och internationell logistikkedja och har en viktig </w:t>
      </w:r>
      <w:r w:rsidR="00ED78DA">
        <w:t>roll</w:t>
      </w:r>
      <w:r w:rsidRPr="00964085">
        <w:t xml:space="preserve"> att spela i klimat</w:t>
      </w:r>
      <w:r w:rsidR="006C299C">
        <w:softHyphen/>
      </w:r>
      <w:r w:rsidRPr="00964085">
        <w: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alltmer gods ska flytta över från lastbil till räls och sjöfart kommer hamnarna att bli ännu viktigare. Hamnarnas framtid i Sverige är ljus.</w:t>
      </w:r>
    </w:p>
    <w:p w:rsidRPr="00964085" w:rsidR="00F36801" w:rsidP="0095422D" w:rsidRDefault="00F36801" w14:paraId="7AA41962" w14:textId="4BD2164B">
      <w:r w:rsidRPr="00964085">
        <w:t xml:space="preserve">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w:t>
      </w:r>
      <w:r w:rsidRPr="00964085">
        <w:lastRenderedPageBreak/>
        <w:t>ekonomiskt och miljömässigt avseende. Det finns en del utredningar att falla tillbaka på inför ett sådant arbete, till exempel Hamnstrategiutredningen.</w:t>
      </w:r>
    </w:p>
    <w:p w:rsidRPr="00964085" w:rsidR="00F36801" w:rsidP="0095422D" w:rsidRDefault="00F36801" w14:paraId="25000CEF" w14:textId="6098A8C7">
      <w:r w:rsidRPr="00964085">
        <w:t>Centerpartiet menar att hamnverksamhetens möjligheter att växa i lönsamhet hänger samman med de</w:t>
      </w:r>
      <w:r w:rsidR="00D130A3">
        <w:t>s</w:t>
      </w:r>
      <w:r w:rsidRPr="00964085">
        <w:t>s roll i den gröna omställningen. Här kan staten bli bättre på att ge incitament och stöd så att hamnarna kan erbjuda fler gröna tjänster som rederier och andra transportköpare.</w:t>
      </w:r>
    </w:p>
    <w:p w:rsidRPr="00964085" w:rsidR="00F36801" w:rsidP="0095422D" w:rsidRDefault="00F36801" w14:paraId="3D26AE40" w14:textId="27D7094B">
      <w:r w:rsidRPr="00964085">
        <w:t>I den nationella transportplanen beslutades att påbörja utbytet av isbrytarflottan med två nya isbrytare. Detta är positivt men otillräckligt. För att säkerställa tillräcklig kapa</w:t>
      </w:r>
      <w:r w:rsidR="006C299C">
        <w:softHyphen/>
      </w:r>
      <w:r w:rsidRPr="00964085">
        <w:t>citet krävs att även den tredje isbrytaren får en modern ersättare. Centerpartiet vill att regeringen skyndsamt går vidare med denna fråga men vill att man gör detta i ett bredare perspektiv där man beaktar basindustrin i nära dialog med godstransportörer, myndigheter, med flera. En ytterligare aspekt som kan komma in är behovet av interna</w:t>
      </w:r>
      <w:r w:rsidR="006C299C">
        <w:softHyphen/>
      </w:r>
      <w:r w:rsidRPr="00964085">
        <w:t>tionellt samarbete för att optimera upphandling och drift, inte minst med Finland.</w:t>
      </w:r>
    </w:p>
    <w:p w:rsidRPr="00964085" w:rsidR="00F36801" w:rsidP="0095422D" w:rsidRDefault="00F36801" w14:paraId="48ADB314" w14:textId="77777777">
      <w:pPr>
        <w:pStyle w:val="Rubrik2"/>
      </w:pPr>
      <w:r w:rsidRPr="00964085">
        <w:t>Grön omställning, elnät och energi</w:t>
      </w:r>
    </w:p>
    <w:p w:rsidRPr="00964085" w:rsidR="00F36801" w:rsidP="0095422D" w:rsidRDefault="00F36801" w14:paraId="2537F5FB" w14:textId="41D871E2">
      <w:pPr>
        <w:pStyle w:val="Normalutanindragellerluft"/>
      </w:pPr>
      <w:r w:rsidRPr="00964085">
        <w:t>För att nå riksdagens mål om ett klimatneutralt samhälle år 2045 krävs att svensk bas</w:t>
      </w:r>
      <w:r w:rsidR="006C299C">
        <w:softHyphen/>
      </w:r>
      <w:r w:rsidRPr="00964085">
        <w:t xml:space="preserve">industri är med och ställer om. En stor del av det praktiska arbetet för att nå målet ligger hos näringslivet. År 2015 drog organisationen Fossilfritt Sverige igång och till dags dato </w:t>
      </w:r>
      <w:r w:rsidRPr="006C299C">
        <w:rPr>
          <w:spacing w:val="-1"/>
        </w:rPr>
        <w:t>har drygt 20 branscher, många inom basindustrin, lämna</w:t>
      </w:r>
      <w:r w:rsidRPr="006C299C" w:rsidR="00D67BF3">
        <w:rPr>
          <w:spacing w:val="-1"/>
        </w:rPr>
        <w:t>t</w:t>
      </w:r>
      <w:r w:rsidRPr="006C299C">
        <w:rPr>
          <w:spacing w:val="-1"/>
        </w:rPr>
        <w:t xml:space="preserve"> in så kallade färdplaner för hur de vill arbeta för att bli fossilfria – utan att försvaga sin konkurrenskraft. Färd</w:t>
      </w:r>
      <w:r w:rsidRPr="006C299C" w:rsidR="006C299C">
        <w:rPr>
          <w:spacing w:val="-1"/>
        </w:rPr>
        <w:softHyphen/>
      </w:r>
      <w:r w:rsidRPr="006C299C">
        <w:rPr>
          <w:spacing w:val="-1"/>
        </w:rPr>
        <w:t>plan</w:t>
      </w:r>
      <w:r w:rsidRPr="006C299C" w:rsidR="006C299C">
        <w:rPr>
          <w:spacing w:val="-1"/>
        </w:rPr>
        <w:softHyphen/>
      </w:r>
      <w:r w:rsidRPr="006C299C">
        <w:rPr>
          <w:spacing w:val="-1"/>
        </w:rPr>
        <w:t>erna</w:t>
      </w:r>
      <w:r w:rsidRPr="00964085">
        <w:t xml:space="preserve"> identifierar hinder på vägen och innehåller förslag till hur arbetet för att nå målen kan underlättas från myndigheter och politiskt håll.</w:t>
      </w:r>
    </w:p>
    <w:p w:rsidRPr="00964085" w:rsidR="00F36801" w:rsidP="0095422D" w:rsidRDefault="00F36801" w14:paraId="4C78DFE3" w14:textId="3F781AFA">
      <w:r w:rsidRPr="00964085">
        <w:t>Arbetet med färdplanerna har letts av branschföreningar</w:t>
      </w:r>
      <w:r w:rsidR="00D972AB">
        <w:t>na</w:t>
      </w:r>
      <w:r w:rsidRPr="00964085">
        <w:t xml:space="preserve"> själva och processerna har varit öppna och inkluderande. För oss är detta en säker indikation på att den svenska basindustrin går i framkant för den gröna omställningen.</w:t>
      </w:r>
    </w:p>
    <w:p w:rsidRPr="00964085" w:rsidR="00F36801" w:rsidP="0095422D" w:rsidRDefault="00F36801" w14:paraId="1A692A51" w14:textId="77777777">
      <w:r w:rsidRPr="00964085">
        <w:t>I jämförelse med andra länder producerar den svenska industrin sina varor med låg miljöpåverkan. Det är en missuppfattning att det är genom att inte producera som vi hjälper världen till en hållbar ekologisk och ekonomisk utveckling. En politik som betonar minskad produktion riskerar istället att hämma utvecklingen mot en renare miljö och mindre påverkan på vårt klimat.</w:t>
      </w:r>
    </w:p>
    <w:p w:rsidRPr="00964085" w:rsidR="00F36801" w:rsidP="0095422D" w:rsidRDefault="00F36801" w14:paraId="5E27B291" w14:textId="73EE0E33">
      <w:r w:rsidRPr="00964085">
        <w:t>Innovation och tekniska framsteg är nödvändiga för en hållbar framtid. Miljöteknik är en framtidsbransch som behöver rätt förutsättningar för att blomstra. Politiken ska säkerställa ramverk som skapar konkurrensfördelar för produktion av miljömässigt håll</w:t>
      </w:r>
      <w:r w:rsidR="00DD7D2E">
        <w:softHyphen/>
      </w:r>
      <w:r w:rsidRPr="00964085">
        <w:t xml:space="preserve">bara produkter. Med hjälp av en aktivt anpassad miljö-, energi- och </w:t>
      </w:r>
      <w:proofErr w:type="spellStart"/>
      <w:r w:rsidRPr="00964085">
        <w:t>innovations</w:t>
      </w:r>
      <w:r w:rsidR="00DD7D2E">
        <w:softHyphen/>
      </w:r>
      <w:r w:rsidRPr="00964085">
        <w:t>politik</w:t>
      </w:r>
      <w:proofErr w:type="spellEnd"/>
      <w:r w:rsidRPr="00964085">
        <w:t xml:space="preserve"> kan de effektiva och rena svenska produktionsanläggningarna gå före och bidra till den gröna omställningen.</w:t>
      </w:r>
    </w:p>
    <w:p w:rsidRPr="00964085" w:rsidR="00F36801" w:rsidP="0095422D" w:rsidRDefault="00F36801" w14:paraId="21ECA340" w14:textId="77777777">
      <w:r w:rsidRPr="00964085">
        <w:t xml:space="preserve">EU lanserade i mars år 2020 en ny industristrategi som ska stärka konkurrenskraften för europeisk industri samt underlätta och påskynda den gröna omställningen, mer känt som Den gröna given. Den europeiska gröna given är EU:s nya tillväxtstrategi. </w:t>
      </w:r>
    </w:p>
    <w:p w:rsidRPr="00964085" w:rsidR="00F36801" w:rsidP="0095422D" w:rsidRDefault="00F36801" w14:paraId="355ACE80" w14:textId="23706BBA">
      <w:r w:rsidRPr="00964085">
        <w:t xml:space="preserve">Den gröna </w:t>
      </w:r>
      <w:proofErr w:type="gramStart"/>
      <w:r w:rsidRPr="00964085">
        <w:t>given, som</w:t>
      </w:r>
      <w:proofErr w:type="gramEnd"/>
      <w:r w:rsidRPr="00964085">
        <w:t xml:space="preserve"> presenterades i början av 2020, har potential att bidra till en omställning mot ett mer klimatsmart, resurs- och energieffektivt, hållbart EU där ut</w:t>
      </w:r>
      <w:r w:rsidR="00DD7D2E">
        <w:softHyphen/>
      </w:r>
      <w:r w:rsidRPr="00964085">
        <w:t>släppen är frikopplade från den ekonomiska tillväxten. Den befäster de höjda klimat</w:t>
      </w:r>
      <w:r w:rsidR="00DD7D2E">
        <w:softHyphen/>
      </w:r>
      <w:r w:rsidRPr="00964085">
        <w:t>målen i en klimatlag och syftar till att påskynda utsläppsminskningstakten av växthus</w:t>
      </w:r>
      <w:r w:rsidR="00DD7D2E">
        <w:softHyphen/>
      </w:r>
      <w:r w:rsidRPr="00964085">
        <w:t>gaser i EU. För att lyckas förutsätts en effektiv implementering i medlemsländerna av den lagstiftning som kommer att presenteras eller revideras till följd av ambitions</w:t>
      </w:r>
      <w:r w:rsidR="00DD7D2E">
        <w:softHyphen/>
      </w:r>
      <w:r w:rsidRPr="00964085">
        <w:t>höjningarna.</w:t>
      </w:r>
    </w:p>
    <w:p w:rsidRPr="00964085" w:rsidR="00F36801" w:rsidP="0095422D" w:rsidRDefault="00F36801" w14:paraId="465D5EF6" w14:textId="2AE180D0">
      <w:r w:rsidRPr="00964085">
        <w:lastRenderedPageBreak/>
        <w:t>Kärnan i satsningen är målet att 2050 ha blivit världens första klimatneutrala världs</w:t>
      </w:r>
      <w:r w:rsidR="00DD7D2E">
        <w:softHyphen/>
      </w:r>
      <w:r w:rsidRPr="00964085">
        <w:t xml:space="preserve">del. Det framgår tydligt att industrin har en ledande roll att spela i detta skifte och Sverige och vår basindustri kan och bör vara med i framkant. På många områden ligger vi främst – till exempel när det gäller projektet </w:t>
      </w:r>
      <w:proofErr w:type="spellStart"/>
      <w:r w:rsidRPr="00964085">
        <w:t>Hybrit</w:t>
      </w:r>
      <w:proofErr w:type="spellEnd"/>
      <w:r w:rsidRPr="00964085">
        <w:t xml:space="preserve"> i Luleå som använder en tillverkningsprocess för stål på ett klimatvänligt sätt.</w:t>
      </w:r>
    </w:p>
    <w:p w:rsidRPr="00964085" w:rsidR="00F36801" w:rsidP="0095422D" w:rsidRDefault="00F36801" w14:paraId="2D7326E2" w14:textId="2817658F">
      <w:r w:rsidRPr="00964085">
        <w:t>Det framgår av industristrategin att industrins egna satsningar bör kompletteras av politiska åtgärder och finansieringsinstrument på EU-nivå och nationell nivå samt av det privata näringslivet. Kommissionen skriver uttryckligen att den till exempel avser stödja koldioxidfria ståltillverkningsprocesser inom ramen för bland annat EU:s innovations</w:t>
      </w:r>
      <w:r w:rsidR="00DD7D2E">
        <w:softHyphen/>
      </w:r>
      <w:r w:rsidRPr="00964085">
        <w:t xml:space="preserve">fond. </w:t>
      </w:r>
    </w:p>
    <w:p w:rsidRPr="00964085" w:rsidR="00F36801" w:rsidP="0095422D" w:rsidRDefault="00F36801" w14:paraId="75A22D8A" w14:textId="25BC8A37">
      <w:r w:rsidRPr="00964085">
        <w:t>Här gäller det för svensk industri att hålla sig framme och tillsammans med natio</w:t>
      </w:r>
      <w:r w:rsidR="00DD7D2E">
        <w:softHyphen/>
      </w:r>
      <w:r w:rsidRPr="00964085">
        <w:t>nella politiska styrmedel och finansiering se till så att både stöd utifrån omställnings</w:t>
      </w:r>
      <w:r w:rsidR="00DD7D2E">
        <w:softHyphen/>
      </w:r>
      <w:r w:rsidRPr="00964085">
        <w:t xml:space="preserve">takten i Den gröna given </w:t>
      </w:r>
      <w:r w:rsidR="008169C9">
        <w:t>och</w:t>
      </w:r>
      <w:r w:rsidRPr="00964085">
        <w:t xml:space="preserve"> den nya industristrategin kommer Sverige till del. Det gäller inte minst för små och medelstora företag inom industriell produktion som är i gränslandet mellan innovationsstadium och tillverkningsfas och därför i behov av finansiering. Här bör Sverige vara mycket aktiva i att ombesörja hur EU kan stödja svensk industri.</w:t>
      </w:r>
    </w:p>
    <w:p w:rsidRPr="00964085" w:rsidR="00F36801" w:rsidP="0095422D" w:rsidRDefault="00F36801" w14:paraId="2105DC93" w14:textId="77777777">
      <w:r w:rsidRPr="00964085">
        <w:t xml:space="preserve">Energisektorn står för en betydande del av utsläppen internationellt, även om svensk elenergiproduktion har låga utsläpp. Rysslands avskyvärda krig mot Ukraina och dess pågående </w:t>
      </w:r>
      <w:proofErr w:type="spellStart"/>
      <w:r w:rsidRPr="00964085">
        <w:t>energikrig</w:t>
      </w:r>
      <w:proofErr w:type="spellEnd"/>
      <w:r w:rsidRPr="00964085">
        <w:t xml:space="preserve"> mot Europa driver upp energipriserna och kommer att medföra stora utmaningar för alla samhällets aktörer kommande månader, år och decennier. Detta kräver handlingskraft på såväl kort som lång sikt. Beroendet av fossil energi måste brytas en gång för alla, för vår säkerhet och för klimatet. </w:t>
      </w:r>
    </w:p>
    <w:p w:rsidRPr="00964085" w:rsidR="00F36801" w:rsidP="0095422D" w:rsidRDefault="00F36801" w14:paraId="0605D98A" w14:textId="7ECE7EEB">
      <w:r w:rsidRPr="00964085">
        <w:t>Vi behöver se över energipolitiken för att öka energiproduktionen, förbättra över</w:t>
      </w:r>
      <w:r w:rsidR="00DD7D2E">
        <w:softHyphen/>
      </w:r>
      <w:r w:rsidRPr="00964085">
        <w:t>föringen, energieffektivisera, satsa på energilagring samt smart och flexibel användning. För att trygga svensk energiförsörjning och för att fortsatt möjliggöra den gröna elexporten vill Centerpartiet att riksdagen ska anta ett planeringsmål om minst 160 TWh ny elproduktion till 2030, vilket innebär en fördubbling från dagens elproduktion. Ytter</w:t>
      </w:r>
      <w:r w:rsidR="00DD7D2E">
        <w:softHyphen/>
      </w:r>
      <w:r w:rsidRPr="00964085">
        <w:t>ligare 50 TWh ska tillkomma innevarande mandatperiod och en kriskommission ska tillsättas för att möta dessa mål. Vi vill därtill se nya energisamtal som kan slå fast den långsiktiga energipolitiken, vilket behövs nu mer än någonsin, för klimatets, konkur</w:t>
      </w:r>
      <w:r w:rsidR="00DD7D2E">
        <w:softHyphen/>
      </w:r>
      <w:r w:rsidRPr="00964085">
        <w:t>rens</w:t>
      </w:r>
      <w:r w:rsidR="00DD7D2E">
        <w:softHyphen/>
      </w:r>
      <w:r w:rsidRPr="00964085">
        <w:t xml:space="preserve">kraftens och Sveriges bästa. </w:t>
      </w:r>
    </w:p>
    <w:p w:rsidRPr="00964085" w:rsidR="00F36801" w:rsidP="0095422D" w:rsidRDefault="00F36801" w14:paraId="5E7984B4" w14:textId="1DD1AD00">
      <w:r w:rsidRPr="00964085">
        <w:t>En effektivare användning bör vara utgångspunkten för lagstiftningen, eftersom det medför fördelar både för samhällsekonomin och klimatet. Centerpartiet är drivande för att energieffektiviseringsmålet ska uppgå till 50 procent effektivare användning till 2030 i EU, och att målet för andel</w:t>
      </w:r>
      <w:r w:rsidR="00AE40B7">
        <w:t>en</w:t>
      </w:r>
      <w:r w:rsidRPr="00964085">
        <w:t xml:space="preserve"> förnybar energiproduktion ska fastställas till 50 procent till 2030.</w:t>
      </w:r>
    </w:p>
    <w:p w:rsidRPr="00964085" w:rsidR="00F36801" w:rsidP="0095422D" w:rsidRDefault="00F36801" w14:paraId="43935EE5" w14:textId="52E7F22F">
      <w:r w:rsidRPr="00964085">
        <w:t>Ett av de stora problemen i det svenska elsystemet är inte tillgången på energi, utan tillgången på lokal kapacitet; att elen som produceras inte når dit den behövs. Vi ser redan idag begynnande problem i såväl storstadsområden som i mindre orter på grund av att elnätet inte är tillräckligt utbyggt och att lokal produktion inne i städer läggs ned eller inte expanderar i samma omfattning som behoven ökar. För att avhjälpa problemen behövs nya lösningar. Att bygga ny storskalig elproduktion, som kärnkraft, som vissa hävdar, avhjälper inte problemet, eftersom det handlar om flaskhalsar i näten in till städerna och brist på elproduktion lokalt. Vi behöver istället öka den lokala kraftproduk</w:t>
      </w:r>
      <w:r w:rsidR="00DD7D2E">
        <w:softHyphen/>
      </w:r>
      <w:r w:rsidRPr="00964085">
        <w:t xml:space="preserve">tionen, överföringskapaciteten samt korta tillståndsprocesserna för nya ledningar och för </w:t>
      </w:r>
      <w:r w:rsidRPr="00DD7D2E">
        <w:rPr>
          <w:spacing w:val="-2"/>
        </w:rPr>
        <w:t>nya produktionsanläggningar. Vi vill se en integrerad strategi som inkluderar mellan- och</w:t>
      </w:r>
      <w:r w:rsidRPr="00964085">
        <w:t xml:space="preserve"> långsiktig energilagring samt nätbalansering. Detta skulle gynna industrin. Tekniken </w:t>
      </w:r>
      <w:r w:rsidRPr="00964085">
        <w:lastRenderedPageBreak/>
        <w:t>måste användas smartare. Elnätsregleringen och lagstiftningen behöver anpassas till rådande läge och det behöver bli mer lönsamt med kraftvärme och annan lokal elproduktion.</w:t>
      </w:r>
    </w:p>
    <w:p w:rsidRPr="00964085" w:rsidR="00F36801" w:rsidP="0095422D" w:rsidRDefault="00F36801" w14:paraId="7AD558BF" w14:textId="7C814B2D">
      <w:r w:rsidRPr="00964085">
        <w:t xml:space="preserve">Vattenkraften spelar en central roll för den svenska basindustrin och för den gröna omställningen. Genom den nya lagstiftningen om vattenkraft har </w:t>
      </w:r>
      <w:r w:rsidR="002920FA">
        <w:t xml:space="preserve">man </w:t>
      </w:r>
      <w:r w:rsidRPr="00964085">
        <w:t>skapat enklare regler och rimliga krav som förenar miljöåtgärder med långsiktig lönsamhet för vatten</w:t>
      </w:r>
      <w:r w:rsidR="00DD7D2E">
        <w:softHyphen/>
      </w:r>
      <w:r w:rsidRPr="00964085">
        <w:t>kraften, ökad produktion av förnybar el och fortsatt skydd för utveckling av infrastruk</w:t>
      </w:r>
      <w:r w:rsidR="00DD7D2E">
        <w:softHyphen/>
      </w:r>
      <w:r w:rsidRPr="00964085">
        <w:t>tur, bostadsbyggande och gröna näringar. Det är viktigt att den nya lagstiftningen får genomslag i myndigheters och domstolars arbete och prövningar. Därför bör myndig</w:t>
      </w:r>
      <w:r w:rsidR="00DD7D2E">
        <w:softHyphen/>
      </w:r>
      <w:r w:rsidRPr="00964085">
        <w:t>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 Regeringen måste skyndsamt se till att riksdagens tillkännagivande om att tidsplanen för omprövningarna behöver justeras om inte regeringens prövning av vattenmyndigheternas förslag till åtgärdsprogram för tids</w:t>
      </w:r>
      <w:r w:rsidR="00DD7D2E">
        <w:softHyphen/>
      </w:r>
      <w:r w:rsidRPr="00964085">
        <w:t>perioden 2021–2027 är klar</w:t>
      </w:r>
      <w:r w:rsidR="006C08D6">
        <w:t>t</w:t>
      </w:r>
      <w:r w:rsidRPr="00964085">
        <w:t xml:space="preserve"> när ansökningstiden för nästa prövningsgrupp löper ut. </w:t>
      </w:r>
      <w:r w:rsidRPr="00DD7D2E">
        <w:rPr>
          <w:spacing w:val="-1"/>
        </w:rPr>
        <w:t>Vidare bör regeringen se till att alla nödvändiga åtgärder för att minska omprövning</w:t>
      </w:r>
      <w:r w:rsidRPr="00DD7D2E" w:rsidR="00DD7D2E">
        <w:rPr>
          <w:spacing w:val="-1"/>
        </w:rPr>
        <w:softHyphen/>
      </w:r>
      <w:r w:rsidRPr="00DD7D2E">
        <w:rPr>
          <w:spacing w:val="-1"/>
        </w:rPr>
        <w:t>arnas</w:t>
      </w:r>
      <w:r w:rsidRPr="00964085">
        <w:t xml:space="preserve"> negativa effekter på vattenkraftselen vidtas och att de undantag som EU-rätten medger används fullt ut (betänkande 2021/22:CU33).</w:t>
      </w:r>
    </w:p>
    <w:p w:rsidRPr="00964085" w:rsidR="00F36801" w:rsidP="0095422D" w:rsidRDefault="00F36801" w14:paraId="3EAD37C3" w14:textId="072DEB6C">
      <w:r w:rsidRPr="00964085">
        <w:t>Den nya lagstiftningen och den fond som branschen inrättat för att underlätta arbetet med att ge vattenkraften moderna miljötillstånd är ett viktigt steg framåt för en mer ändamålsenlig vattenförvaltning. Det återstår dock andra delar av vattenförvaltningen, bland annat vad gäller markavvattning och dammar som anlagts med andra syften än kraftproduktion. Arbetet med att reformera vattenlagstiftningen och vattenförvaltning</w:t>
      </w:r>
      <w:r w:rsidR="004D3F03">
        <w:t>en</w:t>
      </w:r>
      <w:r w:rsidRPr="00964085">
        <w:t xml:space="preserve"> behöver fortsätta och de principer som varit vägledande för de nya reglerna för vatten</w:t>
      </w:r>
      <w:r w:rsidR="00DD7D2E">
        <w:softHyphen/>
      </w:r>
      <w:r w:rsidRPr="00964085">
        <w:t>kraften, om minskat regelkrångel, respekt för äganderätt och effektiva miljöåtgärder med rimliga kostnader, bör få genomslag i vattenförvaltningen i sin helhet.</w:t>
      </w:r>
    </w:p>
    <w:p w:rsidRPr="00964085" w:rsidR="00F36801" w:rsidP="00DD7D2E" w:rsidRDefault="00F36801" w14:paraId="3981DFE3" w14:textId="1BC77FEA">
      <w:r w:rsidRPr="00964085">
        <w:t>Geotermal energi i större skala i Sverige kan ske för att producera kraftvärme för</w:t>
      </w:r>
      <w:r w:rsidR="00DD7D2E">
        <w:t xml:space="preserve"> </w:t>
      </w:r>
      <w:r w:rsidRPr="00964085">
        <w:t>fjärrvärmenät, något som redan sker hos till exempel Kraftringen i Lund, och som E</w:t>
      </w:r>
      <w:r w:rsidR="00F75134">
        <w:t>on</w:t>
      </w:r>
      <w:r w:rsidRPr="00964085">
        <w:t xml:space="preserve"> har provborrat för i Malmö. Kraftverk byggda på den principen finns redan på flera håll i världen, exempelvis på Island och i Kenya. Det kan även göras på större djup (mer än 7</w:t>
      </w:r>
      <w:r w:rsidR="0072536C">
        <w:t> </w:t>
      </w:r>
      <w:r w:rsidRPr="00964085">
        <w:t>kilometer) för att producera elektrisk energi i</w:t>
      </w:r>
      <w:r w:rsidR="00D321EB">
        <w:t xml:space="preserve"> </w:t>
      </w:r>
      <w:r w:rsidRPr="00964085">
        <w:t xml:space="preserve">storskaliga kraftverk. Något som </w:t>
      </w:r>
      <w:r w:rsidR="002F17C1">
        <w:t xml:space="preserve">det </w:t>
      </w:r>
      <w:r w:rsidRPr="00964085">
        <w:t>nu förbereds för i Skåne.</w:t>
      </w:r>
    </w:p>
    <w:p w:rsidRPr="00964085" w:rsidR="00F36801" w:rsidP="0095422D" w:rsidRDefault="00F36801" w14:paraId="57A3168B" w14:textId="77777777">
      <w:r w:rsidRPr="00964085">
        <w:t xml:space="preserve">Utvinning av geotermal energi liknar gas- och oljeindustrin i så måtto att det sker ur fält där det finns särskilt goda förutsättningar att utvinna energin. Skillnaden är att det inte bidrar till utsläpp av växthusgaser. </w:t>
      </w:r>
    </w:p>
    <w:p w:rsidRPr="00964085" w:rsidR="00F36801" w:rsidP="0095422D" w:rsidRDefault="00F36801" w14:paraId="198D8D39" w14:textId="6D44C2B7">
      <w:r w:rsidRPr="00964085">
        <w:t xml:space="preserve">Problemet är att energiproduktionen är kostsam att prospektera, provborra och sedan utvinna, och att det i dag inte går att skydda fyndigheterna lagmässigt. Det är här ett hinder för industrin i och med att kostnaden för prospektering och provborrning </w:t>
      </w:r>
      <w:r w:rsidRPr="00DD7D2E">
        <w:rPr>
          <w:spacing w:val="-1"/>
        </w:rPr>
        <w:t>över</w:t>
      </w:r>
      <w:r w:rsidRPr="00DD7D2E" w:rsidR="00DD7D2E">
        <w:rPr>
          <w:spacing w:val="-1"/>
        </w:rPr>
        <w:softHyphen/>
      </w:r>
      <w:r w:rsidRPr="00DD7D2E">
        <w:rPr>
          <w:spacing w:val="-1"/>
        </w:rPr>
        <w:t>stiger 300 miljoner kronor, utan möjlighet att skydda fyndigheten, vilket gör att invester</w:t>
      </w:r>
      <w:r w:rsidRPr="00DD7D2E" w:rsidR="00DD7D2E">
        <w:rPr>
          <w:spacing w:val="-1"/>
        </w:rPr>
        <w:softHyphen/>
      </w:r>
      <w:r w:rsidRPr="00DD7D2E">
        <w:rPr>
          <w:spacing w:val="-1"/>
        </w:rPr>
        <w:t>ingar</w:t>
      </w:r>
      <w:r w:rsidRPr="00964085">
        <w:t xml:space="preserve"> uteblir, trots att tekniken många gånger är lönsam och kan ge stora tillskott av elenergi i södra Sverige. </w:t>
      </w:r>
    </w:p>
    <w:p w:rsidRPr="00964085" w:rsidR="00F36801" w:rsidP="0095422D" w:rsidRDefault="00F36801" w14:paraId="5F30413E" w14:textId="2B423DC6">
      <w:r w:rsidRPr="00964085">
        <w:t>I Sverige skyddar och reglerar minerallagen mineralutvinning, saltutvinning, utvin</w:t>
      </w:r>
      <w:r w:rsidR="00DD7D2E">
        <w:softHyphen/>
      </w:r>
      <w:r w:rsidRPr="00964085">
        <w:t>ning av diamanter, på ett enhetligt sätt. Dess grund går långt tillbaka i tiden. I och med att det saknas enhetligt lagrum för geotermala fält och geotermalt vatten så urholkas även rätten för sakägare att göra sin röst hörd i samråd och i förekommande fall i svenskt rättsväsende. Ett införande skulle därmed även stärka sakägares rättigheter i ett för Sverige nytt energislag.</w:t>
      </w:r>
    </w:p>
    <w:p w:rsidRPr="00964085" w:rsidR="00F36801" w:rsidP="0095422D" w:rsidRDefault="00F36801" w14:paraId="1912CACD" w14:textId="27CD8B1D">
      <w:r w:rsidRPr="00964085">
        <w:lastRenderedPageBreak/>
        <w:t>I dag regleras geotermala borrhål endast genom att tillstånd skall sökas hos Läns</w:t>
      </w:r>
      <w:r w:rsidR="00DD7D2E">
        <w:softHyphen/>
      </w:r>
      <w:r w:rsidRPr="00964085">
        <w:t>styrelserna, och det görs ingen skillnad mellan att borra för privat bergvärme, eller storskalig borrning för produktion till elnät eller fjärrvärmenät. Detta leder till att en aktör efter höga kostnader i form av prospektering och provborrning kan se sin fyndig</w:t>
      </w:r>
      <w:r w:rsidR="00DD7D2E">
        <w:softHyphen/>
      </w:r>
      <w:r w:rsidRPr="00964085">
        <w:t xml:space="preserve">het utnyttjad av </w:t>
      </w:r>
      <w:r w:rsidR="003D51FB">
        <w:t xml:space="preserve">en </w:t>
      </w:r>
      <w:r w:rsidRPr="00964085">
        <w:t>annan aktör. Skyddet för de höga investeringskostnaderna saknas därmed. Med en enkel ändring i minerallagen skulle detta gå att åtgärda. Det är här viktigt att den i Sverige vanliga bergvärmeutvinningen bibehålls utanför minerallagen för att inte skapa en dyr och onödig process för privatpersoner.</w:t>
      </w:r>
    </w:p>
    <w:p w:rsidRPr="00964085" w:rsidR="00F36801" w:rsidP="0095422D" w:rsidRDefault="00F36801" w14:paraId="451176B6" w14:textId="77777777">
      <w:pPr>
        <w:pStyle w:val="Rubrik2"/>
      </w:pPr>
      <w:r w:rsidRPr="00964085">
        <w:t>Gruvor, naturresurser och mineralbrytning</w:t>
      </w:r>
    </w:p>
    <w:p w:rsidRPr="00964085" w:rsidR="00F36801" w:rsidP="0095422D" w:rsidRDefault="00F36801" w14:paraId="17E8CDEB" w14:textId="77777777">
      <w:pPr>
        <w:pStyle w:val="Normalutanindragellerluft"/>
      </w:pPr>
      <w:r w:rsidRPr="00964085">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w:t>
      </w:r>
    </w:p>
    <w:p w:rsidRPr="00964085" w:rsidR="00F36801" w:rsidP="0095422D" w:rsidRDefault="00F36801" w14:paraId="336A2B5D" w14:textId="0108BD96">
      <w:r w:rsidRPr="00964085">
        <w:t>För att lyckas med klimatomställningen är det av stor vikt att trygga försörjningen av de innovationskritiska metaller och mineraler som behövs i modern miljöteknik. I dag är Sverige och EU i hög grad beroende av importer från ett fåtal länder</w:t>
      </w:r>
      <w:r w:rsidR="00C72BEC">
        <w:t>,</w:t>
      </w:r>
      <w:r w:rsidRPr="00964085">
        <w:t xml:space="preserve"> vilket gör tillgången sårbar och säkerhetspolitisk</w:t>
      </w:r>
      <w:r w:rsidR="00C87A6D">
        <w:t>t</w:t>
      </w:r>
      <w:r w:rsidRPr="00964085">
        <w:t xml:space="preserve"> riskabel. Samtidigt har Sverige avsevärda 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mineralavgiften samtidigt som den del av mineralavgiften som i dag tillfaller staten bör gå till lokalsamhället vars närmiljö påverkas.</w:t>
      </w:r>
    </w:p>
    <w:p w:rsidRPr="00964085" w:rsidR="00F36801" w:rsidP="0095422D" w:rsidRDefault="00F36801" w14:paraId="40AE6C5E" w14:textId="791970D2">
      <w:r w:rsidRPr="00964085">
        <w:t xml:space="preserve">Att hitta och utveckla en ny fyndighet, att prospektera, är en förutsättning för att starta en ny gruva. Det är tidskrävande och kräver stor kunskap. För ett land som vill ha en aktiv och långsiktigt hållbar gruvnäring är en omfattande prospektering </w:t>
      </w:r>
      <w:r w:rsidR="00A500A8">
        <w:t>A</w:t>
      </w:r>
      <w:r w:rsidRPr="00964085">
        <w:t xml:space="preserve"> och </w:t>
      </w:r>
      <w:r w:rsidR="00A500A8">
        <w:t>O</w:t>
      </w:r>
      <w:r w:rsidRPr="00964085">
        <w:t xml:space="preserve">. Intresset </w:t>
      </w:r>
      <w:r w:rsidR="00D55074">
        <w:t xml:space="preserve">för </w:t>
      </w:r>
      <w:r w:rsidRPr="00964085">
        <w:t xml:space="preserve">att prospektera i Sverige och därmed kartlägga berggrunden och dela dessa data ligger sedan flera år på historiskt låga nivåer. Sverige fortsätter relativt sett halka neråt på </w:t>
      </w:r>
      <w:proofErr w:type="spellStart"/>
      <w:r w:rsidRPr="00964085">
        <w:t>Fraserinstitutets</w:t>
      </w:r>
      <w:proofErr w:type="spellEnd"/>
      <w:r w:rsidRPr="00964085">
        <w:t xml:space="preserve"> ranking över attraktiva länder att prospektera i. Medan Sveriges geologiska potential är oförändrad är det istället policyfrågor och politisk stabilitet som ändrats i negativ riktning. </w:t>
      </w:r>
    </w:p>
    <w:p w:rsidRPr="00DD7D2E" w:rsidR="00F36801" w:rsidP="0095422D" w:rsidRDefault="00F36801" w14:paraId="186EC034" w14:textId="3C376130">
      <w:pPr>
        <w:rPr>
          <w:spacing w:val="-1"/>
        </w:rPr>
      </w:pPr>
      <w:r w:rsidRPr="00DD7D2E">
        <w:rPr>
          <w:spacing w:val="-1"/>
        </w:rPr>
        <w:t>Inte heller har EU:s behov av kritiska metaller upphört. Snarare tvärtom. EU-kom</w:t>
      </w:r>
      <w:r w:rsidR="00DD7D2E">
        <w:rPr>
          <w:spacing w:val="-1"/>
        </w:rPr>
        <w:softHyphen/>
      </w:r>
      <w:r w:rsidRPr="00DD7D2E">
        <w:rPr>
          <w:spacing w:val="-1"/>
        </w:rPr>
        <w:t>mis</w:t>
      </w:r>
      <w:r w:rsidRPr="00DD7D2E" w:rsidR="00DD7D2E">
        <w:rPr>
          <w:spacing w:val="-1"/>
        </w:rPr>
        <w:softHyphen/>
      </w:r>
      <w:r w:rsidRPr="00DD7D2E">
        <w:rPr>
          <w:spacing w:val="-1"/>
        </w:rPr>
        <w:t>sionen varnar nu för att klimatmålen hotas på grund av brist på råvaror som till exempel metaller till batterier. I sin uppdaterade lista återfinns nu 30 material som bedöms som kritiska för vårt samhälle och för välfärden. Den 3 september 2020 släppte EU-kommissionen den uppdaterade listan för kritiska råvaror för EU. Den allra första listan omfattade 15 stycken, den förra 27 och nu återfinns 30 olika material. Nya är bland annat litium, som bland annat används för batterier och energilagring, och strontium, som används för magneter i elbilar. Enligt kommissionens bedömning kommer det att be</w:t>
      </w:r>
      <w:r w:rsidRPr="00DD7D2E" w:rsidR="00DD7D2E">
        <w:rPr>
          <w:spacing w:val="-1"/>
        </w:rPr>
        <w:softHyphen/>
      </w:r>
      <w:r w:rsidRPr="00DD7D2E">
        <w:rPr>
          <w:spacing w:val="-1"/>
        </w:rPr>
        <w:t>hövas upp till 18 gånger mer litium och fem gånger mer kobolt 2030 för att unionen ska kunna uppnå sitt klimatmål.</w:t>
      </w:r>
    </w:p>
    <w:p w:rsidRPr="00964085" w:rsidR="00F36801" w:rsidP="0095422D" w:rsidRDefault="00F36801" w14:paraId="2F6868A6" w14:textId="339852FE">
      <w:r w:rsidRPr="00964085">
        <w:lastRenderedPageBreak/>
        <w:t>En stor del av produktionen av de kritiska materialen sker utanför EU. Det finns däremot en betydande mängd fyndigheter av kritiska material inom EU, bland annat i Sverige. I Sverige har vi kända fyndigheter av bland annat antimon, flusspat, fosfat</w:t>
      </w:r>
      <w:r w:rsidR="00DD7D2E">
        <w:softHyphen/>
      </w:r>
      <w:r w:rsidRPr="00964085">
        <w:t xml:space="preserve">mineral, grafit, kobolt, PGE, REE, och volfram. </w:t>
      </w:r>
    </w:p>
    <w:p w:rsidRPr="00964085" w:rsidR="00F36801" w:rsidP="006C299C" w:rsidRDefault="00F36801" w14:paraId="75642B49" w14:textId="0CF42F6F">
      <w:r w:rsidRPr="00964085">
        <w:t>EU-kommissionens lista visar att utmaningarna för Europas råvaruförsörjning ökar kontinuerligt. Tillgången på kritiska råvaror är hotad då produktionen inom EU är låg eller obefintlig. Nuvarande produktion sker också ofta i ett fåtal icke-demokratier liksom, i vissa fall, konfliktdrabbade länder. Bristen på de kritiska råvarorna påverkar möjligheterna till att ta fram den teknik som behövs för energiomställning och klimat</w:t>
      </w:r>
      <w:r w:rsidR="00DD7D2E">
        <w:softHyphen/>
      </w:r>
      <w:r w:rsidRPr="00964085">
        <w:t xml:space="preserve">åtgärder. Annat som påverkas är arbetstillfällen och inte minst försvarsberedskapen. Den tidigare regeringen försämrade genom sin passivitet och oförmåga allvarligt Sveriges position som en av Europas ledande gruvnationer. Prövningsprocessen har gått i baklås och avstannat. Ärenden med överklagade och hänskjutna ansökningar om bearbetningskoncessioner hos regeringen ligger till sig år efter år. HFD:s dom i Norra Kärr-målet (mål nr </w:t>
      </w:r>
      <w:proofErr w:type="gramStart"/>
      <w:r w:rsidRPr="00964085">
        <w:t>2047-14</w:t>
      </w:r>
      <w:proofErr w:type="gramEnd"/>
      <w:r w:rsidRPr="00964085">
        <w:t>) kom för tre år sedan och ändrade, över en natt, förutsätt</w:t>
      </w:r>
      <w:r w:rsidR="00DD7D2E">
        <w:softHyphen/>
      </w:r>
      <w:r w:rsidRPr="00964085">
        <w:t xml:space="preserve">ningarna för tillståndsprövning av svensk gruvverksamhet på ett oförutsebart och genomgripande sätt. </w:t>
      </w:r>
    </w:p>
    <w:p w:rsidRPr="00964085" w:rsidR="00F36801" w:rsidP="0095422D" w:rsidRDefault="00F36801" w14:paraId="3369CEC4" w14:textId="0ECC625C">
      <w:r w:rsidRPr="00964085">
        <w:t xml:space="preserve">Det är uppenbart att flera åtgärder behöver vidtas skyndsamt för att säkra Sveriges attraktionskraft som prospekterings- och gruvland. En viktig faktor för en effektiviserad gruvprövning – samt prövning av miljöfarlig verksamhet generellt </w:t>
      </w:r>
      <w:r w:rsidR="00FF11BB">
        <w:t>–</w:t>
      </w:r>
      <w:r w:rsidRPr="00964085">
        <w:t xml:space="preserve"> är att alla delar i rättskedjan och prövningsprocessen är tillräckligt resurssatta. Gruvärenden handläggs i mark- och miljödomstol. Enligt Sveriges domstolars budgetunderlag 2020</w:t>
      </w:r>
      <w:r w:rsidR="005F1AF1">
        <w:t>–</w:t>
      </w:r>
      <w:r w:rsidRPr="00964085">
        <w:t xml:space="preserve">2022 kan sådan tillståndspliktig industriell verksamhet, om tillstånd inte meddelas inom rimlig tid, leda till att stora investeringar helt uteblir eftersom ekonomin inte längre tillåter satsningen. </w:t>
      </w:r>
    </w:p>
    <w:p w:rsidRPr="00964085" w:rsidR="00F36801" w:rsidP="0095422D" w:rsidRDefault="00F36801" w14:paraId="6BCA41BE" w14:textId="541D1D79">
      <w:r w:rsidRPr="00964085">
        <w:t xml:space="preserve">I dag har </w:t>
      </w:r>
      <w:r w:rsidR="003C680F">
        <w:t>M</w:t>
      </w:r>
      <w:r w:rsidRPr="00964085">
        <w:t>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w:t>
      </w:r>
      <w:r w:rsidR="00DD7D2E">
        <w:softHyphen/>
      </w:r>
      <w:r w:rsidRPr="00964085">
        <w:t>ingssidan. För att dessa tillståndsprocesser inte ska pågå orimligt länge måste därför Mark- och miljödomstolen vid Umeå tingsrätt tillföras nödvändiga resurser. Behovet av nödvändiga resurser gäller även övriga berörda myndigheter som t ex ansvariga läns</w:t>
      </w:r>
      <w:r w:rsidR="008A75DD">
        <w:softHyphen/>
      </w:r>
      <w:r w:rsidRPr="00964085">
        <w:t>styrelser och Havs- och vattenmyndigheten. Längre fram i motionen föreslås en verk</w:t>
      </w:r>
      <w:r w:rsidR="008A75DD">
        <w:softHyphen/>
      </w:r>
      <w:r w:rsidRPr="00964085">
        <w:t>sam</w:t>
      </w:r>
      <w:r w:rsidR="008A75DD">
        <w:softHyphen/>
      </w:r>
      <w:r w:rsidRPr="00964085">
        <w:t xml:space="preserve">hetsförändring gällande genomförandet av länsstyrelsernas prövning och tillsyn. Intill dess att en sådan eventuell verksamhetsförändring genomförs, är det viktigt att de länsstyrelser som ansvarar för dessa prövningar har de personella resurser och den kompetens som krävs för att hantera dessa ärenden på ett skyndsamt och rättssäkert sätt. </w:t>
      </w:r>
    </w:p>
    <w:p w:rsidRPr="00964085" w:rsidR="00F36801" w:rsidP="0095422D" w:rsidRDefault="00F36801" w14:paraId="11799CC1" w14:textId="3C222436">
      <w:r w:rsidRPr="00964085">
        <w:t>Regeringen kan</w:t>
      </w:r>
      <w:r w:rsidR="00A45146">
        <w:t>,</w:t>
      </w:r>
      <w:r w:rsidRPr="00964085">
        <w:t xml:space="preserve"> förutom att avgöra bearbetningskoncessionsärenden, låta utreda och göra en genomgripande översyn och modernisering av minerallagen. Sverige behöver en reform som bland annat beaktar Sveriges folkrättsliga åtaganden gentemot det samiska folket och den internationella diskussionen om konceptet ”social </w:t>
      </w:r>
      <w:proofErr w:type="spellStart"/>
      <w:r w:rsidRPr="00964085">
        <w:t>license</w:t>
      </w:r>
      <w:proofErr w:type="spellEnd"/>
      <w:r w:rsidRPr="00964085">
        <w:t xml:space="preserve"> to </w:t>
      </w:r>
      <w:proofErr w:type="spellStart"/>
      <w:r w:rsidRPr="00964085">
        <w:t>mine</w:t>
      </w:r>
      <w:proofErr w:type="spellEnd"/>
      <w:r w:rsidRPr="00964085">
        <w:t>”, nämligen den berörda befolkningens acceptans för en gruva.</w:t>
      </w:r>
    </w:p>
    <w:p w:rsidRPr="00964085" w:rsidR="00F36801" w:rsidP="0095422D" w:rsidRDefault="00F36801" w14:paraId="1CC7628D" w14:textId="77777777">
      <w:pPr>
        <w:pStyle w:val="Rubrik2"/>
      </w:pPr>
      <w:r w:rsidRPr="00964085">
        <w:t>Tillståndsprövning</w:t>
      </w:r>
    </w:p>
    <w:p w:rsidRPr="00964085" w:rsidR="00F36801" w:rsidP="0095422D" w:rsidRDefault="00F36801" w14:paraId="6AC4B199" w14:textId="6087274C">
      <w:pPr>
        <w:pStyle w:val="Normalutanindragellerluft"/>
      </w:pPr>
      <w:r w:rsidRPr="00964085">
        <w:t xml:space="preserve">Trots att samsynen kring svenska miljökrav är stor så tar handläggningstiderna av miljöprövningsärenden allt längre tid. Företag och organisationer i branschen slår larm </w:t>
      </w:r>
      <w:r w:rsidRPr="00964085">
        <w:lastRenderedPageBreak/>
        <w:t>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föreslår vi en översyn av åtgärder för att förkorta handläggningstiderna. Det kan till exempel omfatta införandet av en handläggningsgaranti och sanktionsavgifter mot de myndig</w:t>
      </w:r>
      <w:r w:rsidR="008A75DD">
        <w:softHyphen/>
      </w:r>
      <w:r w:rsidRPr="00964085">
        <w:t>heter som bryter mot handläggningsgarantin.</w:t>
      </w:r>
    </w:p>
    <w:p w:rsidRPr="00964085" w:rsidR="00F36801" w:rsidP="0095422D" w:rsidRDefault="00F36801" w14:paraId="66DC8EBA" w14:textId="77777777">
      <w:r w:rsidRPr="00964085">
        <w:t>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964085" w:rsidR="00F36801" w:rsidP="0095422D" w:rsidRDefault="00F36801" w14:paraId="1369E6C1" w14:textId="2DD95609">
      <w:r w:rsidRPr="00964085">
        <w:t xml:space="preserve">Tillståndsprocesserna måste också påskyndas, så att den gröna tekniken inte blir en pappersprodukt, utan faktiskt </w:t>
      </w:r>
      <w:r w:rsidRPr="00964085" w:rsidR="00FB7343">
        <w:t xml:space="preserve">kan göra </w:t>
      </w:r>
      <w:r w:rsidRPr="00964085">
        <w:t xml:space="preserve">nytta i verksamheterna. Tillståndsprocesser för investeringar i industri och infrastruktur ska vara effektiva, förutsägbara, konsekventa, rättssäkra och leva upp till rådande krav kopplade till miljö- och klimatpåverkan. </w:t>
      </w:r>
    </w:p>
    <w:p w:rsidRPr="00964085" w:rsidR="00F36801" w:rsidP="0095422D" w:rsidRDefault="00F36801" w14:paraId="2C687BB2" w14:textId="3BFB879E">
      <w:r w:rsidRPr="00964085">
        <w:t>Men så ser det inte ut i dag. Det finns många exempel på hur tillståndsansökningar drar ut på tiden i flera år på grund av långsam handläggning och slentrianmässiga överklaganden. Att myndigheter och domstolar inte väger in en investerings samman</w:t>
      </w:r>
      <w:r w:rsidR="008A75DD">
        <w:softHyphen/>
      </w:r>
      <w:r w:rsidRPr="00964085">
        <w:t xml:space="preserve">vägda klimatnytta relativt eventuell lokal miljöpåverkan är ett annat problem. </w:t>
      </w:r>
    </w:p>
    <w:p w:rsidRPr="00964085" w:rsidR="00F36801" w:rsidP="0095422D" w:rsidRDefault="00F36801" w14:paraId="18DBEE35" w14:textId="427B7232">
      <w:r w:rsidRPr="00964085">
        <w:t>Detta kan avskräcka klimatinvesteringar i Sverige. Det riskerar omställningen, minskade utsläpp, minskade kritiska råmaterial och elförsörjningen. Vi måste förbättra lagstiftningen och hur byråkratin använder sig av den så att det offentliga främjar såväl jobb och ekonomi som miljö och klimat. Då måste vi införa en avvägningsregel för klimatnytta i miljöbalken, en task force för regelförenkling, kapa företagens administra</w:t>
      </w:r>
      <w:r w:rsidR="008A75DD">
        <w:softHyphen/>
      </w:r>
      <w:r w:rsidRPr="00964085">
        <w:t>tiva börda.</w:t>
      </w:r>
    </w:p>
    <w:p w:rsidRPr="00964085" w:rsidR="00F36801" w:rsidP="0095422D" w:rsidRDefault="00F36801" w14:paraId="7802627D" w14:textId="77777777">
      <w:r w:rsidRPr="00964085">
        <w:t xml:space="preserve">Det ska bli enklare att ansöka om enbart ändring av en miljöfarlig verksamhet, så kallat ändringstillstånd, vilket skulle medföra kortare handläggningstider. Centerpartiet vill också minska antalet individuella prövningar av verksamheter, i de fall det är möjligt. </w:t>
      </w:r>
    </w:p>
    <w:p w:rsidRPr="00964085" w:rsidR="00F36801" w:rsidP="0095422D" w:rsidRDefault="00F36801" w14:paraId="461C1468" w14:textId="07A1CD6F">
      <w:r w:rsidRPr="00964085">
        <w:t>Vi har de senaste åren sett ett antal avslag från domstolar på miljötillstånds</w:t>
      </w:r>
      <w:r w:rsidR="008A75DD">
        <w:softHyphen/>
      </w:r>
      <w:r w:rsidRPr="00964085">
        <w:t>ansökningar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förberedelser och miljonbelopp på små formaliamissar gör också att domstols</w:t>
      </w:r>
      <w:r w:rsidR="008A75DD">
        <w:softHyphen/>
      </w:r>
      <w:r w:rsidRPr="00964085">
        <w:t xml:space="preserve">processerna korkas igen, samtidigt som det blir dyrare och krångligare för företagen. </w:t>
      </w:r>
    </w:p>
    <w:p w:rsidRPr="00964085" w:rsidR="00F36801" w:rsidP="0095422D" w:rsidRDefault="00F36801" w14:paraId="5D5E67FA" w14:textId="7E17EE0B">
      <w:r w:rsidRPr="00964085">
        <w:t>Med målet att halvera tillståndsprocesserna är det därför viktigt att inte ha fler dom</w:t>
      </w:r>
      <w:r w:rsidR="008A75DD">
        <w:softHyphen/>
      </w:r>
      <w:r w:rsidRPr="00964085">
        <w:t>stolsmål än nödvändigt. Det som kan anses vara petitesser bör därför inte fälla en hel tillståndsansökan på tusentals sidor. För att undvika det bör därför en proportionalitets</w:t>
      </w:r>
      <w:r w:rsidR="008A75DD">
        <w:softHyphen/>
      </w:r>
      <w:r w:rsidRPr="00964085">
        <w:t>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w:t>
      </w:r>
      <w:r w:rsidR="008A75DD">
        <w:softHyphen/>
      </w:r>
      <w:r w:rsidRPr="00964085">
        <w:t xml:space="preserve">litetsprincip i miljötillståndshanteringen. </w:t>
      </w:r>
    </w:p>
    <w:p w:rsidRPr="00964085" w:rsidR="00F36801" w:rsidP="0095422D" w:rsidRDefault="00F36801" w14:paraId="53763A84" w14:textId="2AD5409F">
      <w:r w:rsidRPr="00964085">
        <w:lastRenderedPageBreak/>
        <w:t>Ett redan mycket bekymmersamt och ansträngt läge gällande Sveriges attraktions</w:t>
      </w:r>
      <w:r w:rsidR="008A75DD">
        <w:softHyphen/>
      </w:r>
      <w:r w:rsidRPr="00964085">
        <w:t xml:space="preserve">kraft som en av EU:s ledande gruvnationer har tyvärr ytterligare försämrats. Trots att Centerpartiet genom </w:t>
      </w:r>
      <w:r w:rsidR="007B533D">
        <w:t>j</w:t>
      </w:r>
      <w:r w:rsidRPr="00964085">
        <w:t>anuariavtalet medverkade till flera åtgärder i akt och mening att öka effektiviteten i tillståndsprocessen har rättsläget liksom attraktionskraften för</w:t>
      </w:r>
      <w:r w:rsidR="008A75DD">
        <w:softHyphen/>
      </w:r>
      <w:r w:rsidRPr="00964085">
        <w:t>sämrats ytterligare. Bland åtgärderna som Centerpartiet medverkat till kan nämnas förstärkningen av förvaltningsanslagen för länsstyrelserna och Naturvårdsverket med totalt 48 miljoner kronor 2021, för att ge prövningsmyndigheterna förbättrade förut</w:t>
      </w:r>
      <w:r w:rsidR="008A75DD">
        <w:softHyphen/>
      </w:r>
      <w:r w:rsidRPr="00964085">
        <w:t xml:space="preserve">sättningar genom att korta handläggningstiderna och förstärka arbetet med prövning. </w:t>
      </w:r>
    </w:p>
    <w:p w:rsidRPr="00964085" w:rsidR="00F36801" w:rsidP="0095422D" w:rsidRDefault="00F36801" w14:paraId="65A25821" w14:textId="4C629F66">
      <w:r w:rsidRPr="00964085">
        <w:t xml:space="preserve">Centerpartiet medverkade också i enlighet med </w:t>
      </w:r>
      <w:r w:rsidR="009F1AB6">
        <w:t>j</w:t>
      </w:r>
      <w:r w:rsidRPr="00964085">
        <w:t>anuariavtalet till att dåvarande regeringen tillsatte Miljöprövningsutredningen (M 2020:06) med uppdrag att se över det nuvarande systemet för prövning enligt miljöbalken och föreslå åtgärder för att uppnå en modernare och mer effektiv prövning. Utredningen ska fokusera särskilt på åtgärder som kan underlätta investeringar som bidrar till klimatomställningen eller inne</w:t>
      </w:r>
      <w:r w:rsidR="008A75DD">
        <w:softHyphen/>
      </w:r>
      <w:r w:rsidRPr="00964085">
        <w:t>bär en minskad miljöpåverkan. Riksdagen biföll regeringens proposition Mer ändamåls</w:t>
      </w:r>
      <w:r w:rsidR="008A75DD">
        <w:softHyphen/>
      </w:r>
      <w:r w:rsidRPr="00964085">
        <w:t>enliga sammansättningsregler för mark- och miljödomstolarna (prop. 2020/21:104) och lagändringarna trädde i kraft den 1 juli 2021. Förslagen i propositionen bedömdes leda till ett bättre resursutnyttjande och en mer effektiv handläggning för domstolarna utan att rättssäkerheten påverkas. Det återstår att se om förslagen och lagändringarna åstad</w:t>
      </w:r>
      <w:r w:rsidR="008A75DD">
        <w:softHyphen/>
      </w:r>
      <w:r w:rsidRPr="00964085">
        <w:t>kommer sådana effekter.</w:t>
      </w:r>
    </w:p>
    <w:p w:rsidRPr="00964085" w:rsidR="00F36801" w:rsidP="0095422D" w:rsidRDefault="00F36801" w14:paraId="68B7F9B2" w14:textId="7E89E5E4">
      <w:r w:rsidRPr="00964085">
        <w:t xml:space="preserve">Mark- och miljööverdomstolens dom av den 6 juli 2021 (mål nr M </w:t>
      </w:r>
      <w:proofErr w:type="gramStart"/>
      <w:r w:rsidRPr="00964085">
        <w:t>1579-20</w:t>
      </w:r>
      <w:proofErr w:type="gramEnd"/>
      <w:r w:rsidRPr="00964085">
        <w:t>), där Miljööverdomstolen (M</w:t>
      </w:r>
      <w:r w:rsidR="009F1AB6">
        <w:t>Ö</w:t>
      </w:r>
      <w:r w:rsidRPr="00964085">
        <w:t>D) avvisade Cementas ansökan om täkttillstånd vid Slite på Gotland, har satt frågan om tillståndsprocessernas effektivitet, rättssäkerhet och förutse</w:t>
      </w:r>
      <w:r w:rsidR="008A75DD">
        <w:softHyphen/>
      </w:r>
      <w:r w:rsidRPr="00964085">
        <w:t>barhet i blixtbelysning. Domen väcker frågor om domstolarnas processledningsansvar och statliga myndigheters medverkan vid miljöprövning. Även om M</w:t>
      </w:r>
      <w:r w:rsidR="009F1AB6">
        <w:t>Ö</w:t>
      </w:r>
      <w:r w:rsidRPr="00964085">
        <w:t>D uppenbarligen inte anser att avgörandet har en särskild betydelse som vägledning vid bedömning av likartade frågor i framtiden, sätter domen likväl fingret på en vanlig</w:t>
      </w:r>
      <w:r w:rsidR="00003DDA">
        <w:t>t</w:t>
      </w:r>
      <w:r w:rsidRPr="00964085">
        <w:t xml:space="preserve"> förekommande situation. Efter att en sökande verksamhetsutövare i åratal processat sin ansökan med miljökonsekvensbeskrivning om olika tillstånd till bland annat miljöfarlig verksamhet, täktverksamhet eller vattenverksamhet anses slutligen av domstolen att den även med gjorda kompletteringar är behäftad med så väsentliga brister att den inte kan utgöra grund för ett ställningstagande till verksamhetens inverkan på miljön. M</w:t>
      </w:r>
      <w:r w:rsidR="009F1AB6">
        <w:t>Ö</w:t>
      </w:r>
      <w:r w:rsidRPr="00964085">
        <w:t>D gjorde i Cementa-fallet därför bedömningen att det föreligger ett processhinder för prövning av Cementas ansökan om tillstånd och avvisade den följaktligen.</w:t>
      </w:r>
    </w:p>
    <w:p w:rsidRPr="00964085" w:rsidR="00F36801" w:rsidP="0095422D" w:rsidRDefault="00F36801" w14:paraId="2D47A041" w14:textId="6F201C3A">
      <w:r w:rsidRPr="00964085">
        <w:t>Det finns ytterligare åtgärder som kan underlätta och förbättra svenska myndigheters prövning och handläggning i tillståndsärenden. Ett sådant förslag är att koncentrera prövningen enligt 3–4 kap</w:t>
      </w:r>
      <w:r w:rsidR="002E02FC">
        <w:t>.</w:t>
      </w:r>
      <w:r w:rsidRPr="00964085">
        <w:t xml:space="preserve"> miljöbalken om de svåra avvägningarna mellan motstående markanvändningsanspråk till </w:t>
      </w:r>
      <w:r w:rsidR="0001380F">
        <w:t>1</w:t>
      </w:r>
      <w:r w:rsidRPr="00964085">
        <w:t xml:space="preserve"> länsstyrelse istället för dagens 21. Det har visat sig svårt </w:t>
      </w:r>
      <w:r w:rsidRPr="008A75DD">
        <w:rPr>
          <w:spacing w:val="-1"/>
        </w:rPr>
        <w:t>för vissa länsstyrelser att tillämpa miljöbalkens hushållningsbestämmelser på ett adekvat</w:t>
      </w:r>
      <w:r w:rsidRPr="00964085">
        <w:t xml:space="preserve"> sätt. Att koncentrera prövning och tillsyn av gruvverksamheter till en eller ett par myn</w:t>
      </w:r>
      <w:r w:rsidR="008A75DD">
        <w:softHyphen/>
      </w:r>
      <w:r w:rsidRPr="00964085">
        <w:t>digheter skulle</w:t>
      </w:r>
      <w:r w:rsidR="00AD2A58">
        <w:t>,</w:t>
      </w:r>
      <w:r w:rsidRPr="00964085">
        <w:t xml:space="preserve"> liksom i andra fall där koncentration sedan år 2012 är vanligt förekom</w:t>
      </w:r>
      <w:r w:rsidR="008A75DD">
        <w:softHyphen/>
      </w:r>
      <w:r w:rsidRPr="00964085">
        <w:t>mande inom länsstyrelsernas verksamhet, kunna vara ett sätt att åstadkomma en högre effektivitet, en mer rationell användning av resurser samt att säkerställa en fungerande rättssäkerhet. Ärenden</w:t>
      </w:r>
      <w:r w:rsidR="004662BB">
        <w:t>a</w:t>
      </w:r>
      <w:r w:rsidRPr="00964085">
        <w:t>s komplexitet och behovet av likformigt utförande är sådana om</w:t>
      </w:r>
      <w:r w:rsidR="008A75DD">
        <w:softHyphen/>
      </w:r>
      <w:r w:rsidRPr="00964085">
        <w:t>ständigheter som talar för att en koncentration skulle vara motiverad. Det skulle skapas en tydlighet om myndighetens ansvar och myndigheten skulle ha goda förutsättningar att bygga kompetens. Eftersom förslaget att koncentrera prövningen enligt 3–4 kap</w:t>
      </w:r>
      <w:r w:rsidR="00BA18C6">
        <w:t>.</w:t>
      </w:r>
      <w:r w:rsidRPr="00964085">
        <w:t xml:space="preserve"> miljöbalken kritiserats för att då sakna naturlig koppling till tillsynsarbetet, förordar vi </w:t>
      </w:r>
      <w:r w:rsidRPr="00964085">
        <w:lastRenderedPageBreak/>
        <w:t>därför i konsekvensens namn att såväl denna prövning samt tillhörande tillsyn därför koncentreras till en eller ett par länsstyrelser.</w:t>
      </w:r>
    </w:p>
    <w:p w:rsidRPr="00964085" w:rsidR="00422B9E" w:rsidP="0095422D" w:rsidRDefault="00F36801" w14:paraId="779B5E3D" w14:textId="19315C94">
      <w:r w:rsidRPr="00964085">
        <w:t>Ytterligare ett reformförslag är att överväga om dagens ordning med ett obegränsat antal statliga myndigheter med respektive ansvarsområde i tillståndsprocessen är adekvat och ändamålsenligt. Idag ska länsstyrelsen enligt 1-2</w:t>
      </w:r>
      <w:r w:rsidR="000A76D8">
        <w:t xml:space="preserve"> </w:t>
      </w:r>
      <w:r w:rsidRPr="00964085">
        <w:t xml:space="preserve">§§ förordning (2017:868) med länsstyrelseinstruktion </w:t>
      </w:r>
      <w:proofErr w:type="spellStart"/>
      <w:r w:rsidRPr="00964085">
        <w:t>bl</w:t>
      </w:r>
      <w:proofErr w:type="spellEnd"/>
      <w:r w:rsidRPr="00964085">
        <w:t xml:space="preserve"> a svara för ”den statliga förvaltningen i länet, i den ut</w:t>
      </w:r>
      <w:r w:rsidR="008A75DD">
        <w:softHyphen/>
      </w:r>
      <w:r w:rsidRPr="00964085">
        <w:t>sträckning inte någon annan myndighet har ansvaret för särskilda förvaltnings</w:t>
      </w:r>
      <w:r w:rsidR="008A75DD">
        <w:softHyphen/>
      </w:r>
      <w:r w:rsidRPr="00964085">
        <w:t xml:space="preserve">uppgifter” (1 §) samt ”verka för att nationella mål får genomslag i länet, samtidigt som hänsyn ska tas till regionala förhållanden och förutsättningar, utifrån ett statligt helhetsperspektiv </w:t>
      </w:r>
      <w:r w:rsidRPr="008A75DD">
        <w:rPr>
          <w:spacing w:val="-2"/>
        </w:rPr>
        <w:t>arbeta sektorsövergripande samt inom myndighetens ansvarsområde samordna olika sam</w:t>
      </w:r>
      <w:r w:rsidRPr="008A75DD" w:rsidR="008A75DD">
        <w:rPr>
          <w:spacing w:val="-2"/>
        </w:rPr>
        <w:softHyphen/>
      </w:r>
      <w:r w:rsidRPr="008A75DD">
        <w:rPr>
          <w:spacing w:val="-2"/>
        </w:rPr>
        <w:t>hällsintressen</w:t>
      </w:r>
      <w:r w:rsidRPr="008A75DD">
        <w:rPr>
          <w:spacing w:val="-1"/>
        </w:rPr>
        <w:t xml:space="preserve"> och statliga myndigheters insatser” (2</w:t>
      </w:r>
      <w:r w:rsidRPr="008A75DD" w:rsidR="00AF0A14">
        <w:rPr>
          <w:spacing w:val="-1"/>
        </w:rPr>
        <w:t> </w:t>
      </w:r>
      <w:r w:rsidRPr="008A75DD">
        <w:rPr>
          <w:spacing w:val="-1"/>
        </w:rPr>
        <w:t>§ p.2). I ljuset av dessa stadganden</w:t>
      </w:r>
      <w:r w:rsidRPr="00964085">
        <w:t xml:space="preserve"> finns anledning att överväga om dagens ordning innebär onödigt dubbelarbete eller överlapp mellan olika statliga myndigheters ansvar.</w:t>
      </w:r>
    </w:p>
    <w:sdt>
      <w:sdtPr>
        <w:alias w:val="CC_Underskrifter"/>
        <w:tag w:val="CC_Underskrifter"/>
        <w:id w:val="583496634"/>
        <w:lock w:val="sdtContentLocked"/>
        <w:placeholder>
          <w:docPart w:val="2AF0E656F5894CE4A317E52F35C9C14A"/>
        </w:placeholder>
      </w:sdtPr>
      <w:sdtEndPr/>
      <w:sdtContent>
        <w:p w:rsidR="00964085" w:rsidP="00964085" w:rsidRDefault="00964085" w14:paraId="256CA77D" w14:textId="77777777"/>
        <w:p w:rsidRPr="008E0FE2" w:rsidR="004801AC" w:rsidP="00964085" w:rsidRDefault="008A75DD" w14:paraId="3C64C649" w14:textId="661319C3"/>
      </w:sdtContent>
    </w:sdt>
    <w:tbl>
      <w:tblPr>
        <w:tblW w:w="5000" w:type="pct"/>
        <w:tblLook w:val="04A0" w:firstRow="1" w:lastRow="0" w:firstColumn="1" w:lastColumn="0" w:noHBand="0" w:noVBand="1"/>
        <w:tblCaption w:val="underskrifter"/>
      </w:tblPr>
      <w:tblGrid>
        <w:gridCol w:w="4252"/>
        <w:gridCol w:w="4252"/>
      </w:tblGrid>
      <w:tr w:rsidR="0073048B" w14:paraId="021CC5A1" w14:textId="77777777">
        <w:trPr>
          <w:cantSplit/>
        </w:trPr>
        <w:tc>
          <w:tcPr>
            <w:tcW w:w="50" w:type="pct"/>
            <w:vAlign w:val="bottom"/>
          </w:tcPr>
          <w:p w:rsidR="0073048B" w:rsidRDefault="002043E1" w14:paraId="6CBB3FCA" w14:textId="77777777">
            <w:pPr>
              <w:pStyle w:val="Underskrifter"/>
            </w:pPr>
            <w:r>
              <w:t>Elisabeth Thand Ringqvist (C)</w:t>
            </w:r>
          </w:p>
        </w:tc>
        <w:tc>
          <w:tcPr>
            <w:tcW w:w="50" w:type="pct"/>
            <w:vAlign w:val="bottom"/>
          </w:tcPr>
          <w:p w:rsidR="0073048B" w:rsidRDefault="002043E1" w14:paraId="2982EF18" w14:textId="77777777">
            <w:pPr>
              <w:pStyle w:val="Underskrifter"/>
            </w:pPr>
            <w:r>
              <w:t>Rickard Nordin (C)</w:t>
            </w:r>
          </w:p>
        </w:tc>
      </w:tr>
      <w:tr w:rsidR="0073048B" w14:paraId="0C43BD43" w14:textId="77777777">
        <w:trPr>
          <w:cantSplit/>
        </w:trPr>
        <w:tc>
          <w:tcPr>
            <w:tcW w:w="50" w:type="pct"/>
            <w:vAlign w:val="bottom"/>
          </w:tcPr>
          <w:p w:rsidR="0073048B" w:rsidRDefault="002043E1" w14:paraId="1F1B2497" w14:textId="77777777">
            <w:pPr>
              <w:pStyle w:val="Underskrifter"/>
            </w:pPr>
            <w:r>
              <w:t>Niels Paarup-Petersen (C)</w:t>
            </w:r>
          </w:p>
        </w:tc>
        <w:tc>
          <w:tcPr>
            <w:tcW w:w="50" w:type="pct"/>
            <w:vAlign w:val="bottom"/>
          </w:tcPr>
          <w:p w:rsidR="0073048B" w:rsidRDefault="002043E1" w14:paraId="6F578986" w14:textId="77777777">
            <w:pPr>
              <w:pStyle w:val="Underskrifter"/>
            </w:pPr>
            <w:r>
              <w:t>Martin Ådahl (C)</w:t>
            </w:r>
          </w:p>
        </w:tc>
      </w:tr>
      <w:tr w:rsidR="0073048B" w14:paraId="4565C973" w14:textId="77777777">
        <w:trPr>
          <w:cantSplit/>
        </w:trPr>
        <w:tc>
          <w:tcPr>
            <w:tcW w:w="50" w:type="pct"/>
            <w:vAlign w:val="bottom"/>
          </w:tcPr>
          <w:p w:rsidR="0073048B" w:rsidRDefault="002043E1" w14:paraId="1DC07641" w14:textId="77777777">
            <w:pPr>
              <w:pStyle w:val="Underskrifter"/>
            </w:pPr>
            <w:r>
              <w:t>Alireza Akhondi (C)</w:t>
            </w:r>
          </w:p>
        </w:tc>
        <w:tc>
          <w:tcPr>
            <w:tcW w:w="50" w:type="pct"/>
            <w:vAlign w:val="bottom"/>
          </w:tcPr>
          <w:p w:rsidR="0073048B" w:rsidRDefault="002043E1" w14:paraId="7B8556F4" w14:textId="77777777">
            <w:pPr>
              <w:pStyle w:val="Underskrifter"/>
            </w:pPr>
            <w:r>
              <w:t>Ulrika Heie (C)</w:t>
            </w:r>
          </w:p>
        </w:tc>
      </w:tr>
      <w:tr w:rsidR="0073048B" w14:paraId="579AE142" w14:textId="77777777">
        <w:trPr>
          <w:cantSplit/>
        </w:trPr>
        <w:tc>
          <w:tcPr>
            <w:tcW w:w="50" w:type="pct"/>
            <w:vAlign w:val="bottom"/>
          </w:tcPr>
          <w:p w:rsidR="0073048B" w:rsidRDefault="002043E1" w14:paraId="6CEE0F86" w14:textId="77777777">
            <w:pPr>
              <w:pStyle w:val="Underskrifter"/>
            </w:pPr>
            <w:r>
              <w:t>Stina Larsson (C)</w:t>
            </w:r>
          </w:p>
        </w:tc>
        <w:tc>
          <w:tcPr>
            <w:tcW w:w="50" w:type="pct"/>
            <w:vAlign w:val="bottom"/>
          </w:tcPr>
          <w:p w:rsidR="0073048B" w:rsidRDefault="002043E1" w14:paraId="03D68437" w14:textId="77777777">
            <w:pPr>
              <w:pStyle w:val="Underskrifter"/>
            </w:pPr>
            <w:r>
              <w:t>Helena Lindahl (C)</w:t>
            </w:r>
          </w:p>
        </w:tc>
      </w:tr>
      <w:tr w:rsidR="0073048B" w14:paraId="7234939A" w14:textId="77777777">
        <w:trPr>
          <w:cantSplit/>
        </w:trPr>
        <w:tc>
          <w:tcPr>
            <w:tcW w:w="50" w:type="pct"/>
            <w:vAlign w:val="bottom"/>
          </w:tcPr>
          <w:p w:rsidR="0073048B" w:rsidRDefault="002043E1" w14:paraId="6BC0926A" w14:textId="77777777">
            <w:pPr>
              <w:pStyle w:val="Underskrifter"/>
            </w:pPr>
            <w:r>
              <w:t>Daniel Bäckström (C)</w:t>
            </w:r>
          </w:p>
        </w:tc>
        <w:tc>
          <w:tcPr>
            <w:tcW w:w="50" w:type="pct"/>
            <w:vAlign w:val="bottom"/>
          </w:tcPr>
          <w:p w:rsidR="0073048B" w:rsidRDefault="002043E1" w14:paraId="55BDECDC" w14:textId="77777777">
            <w:pPr>
              <w:pStyle w:val="Underskrifter"/>
            </w:pPr>
            <w:r>
              <w:t>Helena Vilhelmsson (C)</w:t>
            </w:r>
          </w:p>
        </w:tc>
      </w:tr>
      <w:tr w:rsidR="0073048B" w14:paraId="7AB21573" w14:textId="77777777">
        <w:trPr>
          <w:gridAfter w:val="1"/>
          <w:wAfter w:w="4252" w:type="dxa"/>
          <w:cantSplit/>
        </w:trPr>
        <w:tc>
          <w:tcPr>
            <w:tcW w:w="50" w:type="pct"/>
            <w:vAlign w:val="bottom"/>
          </w:tcPr>
          <w:p w:rsidR="0073048B" w:rsidRDefault="002043E1" w14:paraId="660F796C" w14:textId="77777777">
            <w:pPr>
              <w:pStyle w:val="Underskrifter"/>
            </w:pPr>
            <w:r>
              <w:t>Anders Ådahl (C)</w:t>
            </w:r>
          </w:p>
        </w:tc>
      </w:tr>
    </w:tbl>
    <w:p w:rsidR="00ED6926" w:rsidRDefault="00ED6926" w14:paraId="081986AA" w14:textId="77777777"/>
    <w:sectPr w:rsidR="00ED69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28D8" w14:textId="77777777" w:rsidR="00F36801" w:rsidRDefault="00F36801" w:rsidP="000C1CAD">
      <w:pPr>
        <w:spacing w:line="240" w:lineRule="auto"/>
      </w:pPr>
      <w:r>
        <w:separator/>
      </w:r>
    </w:p>
  </w:endnote>
  <w:endnote w:type="continuationSeparator" w:id="0">
    <w:p w14:paraId="2480A194" w14:textId="77777777" w:rsidR="00F36801" w:rsidRDefault="00F36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0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1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3C3" w14:textId="77777777" w:rsidR="004A74EF" w:rsidRDefault="004A7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1AEE" w14:textId="77777777" w:rsidR="00F36801" w:rsidRDefault="00F36801" w:rsidP="000C1CAD">
      <w:pPr>
        <w:spacing w:line="240" w:lineRule="auto"/>
      </w:pPr>
      <w:r>
        <w:separator/>
      </w:r>
    </w:p>
  </w:footnote>
  <w:footnote w:type="continuationSeparator" w:id="0">
    <w:p w14:paraId="2FAF4272" w14:textId="77777777" w:rsidR="00F36801" w:rsidRDefault="00F368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C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1D792" wp14:editId="1097E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E3C06D" w14:textId="30A5F5D4" w:rsidR="00262EA3" w:rsidRDefault="008A75DD" w:rsidP="008103B5">
                          <w:pPr>
                            <w:jc w:val="right"/>
                          </w:pPr>
                          <w:sdt>
                            <w:sdtPr>
                              <w:alias w:val="CC_Noformat_Partikod"/>
                              <w:tag w:val="CC_Noformat_Partikod"/>
                              <w:id w:val="-53464382"/>
                              <w:text/>
                            </w:sdtPr>
                            <w:sdtEndPr/>
                            <w:sdtContent>
                              <w:r w:rsidR="00F368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1D7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E3C06D" w14:textId="30A5F5D4" w:rsidR="00262EA3" w:rsidRDefault="008A75DD" w:rsidP="008103B5">
                    <w:pPr>
                      <w:jc w:val="right"/>
                    </w:pPr>
                    <w:sdt>
                      <w:sdtPr>
                        <w:alias w:val="CC_Noformat_Partikod"/>
                        <w:tag w:val="CC_Noformat_Partikod"/>
                        <w:id w:val="-53464382"/>
                        <w:text/>
                      </w:sdtPr>
                      <w:sdtEndPr/>
                      <w:sdtContent>
                        <w:r w:rsidR="00F368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B16E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0167" w14:textId="77777777" w:rsidR="00262EA3" w:rsidRDefault="00262EA3" w:rsidP="008563AC">
    <w:pPr>
      <w:jc w:val="right"/>
    </w:pPr>
  </w:p>
  <w:p w14:paraId="01CA8F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2336" w14:textId="77777777" w:rsidR="00262EA3" w:rsidRDefault="008A75DD" w:rsidP="008563AC">
    <w:pPr>
      <w:jc w:val="right"/>
    </w:pPr>
    <w:sdt>
      <w:sdtPr>
        <w:alias w:val="cc_Logo"/>
        <w:tag w:val="cc_Logo"/>
        <w:id w:val="-2124838662"/>
        <w:lock w:val="sdtContentLocked"/>
        <w:placeholder>
          <w:docPart w:val="8D406F8C54104AC998C8C6DF8CCA7571"/>
        </w:placeholder>
      </w:sdtPr>
      <w:sdtEndPr/>
      <w:sdtContent>
        <w:r w:rsidR="00C02AE8">
          <w:rPr>
            <w:noProof/>
            <w:lang w:eastAsia="sv-SE"/>
          </w:rPr>
          <w:drawing>
            <wp:anchor distT="0" distB="0" distL="114300" distR="114300" simplePos="0" relativeHeight="251663360" behindDoc="0" locked="0" layoutInCell="1" allowOverlap="1" wp14:anchorId="2DB2765E" wp14:editId="3273B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4BBF1" w14:textId="291E74B2" w:rsidR="00262EA3" w:rsidRDefault="008A75DD" w:rsidP="00A314CF">
    <w:pPr>
      <w:pStyle w:val="FSHNormal"/>
      <w:spacing w:before="40"/>
    </w:pPr>
    <w:sdt>
      <w:sdtPr>
        <w:alias w:val="CC_Noformat_Motionstyp"/>
        <w:tag w:val="CC_Noformat_Motionstyp"/>
        <w:id w:val="1162973129"/>
        <w:lock w:val="sdtContentLocked"/>
        <w15:appearance w15:val="hidden"/>
        <w:text/>
      </w:sdtPr>
      <w:sdtEndPr/>
      <w:sdtContent>
        <w:r w:rsidR="00964085">
          <w:t>Kommittémotion</w:t>
        </w:r>
      </w:sdtContent>
    </w:sdt>
    <w:r w:rsidR="00821B36">
      <w:t xml:space="preserve"> </w:t>
    </w:r>
    <w:sdt>
      <w:sdtPr>
        <w:alias w:val="CC_Noformat_Partikod"/>
        <w:tag w:val="CC_Noformat_Partikod"/>
        <w:id w:val="1471015553"/>
        <w:placeholder>
          <w:docPart w:val="9D6C65CF237A4B5AA71BD52F3E3BD8F0"/>
        </w:placeholder>
        <w:text/>
      </w:sdtPr>
      <w:sdtEndPr/>
      <w:sdtContent>
        <w:r w:rsidR="00F36801">
          <w:t>C</w:t>
        </w:r>
      </w:sdtContent>
    </w:sdt>
    <w:sdt>
      <w:sdtPr>
        <w:alias w:val="CC_Noformat_Partinummer"/>
        <w:tag w:val="CC_Noformat_Partinummer"/>
        <w:id w:val="-2014525982"/>
        <w:placeholder>
          <w:docPart w:val="7D7478B8011F4AEF8722A134D081FCE4"/>
        </w:placeholder>
        <w:showingPlcHdr/>
        <w:text/>
      </w:sdtPr>
      <w:sdtEndPr/>
      <w:sdtContent>
        <w:r w:rsidR="00821B36">
          <w:t xml:space="preserve"> </w:t>
        </w:r>
      </w:sdtContent>
    </w:sdt>
  </w:p>
  <w:p w14:paraId="403AC08D" w14:textId="77777777" w:rsidR="00262EA3" w:rsidRPr="008227B3" w:rsidRDefault="008A7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9BD50" w14:textId="2A961B0F" w:rsidR="00262EA3" w:rsidRPr="008227B3" w:rsidRDefault="008A75DD" w:rsidP="00B37A37">
    <w:pPr>
      <w:pStyle w:val="MotionTIllRiksdagen"/>
    </w:pPr>
    <w:sdt>
      <w:sdtPr>
        <w:rPr>
          <w:rStyle w:val="BeteckningChar"/>
        </w:rPr>
        <w:alias w:val="CC_Noformat_Riksmote"/>
        <w:tag w:val="CC_Noformat_Riksmote"/>
        <w:id w:val="1201050710"/>
        <w:lock w:val="sdtContentLocked"/>
        <w:placeholder>
          <w:docPart w:val="859359051B7C46FB81027F260D520432"/>
        </w:placeholder>
        <w15:appearance w15:val="hidden"/>
        <w:text/>
      </w:sdtPr>
      <w:sdtEndPr>
        <w:rPr>
          <w:rStyle w:val="Rubrik1Char"/>
          <w:rFonts w:asciiTheme="majorHAnsi" w:hAnsiTheme="majorHAnsi"/>
          <w:sz w:val="38"/>
        </w:rPr>
      </w:sdtEndPr>
      <w:sdtContent>
        <w:r w:rsidR="00964085">
          <w:t>2022/23</w:t>
        </w:r>
      </w:sdtContent>
    </w:sdt>
    <w:sdt>
      <w:sdtPr>
        <w:rPr>
          <w:rStyle w:val="BeteckningChar"/>
        </w:rPr>
        <w:alias w:val="CC_Noformat_Partibet"/>
        <w:tag w:val="CC_Noformat_Partibet"/>
        <w:id w:val="405810658"/>
        <w:lock w:val="sdtContentLocked"/>
        <w:placeholder>
          <w:docPart w:val="60CEC76C51C843C68A11C1163D544C87"/>
        </w:placeholder>
        <w:showingPlcHdr/>
        <w15:appearance w15:val="hidden"/>
        <w:text/>
      </w:sdtPr>
      <w:sdtEndPr>
        <w:rPr>
          <w:rStyle w:val="Rubrik1Char"/>
          <w:rFonts w:asciiTheme="majorHAnsi" w:hAnsiTheme="majorHAnsi"/>
          <w:sz w:val="38"/>
        </w:rPr>
      </w:sdtEndPr>
      <w:sdtContent>
        <w:r w:rsidR="00964085">
          <w:t>:1123</w:t>
        </w:r>
      </w:sdtContent>
    </w:sdt>
  </w:p>
  <w:p w14:paraId="0FE0629C" w14:textId="0EE241E3" w:rsidR="00262EA3" w:rsidRDefault="008A75D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4085">
          <w:t>av Elisabeth Thand Ringqvist m.fl. (C)</w:t>
        </w:r>
      </w:sdtContent>
    </w:sdt>
  </w:p>
  <w:sdt>
    <w:sdtPr>
      <w:alias w:val="CC_Noformat_Rubtext"/>
      <w:tag w:val="CC_Noformat_Rubtext"/>
      <w:id w:val="-218060500"/>
      <w:lock w:val="sdtLocked"/>
      <w:placeholder>
        <w:docPart w:val="D2A1D1A7284940B78EA4DE7B63E8F607"/>
      </w:placeholder>
      <w:text/>
    </w:sdtPr>
    <w:sdtEndPr/>
    <w:sdtContent>
      <w:p w14:paraId="2E33A528" w14:textId="725A6811" w:rsidR="00262EA3" w:rsidRDefault="00F36801" w:rsidP="00283E0F">
        <w:pPr>
          <w:pStyle w:val="FSHRub2"/>
        </w:pPr>
        <w:r>
          <w:t>Den svenska basindustrin</w:t>
        </w:r>
      </w:p>
    </w:sdtContent>
  </w:sdt>
  <w:sdt>
    <w:sdtPr>
      <w:alias w:val="CC_Boilerplate_3"/>
      <w:tag w:val="CC_Boilerplate_3"/>
      <w:id w:val="1606463544"/>
      <w:lock w:val="sdtContentLocked"/>
      <w15:appearance w15:val="hidden"/>
      <w:text w:multiLine="1"/>
    </w:sdtPr>
    <w:sdtEndPr/>
    <w:sdtContent>
      <w:p w14:paraId="0E53C9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36801"/>
    <w:rsid w:val="000000E0"/>
    <w:rsid w:val="00000761"/>
    <w:rsid w:val="000014AF"/>
    <w:rsid w:val="00002310"/>
    <w:rsid w:val="00002CB4"/>
    <w:rsid w:val="000030B6"/>
    <w:rsid w:val="00003CCB"/>
    <w:rsid w:val="00003DDA"/>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0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9ED"/>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8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B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CCE"/>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E1"/>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D6"/>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8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0F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F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78"/>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B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5D3"/>
    <w:rsid w:val="003C680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1F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BB"/>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D9"/>
    <w:rsid w:val="00476A7B"/>
    <w:rsid w:val="00476CDA"/>
    <w:rsid w:val="00477162"/>
    <w:rsid w:val="004773E7"/>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E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0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8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B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E2"/>
    <w:rsid w:val="005F1A7E"/>
    <w:rsid w:val="005F1AF1"/>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753"/>
    <w:rsid w:val="00667F61"/>
    <w:rsid w:val="006702F1"/>
    <w:rsid w:val="00670EB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C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D6"/>
    <w:rsid w:val="006C0CA1"/>
    <w:rsid w:val="006C1088"/>
    <w:rsid w:val="006C12F9"/>
    <w:rsid w:val="006C14E8"/>
    <w:rsid w:val="006C161A"/>
    <w:rsid w:val="006C1D9F"/>
    <w:rsid w:val="006C2631"/>
    <w:rsid w:val="006C299C"/>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6C"/>
    <w:rsid w:val="00725B6E"/>
    <w:rsid w:val="00726E82"/>
    <w:rsid w:val="00727716"/>
    <w:rsid w:val="0073008F"/>
    <w:rsid w:val="0073048B"/>
    <w:rsid w:val="007314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3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3D"/>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C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DA"/>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6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DD"/>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0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1E"/>
    <w:rsid w:val="00930A6D"/>
    <w:rsid w:val="00930D71"/>
    <w:rsid w:val="0093127A"/>
    <w:rsid w:val="00931527"/>
    <w:rsid w:val="0093156A"/>
    <w:rsid w:val="009315BF"/>
    <w:rsid w:val="00931DEF"/>
    <w:rsid w:val="00931FCC"/>
    <w:rsid w:val="00932D19"/>
    <w:rsid w:val="0093384E"/>
    <w:rsid w:val="00934AC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2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8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B6"/>
    <w:rsid w:val="009F1AD3"/>
    <w:rsid w:val="009F1C90"/>
    <w:rsid w:val="009F1CBE"/>
    <w:rsid w:val="009F2B01"/>
    <w:rsid w:val="009F2CC5"/>
    <w:rsid w:val="009F2CDD"/>
    <w:rsid w:val="009F3372"/>
    <w:rsid w:val="009F382A"/>
    <w:rsid w:val="009F459A"/>
    <w:rsid w:val="009F573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36"/>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46"/>
    <w:rsid w:val="00A45896"/>
    <w:rsid w:val="00A46A63"/>
    <w:rsid w:val="00A4763D"/>
    <w:rsid w:val="00A478E1"/>
    <w:rsid w:val="00A47914"/>
    <w:rsid w:val="00A47BC4"/>
    <w:rsid w:val="00A500A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8"/>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B7"/>
    <w:rsid w:val="00AE4510"/>
    <w:rsid w:val="00AE49CE"/>
    <w:rsid w:val="00AE4D7A"/>
    <w:rsid w:val="00AE4E95"/>
    <w:rsid w:val="00AE69A1"/>
    <w:rsid w:val="00AE7238"/>
    <w:rsid w:val="00AE7EC0"/>
    <w:rsid w:val="00AE7FFD"/>
    <w:rsid w:val="00AF043C"/>
    <w:rsid w:val="00AF0A1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4"/>
    <w:rsid w:val="00B050FD"/>
    <w:rsid w:val="00B0530E"/>
    <w:rsid w:val="00B06B29"/>
    <w:rsid w:val="00B06CFF"/>
    <w:rsid w:val="00B076EC"/>
    <w:rsid w:val="00B10270"/>
    <w:rsid w:val="00B102BA"/>
    <w:rsid w:val="00B1058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AC0"/>
    <w:rsid w:val="00B42EC0"/>
    <w:rsid w:val="00B432C4"/>
    <w:rsid w:val="00B4399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C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25"/>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3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96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EC"/>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75"/>
    <w:rsid w:val="00C838EE"/>
    <w:rsid w:val="00C83961"/>
    <w:rsid w:val="00C84168"/>
    <w:rsid w:val="00C844D0"/>
    <w:rsid w:val="00C850B3"/>
    <w:rsid w:val="00C85801"/>
    <w:rsid w:val="00C8635A"/>
    <w:rsid w:val="00C86FB6"/>
    <w:rsid w:val="00C87698"/>
    <w:rsid w:val="00C87A6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3D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C6"/>
    <w:rsid w:val="00CD4084"/>
    <w:rsid w:val="00CD4EC2"/>
    <w:rsid w:val="00CD506D"/>
    <w:rsid w:val="00CD5E7A"/>
    <w:rsid w:val="00CD647C"/>
    <w:rsid w:val="00CD6AAE"/>
    <w:rsid w:val="00CD6EA9"/>
    <w:rsid w:val="00CD7157"/>
    <w:rsid w:val="00CD7868"/>
    <w:rsid w:val="00CE12C7"/>
    <w:rsid w:val="00CE134C"/>
    <w:rsid w:val="00CE13F3"/>
    <w:rsid w:val="00CE172B"/>
    <w:rsid w:val="00CE205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9C"/>
    <w:rsid w:val="00D02ED2"/>
    <w:rsid w:val="00D03CE4"/>
    <w:rsid w:val="00D04591"/>
    <w:rsid w:val="00D047CF"/>
    <w:rsid w:val="00D054DD"/>
    <w:rsid w:val="00D05CA6"/>
    <w:rsid w:val="00D0705A"/>
    <w:rsid w:val="00D0725D"/>
    <w:rsid w:val="00D101A5"/>
    <w:rsid w:val="00D10C57"/>
    <w:rsid w:val="00D12A28"/>
    <w:rsid w:val="00D12A78"/>
    <w:rsid w:val="00D12B31"/>
    <w:rsid w:val="00D130A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E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C1"/>
    <w:rsid w:val="00D512FE"/>
    <w:rsid w:val="00D5212B"/>
    <w:rsid w:val="00D52B99"/>
    <w:rsid w:val="00D5331E"/>
    <w:rsid w:val="00D53752"/>
    <w:rsid w:val="00D5394C"/>
    <w:rsid w:val="00D53F68"/>
    <w:rsid w:val="00D54641"/>
    <w:rsid w:val="00D5507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BF3"/>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2A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2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E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B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926"/>
    <w:rsid w:val="00ED7180"/>
    <w:rsid w:val="00ED78DA"/>
    <w:rsid w:val="00ED7ED0"/>
    <w:rsid w:val="00EE07D6"/>
    <w:rsid w:val="00EE11CF"/>
    <w:rsid w:val="00EE131A"/>
    <w:rsid w:val="00EE19E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0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3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20"/>
    <w:rsid w:val="00FA7004"/>
    <w:rsid w:val="00FB0CFB"/>
    <w:rsid w:val="00FB113D"/>
    <w:rsid w:val="00FB13DC"/>
    <w:rsid w:val="00FB23CF"/>
    <w:rsid w:val="00FB34C5"/>
    <w:rsid w:val="00FB35F0"/>
    <w:rsid w:val="00FB399F"/>
    <w:rsid w:val="00FB4560"/>
    <w:rsid w:val="00FB4E7B"/>
    <w:rsid w:val="00FB610C"/>
    <w:rsid w:val="00FB63BB"/>
    <w:rsid w:val="00FB6EB8"/>
    <w:rsid w:val="00FB734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E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B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62DAF1"/>
  <w15:chartTrackingRefBased/>
  <w15:docId w15:val="{1CB44C6E-530E-4C85-B712-87E7FDF4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9B4C3C94744888E36963D9486EA4D"/>
        <w:category>
          <w:name w:val="Allmänt"/>
          <w:gallery w:val="placeholder"/>
        </w:category>
        <w:types>
          <w:type w:val="bbPlcHdr"/>
        </w:types>
        <w:behaviors>
          <w:behavior w:val="content"/>
        </w:behaviors>
        <w:guid w:val="{96CB4E49-3CA1-47DA-8CD8-18BA63DF25F0}"/>
      </w:docPartPr>
      <w:docPartBody>
        <w:p w:rsidR="00B300CC" w:rsidRDefault="00A16A6E">
          <w:pPr>
            <w:pStyle w:val="3469B4C3C94744888E36963D9486EA4D"/>
          </w:pPr>
          <w:r w:rsidRPr="005A0A93">
            <w:rPr>
              <w:rStyle w:val="Platshllartext"/>
            </w:rPr>
            <w:t>Förslag till riksdagsbeslut</w:t>
          </w:r>
        </w:p>
      </w:docPartBody>
    </w:docPart>
    <w:docPart>
      <w:docPartPr>
        <w:name w:val="034F2D59CE134DEE9BFA37DFC5E5D5C5"/>
        <w:category>
          <w:name w:val="Allmänt"/>
          <w:gallery w:val="placeholder"/>
        </w:category>
        <w:types>
          <w:type w:val="bbPlcHdr"/>
        </w:types>
        <w:behaviors>
          <w:behavior w:val="content"/>
        </w:behaviors>
        <w:guid w:val="{7DA07865-13BD-4CB8-92C5-2D57E27E9481}"/>
      </w:docPartPr>
      <w:docPartBody>
        <w:p w:rsidR="00B300CC" w:rsidRDefault="00A16A6E">
          <w:pPr>
            <w:pStyle w:val="034F2D59CE134DEE9BFA37DFC5E5D5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A0E893-3C55-42EE-A8EE-04F28C873EF5}"/>
      </w:docPartPr>
      <w:docPartBody>
        <w:p w:rsidR="00B300CC" w:rsidRDefault="00A16A6E">
          <w:r w:rsidRPr="00AF7441">
            <w:rPr>
              <w:rStyle w:val="Platshllartext"/>
            </w:rPr>
            <w:t>Klicka eller tryck här för att ange text.</w:t>
          </w:r>
        </w:p>
      </w:docPartBody>
    </w:docPart>
    <w:docPart>
      <w:docPartPr>
        <w:name w:val="D2A1D1A7284940B78EA4DE7B63E8F607"/>
        <w:category>
          <w:name w:val="Allmänt"/>
          <w:gallery w:val="placeholder"/>
        </w:category>
        <w:types>
          <w:type w:val="bbPlcHdr"/>
        </w:types>
        <w:behaviors>
          <w:behavior w:val="content"/>
        </w:behaviors>
        <w:guid w:val="{150B189B-9404-430D-BD0B-3477A17320CE}"/>
      </w:docPartPr>
      <w:docPartBody>
        <w:p w:rsidR="00B300CC" w:rsidRDefault="00A16A6E">
          <w:r w:rsidRPr="00AF7441">
            <w:rPr>
              <w:rStyle w:val="Platshllartext"/>
            </w:rPr>
            <w:t>[ange din text här]</w:t>
          </w:r>
        </w:p>
      </w:docPartBody>
    </w:docPart>
    <w:docPart>
      <w:docPartPr>
        <w:name w:val="859359051B7C46FB81027F260D520432"/>
        <w:category>
          <w:name w:val="Allmänt"/>
          <w:gallery w:val="placeholder"/>
        </w:category>
        <w:types>
          <w:type w:val="bbPlcHdr"/>
        </w:types>
        <w:behaviors>
          <w:behavior w:val="content"/>
        </w:behaviors>
        <w:guid w:val="{97C1ED0D-B98F-4826-A2C9-58D064B760D5}"/>
      </w:docPartPr>
      <w:docPartBody>
        <w:p w:rsidR="00B300CC" w:rsidRDefault="00A16A6E">
          <w:r w:rsidRPr="00AF7441">
            <w:rPr>
              <w:rStyle w:val="Platshllartext"/>
            </w:rPr>
            <w:t>[ange din text här]</w:t>
          </w:r>
        </w:p>
      </w:docPartBody>
    </w:docPart>
    <w:docPart>
      <w:docPartPr>
        <w:name w:val="9D6C65CF237A4B5AA71BD52F3E3BD8F0"/>
        <w:category>
          <w:name w:val="Allmänt"/>
          <w:gallery w:val="placeholder"/>
        </w:category>
        <w:types>
          <w:type w:val="bbPlcHdr"/>
        </w:types>
        <w:behaviors>
          <w:behavior w:val="content"/>
        </w:behaviors>
        <w:guid w:val="{3FFDD27D-CF18-4BD5-94E1-1F21C809A2F3}"/>
      </w:docPartPr>
      <w:docPartBody>
        <w:p w:rsidR="00B300CC" w:rsidRDefault="00A16A6E">
          <w:r w:rsidRPr="00AF7441">
            <w:rPr>
              <w:rStyle w:val="Platshllartext"/>
            </w:rPr>
            <w:t>[ange din text här]</w:t>
          </w:r>
        </w:p>
      </w:docPartBody>
    </w:docPart>
    <w:docPart>
      <w:docPartPr>
        <w:name w:val="7D7478B8011F4AEF8722A134D081FCE4"/>
        <w:category>
          <w:name w:val="Allmänt"/>
          <w:gallery w:val="placeholder"/>
        </w:category>
        <w:types>
          <w:type w:val="bbPlcHdr"/>
        </w:types>
        <w:behaviors>
          <w:behavior w:val="content"/>
        </w:behaviors>
        <w:guid w:val="{30E564A7-89D7-4786-8E92-1D19B7ED604F}"/>
      </w:docPartPr>
      <w:docPartBody>
        <w:p w:rsidR="00B300CC" w:rsidRDefault="00A16A6E">
          <w:r w:rsidRPr="00AF7441">
            <w:rPr>
              <w:rStyle w:val="Platshllartext"/>
            </w:rPr>
            <w:t>[ange din text här]</w:t>
          </w:r>
        </w:p>
      </w:docPartBody>
    </w:docPart>
    <w:docPart>
      <w:docPartPr>
        <w:name w:val="8D406F8C54104AC998C8C6DF8CCA7571"/>
        <w:category>
          <w:name w:val="Allmänt"/>
          <w:gallery w:val="placeholder"/>
        </w:category>
        <w:types>
          <w:type w:val="bbPlcHdr"/>
        </w:types>
        <w:behaviors>
          <w:behavior w:val="content"/>
        </w:behaviors>
        <w:guid w:val="{BEE101FD-CA8C-42E3-B0D0-55B019C9C02D}"/>
      </w:docPartPr>
      <w:docPartBody>
        <w:p w:rsidR="00B300CC" w:rsidRDefault="00A16A6E">
          <w:r w:rsidRPr="00AF7441">
            <w:rPr>
              <w:rStyle w:val="Platshllartext"/>
            </w:rPr>
            <w:t>[ange din text här]</w:t>
          </w:r>
        </w:p>
      </w:docPartBody>
    </w:docPart>
    <w:docPart>
      <w:docPartPr>
        <w:name w:val="60CEC76C51C843C68A11C1163D544C87"/>
        <w:category>
          <w:name w:val="Allmänt"/>
          <w:gallery w:val="placeholder"/>
        </w:category>
        <w:types>
          <w:type w:val="bbPlcHdr"/>
        </w:types>
        <w:behaviors>
          <w:behavior w:val="content"/>
        </w:behaviors>
        <w:guid w:val="{15B04F3C-F8CC-4D1B-8DFD-7525E47DE117}"/>
      </w:docPartPr>
      <w:docPartBody>
        <w:p w:rsidR="00B300CC" w:rsidRDefault="00A16A6E">
          <w:r w:rsidRPr="00AF7441">
            <w:rPr>
              <w:rStyle w:val="Platshllartext"/>
            </w:rPr>
            <w:t>[ange din text här]</w:t>
          </w:r>
        </w:p>
      </w:docPartBody>
    </w:docPart>
    <w:docPart>
      <w:docPartPr>
        <w:name w:val="2AF0E656F5894CE4A317E52F35C9C14A"/>
        <w:category>
          <w:name w:val="Allmänt"/>
          <w:gallery w:val="placeholder"/>
        </w:category>
        <w:types>
          <w:type w:val="bbPlcHdr"/>
        </w:types>
        <w:behaviors>
          <w:behavior w:val="content"/>
        </w:behaviors>
        <w:guid w:val="{941BFC07-5B9F-4489-AA45-B4A359D10200}"/>
      </w:docPartPr>
      <w:docPartBody>
        <w:p w:rsidR="005E6190" w:rsidRDefault="005E61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6E"/>
    <w:rsid w:val="005E6190"/>
    <w:rsid w:val="00A16A6E"/>
    <w:rsid w:val="00B30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A6E"/>
    <w:rPr>
      <w:color w:val="F4B083" w:themeColor="accent2" w:themeTint="99"/>
    </w:rPr>
  </w:style>
  <w:style w:type="paragraph" w:customStyle="1" w:styleId="3469B4C3C94744888E36963D9486EA4D">
    <w:name w:val="3469B4C3C94744888E36963D9486EA4D"/>
  </w:style>
  <w:style w:type="paragraph" w:customStyle="1" w:styleId="034F2D59CE134DEE9BFA37DFC5E5D5C5">
    <w:name w:val="034F2D59CE134DEE9BFA37DFC5E5D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492FF-A6EB-422E-83A1-C1980B3751F0}"/>
</file>

<file path=customXml/itemProps2.xml><?xml version="1.0" encoding="utf-8"?>
<ds:datastoreItem xmlns:ds="http://schemas.openxmlformats.org/officeDocument/2006/customXml" ds:itemID="{832BC325-BAA0-4F4F-AC0D-4A570BCE7366}"/>
</file>

<file path=customXml/itemProps3.xml><?xml version="1.0" encoding="utf-8"?>
<ds:datastoreItem xmlns:ds="http://schemas.openxmlformats.org/officeDocument/2006/customXml" ds:itemID="{F93B0E7E-B176-4273-88CB-FD588068B481}"/>
</file>

<file path=docProps/app.xml><?xml version="1.0" encoding="utf-8"?>
<Properties xmlns="http://schemas.openxmlformats.org/officeDocument/2006/extended-properties" xmlns:vt="http://schemas.openxmlformats.org/officeDocument/2006/docPropsVTypes">
  <Template>Normal</Template>
  <TotalTime>292</TotalTime>
  <Pages>15</Pages>
  <Words>7034</Words>
  <Characters>42842</Characters>
  <Application>Microsoft Office Word</Application>
  <DocSecurity>0</DocSecurity>
  <Lines>669</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Den svenska basindustrin</vt:lpstr>
      <vt:lpstr>
      </vt:lpstr>
    </vt:vector>
  </TitlesOfParts>
  <Company>Sveriges riksdag</Company>
  <LinksUpToDate>false</LinksUpToDate>
  <CharactersWithSpaces>49739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