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5F6147">
        <w:tblPrEx>
          <w:tblCellMar>
            <w:top w:w="0" w:type="dxa"/>
            <w:left w:w="0" w:type="dxa"/>
            <w:bottom w:w="0" w:type="dxa"/>
            <w:right w:w="0" w:type="dxa"/>
          </w:tblCellMar>
        </w:tblPrEx>
        <w:trPr>
          <w:gridAfter w:val="2"/>
          <w:wAfter w:w="1758" w:type="dxa"/>
          <w:cantSplit/>
          <w:trHeight w:val="1320"/>
        </w:trPr>
        <w:tc>
          <w:tcPr>
            <w:tcW w:w="5897" w:type="dxa"/>
          </w:tcPr>
          <w:p w:rsidR="005F6147" w:rsidRPr="005F6147" w:rsidRDefault="005F6147">
            <w:pPr>
              <w:pStyle w:val="HuvudRubrik"/>
            </w:pPr>
            <w:r w:rsidRPr="005F6147">
              <w:t>Regeringskansliet</w:t>
            </w:r>
          </w:p>
          <w:p w:rsidR="005F6147" w:rsidRPr="005F6147" w:rsidRDefault="005F6147">
            <w:pPr>
              <w:pStyle w:val="HuvudRubrik"/>
            </w:pPr>
            <w:r w:rsidRPr="005F6147">
              <w:t>Faktapromemoria  2009/10:FPM52</w:t>
            </w:r>
          </w:p>
        </w:tc>
      </w:tr>
      <w:tr w:rsidR="00000000" w:rsidRPr="005F6147">
        <w:tblPrEx>
          <w:tblCellMar>
            <w:top w:w="0" w:type="dxa"/>
            <w:left w:w="0" w:type="dxa"/>
            <w:bottom w:w="0" w:type="dxa"/>
            <w:right w:w="0" w:type="dxa"/>
          </w:tblCellMar>
        </w:tblPrEx>
        <w:trPr>
          <w:gridAfter w:val="2"/>
          <w:wAfter w:w="1758" w:type="dxa"/>
          <w:cantSplit/>
          <w:trHeight w:val="240"/>
        </w:trPr>
        <w:tc>
          <w:tcPr>
            <w:tcW w:w="5897" w:type="dxa"/>
          </w:tcPr>
          <w:p w:rsidR="005F6147" w:rsidRPr="005F6147" w:rsidRDefault="005F6147">
            <w:pPr>
              <w:pStyle w:val="HuvudRubrik"/>
              <w:rPr>
                <w:sz w:val="28"/>
              </w:rPr>
            </w:pPr>
            <w:r w:rsidRPr="005F6147">
              <w:t>Förslag om revidering av budgetramen</w:t>
            </w:r>
          </w:p>
        </w:tc>
      </w:tr>
      <w:tr w:rsidR="00000000" w:rsidRPr="005F6147">
        <w:tblPrEx>
          <w:tblCellMar>
            <w:top w:w="0" w:type="dxa"/>
            <w:left w:w="0" w:type="dxa"/>
            <w:bottom w:w="0" w:type="dxa"/>
            <w:right w:w="0" w:type="dxa"/>
          </w:tblCellMar>
        </w:tblPrEx>
        <w:trPr>
          <w:cantSplit/>
          <w:trHeight w:val="285"/>
        </w:trPr>
        <w:tc>
          <w:tcPr>
            <w:tcW w:w="7655" w:type="dxa"/>
            <w:gridSpan w:val="3"/>
          </w:tcPr>
          <w:p w:rsidR="005F6147" w:rsidRPr="005F6147" w:rsidRDefault="005F6147">
            <w:pPr>
              <w:pStyle w:val="Departement"/>
              <w:rPr>
                <w:sz w:val="28"/>
              </w:rPr>
            </w:pPr>
            <w:r w:rsidRPr="005F6147">
              <w:t>Finansdepartementet</w:t>
            </w:r>
          </w:p>
        </w:tc>
      </w:tr>
      <w:tr w:rsidR="00000000" w:rsidRPr="005F6147">
        <w:tblPrEx>
          <w:tblCellMar>
            <w:top w:w="0" w:type="dxa"/>
            <w:left w:w="0" w:type="dxa"/>
            <w:bottom w:w="0" w:type="dxa"/>
            <w:right w:w="0" w:type="dxa"/>
          </w:tblCellMar>
        </w:tblPrEx>
        <w:trPr>
          <w:cantSplit/>
          <w:trHeight w:val="240"/>
        </w:trPr>
        <w:tc>
          <w:tcPr>
            <w:tcW w:w="7655" w:type="dxa"/>
            <w:gridSpan w:val="3"/>
          </w:tcPr>
          <w:p w:rsidR="005F6147" w:rsidRPr="005F6147" w:rsidRDefault="005F6147">
            <w:pPr>
              <w:pStyle w:val="Dokumentdatum"/>
            </w:pPr>
            <w:r w:rsidRPr="005F6147">
              <w:t>2010-02-23</w:t>
            </w:r>
          </w:p>
        </w:tc>
      </w:tr>
      <w:tr w:rsidR="00000000" w:rsidRPr="005F6147">
        <w:tblPrEx>
          <w:tblCellMar>
            <w:top w:w="0" w:type="dxa"/>
            <w:left w:w="0" w:type="dxa"/>
            <w:bottom w:w="0" w:type="dxa"/>
            <w:right w:w="0" w:type="dxa"/>
          </w:tblCellMar>
        </w:tblPrEx>
        <w:trPr>
          <w:cantSplit/>
          <w:trHeight w:val="726"/>
        </w:trPr>
        <w:tc>
          <w:tcPr>
            <w:tcW w:w="7655" w:type="dxa"/>
            <w:gridSpan w:val="3"/>
            <w:vAlign w:val="bottom"/>
          </w:tcPr>
          <w:p w:rsidR="005F6147" w:rsidRPr="005F6147" w:rsidRDefault="005F6147">
            <w:pPr>
              <w:pStyle w:val="Dokumentbeteckning"/>
            </w:pPr>
            <w:r w:rsidRPr="005F6147">
              <w:t>Dokumentbeteckning</w:t>
            </w:r>
          </w:p>
        </w:tc>
      </w:tr>
      <w:tr w:rsidR="00000000" w:rsidRPr="005F6147">
        <w:tblPrEx>
          <w:tblCellMar>
            <w:top w:w="0" w:type="dxa"/>
            <w:left w:w="0" w:type="dxa"/>
            <w:bottom w:w="0" w:type="dxa"/>
            <w:right w:w="0" w:type="dxa"/>
          </w:tblCellMar>
        </w:tblPrEx>
        <w:trPr>
          <w:gridAfter w:val="1"/>
          <w:wAfter w:w="1560" w:type="dxa"/>
          <w:trHeight w:val="120"/>
        </w:trPr>
        <w:tc>
          <w:tcPr>
            <w:tcW w:w="6095" w:type="dxa"/>
            <w:gridSpan w:val="2"/>
          </w:tcPr>
          <w:p w:rsidR="005F6147" w:rsidRPr="005F6147" w:rsidRDefault="005F6147">
            <w:bookmarkStart w:id="0" w:name="KomNr"/>
            <w:bookmarkEnd w:id="0"/>
            <w:r w:rsidRPr="005F6147">
              <w:t>KOM (2009) 662</w:t>
            </w:r>
          </w:p>
        </w:tc>
      </w:tr>
      <w:tr w:rsidR="00000000" w:rsidRPr="005F6147">
        <w:tblPrEx>
          <w:tblCellMar>
            <w:top w:w="0" w:type="dxa"/>
            <w:left w:w="0" w:type="dxa"/>
            <w:bottom w:w="0" w:type="dxa"/>
            <w:right w:w="0" w:type="dxa"/>
          </w:tblCellMar>
        </w:tblPrEx>
        <w:trPr>
          <w:gridAfter w:val="1"/>
          <w:wAfter w:w="1560" w:type="dxa"/>
          <w:trHeight w:val="120"/>
        </w:trPr>
        <w:tc>
          <w:tcPr>
            <w:tcW w:w="6095" w:type="dxa"/>
            <w:gridSpan w:val="2"/>
          </w:tcPr>
          <w:p w:rsidR="005F6147" w:rsidRPr="005F6147" w:rsidRDefault="005F6147">
            <w:pPr>
              <w:pStyle w:val="Dokumentbeteckning-titel"/>
            </w:pPr>
            <w:r w:rsidRPr="005F6147">
              <w:t>Ändrat förslag till Europaparlamentets och rådets beslut om ändring av det interinstitutionella avtalet av den 17 maj 2006 om budgetdisciplin och sund ekonomisk förvaltning med avseende på den fleråriga budgetramen – Finansiering av projekt på energiområdet inom ramen för den ekonomiska återhämtningsplanen för Europa</w:t>
            </w:r>
          </w:p>
        </w:tc>
      </w:tr>
    </w:tbl>
    <w:p w:rsidR="005F6147" w:rsidRPr="005F6147" w:rsidRDefault="005F6147"/>
    <w:p w:rsidR="005F6147" w:rsidRPr="005F6147" w:rsidRDefault="005F6147">
      <w:pPr>
        <w:pStyle w:val="Rubrik1"/>
        <w:numPr>
          <w:ilvl w:val="0"/>
          <w:numId w:val="0"/>
        </w:numPr>
      </w:pPr>
      <w:r w:rsidRPr="005F6147">
        <w:t>Sammanfattning</w:t>
      </w:r>
    </w:p>
    <w:p w:rsidR="005F6147" w:rsidRPr="005F6147" w:rsidRDefault="005F6147">
      <w:r w:rsidRPr="005F6147">
        <w:t>Kommissionen har presenterat ett ändrat förslag till revidering som finansiering av det andra steget i återhämtningsplanen. Förslaget baserar sig på kommissionens förslag av den 10 december 2008 om revidering av budgetramen i syfte att finansiera den ekonomiska återhämtningsplanen för Europa Förslaget tar fullt ut hänsyn till budgetutfallet under rubrik 2 för 2009 och den politiska överenskommelse som slöts vid trepartsmötet mellan Europaparlamentet, rådet och kommissionen i samband med förlikningen om EU-</w:t>
      </w:r>
      <w:r w:rsidRPr="005F6147">
        <w:t>budgeten för 2010. Regeringen stödjer kommissionens förslag.</w:t>
      </w:r>
    </w:p>
    <w:p w:rsidR="005F6147" w:rsidRPr="005F6147" w:rsidRDefault="005F6147">
      <w:pPr>
        <w:pStyle w:val="Rubrik1"/>
      </w:pPr>
      <w:r w:rsidRPr="005F6147">
        <w:t>Förslaget</w:t>
      </w:r>
    </w:p>
    <w:p w:rsidR="005F6147" w:rsidRPr="005F6147" w:rsidRDefault="005F6147">
      <w:pPr>
        <w:pStyle w:val="Rubrik2"/>
      </w:pPr>
      <w:r w:rsidRPr="005F6147">
        <w:t>Ärendets bakgrund</w:t>
      </w:r>
    </w:p>
    <w:p w:rsidR="005F6147" w:rsidRPr="005F6147" w:rsidRDefault="005F6147">
      <w:r w:rsidRPr="005F6147">
        <w:t>Vid trepartsmötet den 2 april 2009 enades Europaparlamentet, rådet och kommissionen om att inom ramen för den ekonomiska återhämtningsplanen för Europa</w:t>
      </w:r>
      <w:r w:rsidRPr="005F6147">
        <w:rPr>
          <w:rStyle w:val="Fotnotsreferens"/>
        </w:rPr>
        <w:footnoteReference w:id="1"/>
      </w:r>
      <w:r w:rsidRPr="005F6147">
        <w:t xml:space="preserve"> finansiera ett antal stödåtgärder.</w:t>
      </w:r>
    </w:p>
    <w:p w:rsidR="005F6147" w:rsidRPr="005F6147" w:rsidRDefault="005F6147">
      <w:r w:rsidRPr="005F6147">
        <w:lastRenderedPageBreak/>
        <w:t>Stödpaketet är avsett att ytterligare stimulera ekonomin och öka tryggheten i energi</w:t>
      </w:r>
      <w:r w:rsidRPr="005F6147">
        <w:softHyphen/>
        <w:t>försörjningen, och uppgår sammanlagt till 5 000 miljoner euro i löpande priser:</w:t>
      </w:r>
    </w:p>
    <w:p w:rsidR="005F6147" w:rsidRPr="005F6147" w:rsidRDefault="005F6147">
      <w:r w:rsidRPr="005F6147">
        <w:t xml:space="preserve">Ett anslag på 3 980 miljoner euro kommer att ställas till förfogande för finansiering av energiprojekt under rubrik 1.A i budgetramen: 2 000 miljoner euro 2009 och 1 980 miljoner euro 2010. </w:t>
      </w:r>
    </w:p>
    <w:p w:rsidR="005F6147" w:rsidRPr="005F6147" w:rsidRDefault="005F6147">
      <w:r w:rsidRPr="005F6147">
        <w:t xml:space="preserve">1 020 miljoner euro kommer att göras tillgängliga under rubrik 2 för att finansiera utveckling av bredbandinfrastruktur för Internet i landsbygdsområden samt förstärka åtgärderna för att bemöta de ”nya utmaningar” som identifierats i samband med ”hälsokontrollen” av den gemensamma jordbrukspolitiken. </w:t>
      </w:r>
    </w:p>
    <w:p w:rsidR="005F6147" w:rsidRPr="005F6147" w:rsidRDefault="005F6147">
      <w:r w:rsidRPr="005F6147">
        <w:t>På grundval av det avtalet och kommissionens ändrade förslag av den 8 april 2009</w:t>
      </w:r>
      <w:r w:rsidRPr="005F6147">
        <w:rPr>
          <w:rStyle w:val="Fotnotsreferens"/>
        </w:rPr>
        <w:footnoteReference w:id="2"/>
      </w:r>
      <w:r w:rsidRPr="005F6147">
        <w:t xml:space="preserve"> antog Europaparlamentet och rådet ett beslut</w:t>
      </w:r>
      <w:r w:rsidRPr="005F6147">
        <w:rPr>
          <w:rStyle w:val="Fotnotsreferens"/>
        </w:rPr>
        <w:footnoteReference w:id="3"/>
      </w:r>
      <w:r w:rsidRPr="005F6147">
        <w:t xml:space="preserve"> den 6 maj 2009 enligt vilket 2007–2013 års budgetram skulle revideras. 2009 års tak för åtagandebemyndiganden under rubrik 1.A höjdes med 2 000 miljoner euro för att finansiera energiprojekt för att stödja den ekonomiska återhämtningen. Denna höjning kompenserades helt genom en sänkning med samma belopp av taket för åtagandebemyndiganden inom rubrik 2 för 2009. Taken för betalningsbemyndiganden för åren 2009–2013 ändrades i enlighet därmed. Parallellt med detta beslut gjordes 600 miljoner euro tillgängliga</w:t>
      </w:r>
      <w:r w:rsidRPr="005F6147">
        <w:t xml:space="preserve"> inom 2009 års budget för bredbands</w:t>
      </w:r>
      <w:r w:rsidRPr="005F6147">
        <w:softHyphen/>
        <w:t>investeringar i landsbygdsområden samt för åtgärder för att bemöta de ”nya utmaningarna”.</w:t>
      </w:r>
    </w:p>
    <w:p w:rsidR="005F6147" w:rsidRPr="005F6147" w:rsidRDefault="005F6147">
      <w:r w:rsidRPr="005F6147">
        <w:t>I enlighet med avtalet av den 2 april 2009 kommer finansieringen av det återstående beloppet (1 980 miljoner euro för energi och 420 miljoner euro för utveckling av bredbandsinfrastruktur för Internet i landsbygdsområden och samt för investeringar i förstärkta åtgärder för att bemöta de “nya utmaningar” som identifierats i samband med ”hälsokontrollen” av den gemensamma jordbrukspoli</w:t>
      </w:r>
      <w:r w:rsidRPr="005F6147">
        <w:t xml:space="preserve">tiken) ”att säkras genom en kompensationsmekanism i samband med förlikningen under budgetförfarandet för 2010, där alla de budgetmedel som kan genereras enligt den rättsliga ramen kommer att tas i anspråk. Kompensationen kommer om så krävs att fullbordas senast i samband med förlikningen under budgetförfarandet för 2011”. </w:t>
      </w:r>
    </w:p>
    <w:p w:rsidR="005F6147" w:rsidRPr="005F6147" w:rsidRDefault="005F6147">
      <w:r w:rsidRPr="005F6147">
        <w:t>Den 27 oktober 2009 lämnade kommissionen ett förslag om ”kompensation” av det återstående beloppet på grundval av ovanstående avtal</w:t>
      </w:r>
      <w:r w:rsidRPr="005F6147">
        <w:rPr>
          <w:rStyle w:val="Fotnotsreferens"/>
        </w:rPr>
        <w:footnoteReference w:id="4"/>
      </w:r>
      <w:r w:rsidRPr="005F6147">
        <w:t xml:space="preserve">. I föreliggande ändrade förslag till beslut av Europaparlamentet och rådet beaktas de slutliga verkställighetsuppgifterna om EGFJ-åtgärder under rubrik 2, som inte fanns tillgängliga när kommissionen satte samman sitt ursprungliga förslag, samt resultaten av budgetförlikningsmötet den 18 november 2009. </w:t>
      </w:r>
    </w:p>
    <w:p w:rsidR="005F6147" w:rsidRPr="005F6147" w:rsidRDefault="005F6147">
      <w:pPr>
        <w:pStyle w:val="Rubrik2"/>
      </w:pPr>
      <w:r w:rsidRPr="005F6147">
        <w:t>Förslagets innehåll</w:t>
      </w:r>
    </w:p>
    <w:p w:rsidR="005F6147" w:rsidRPr="005F6147" w:rsidRDefault="005F6147">
      <w:pPr>
        <w:spacing w:before="0"/>
      </w:pPr>
      <w:r w:rsidRPr="005F6147">
        <w:rPr>
          <w:spacing w:val="-1"/>
        </w:rPr>
        <w:t xml:space="preserve">Kommissionen föreslår </w:t>
      </w:r>
      <w:r w:rsidRPr="005F6147">
        <w:t>en revidering av budgetramen för att höja 2010 års tak för åtagandebemyndiganden under rubrik 1.A med 1 779 miljoner euro. Dessutom kommer 120 miljoner euro att göras tillgängliga genom att flexibilitetsinstrumentet utnyttjas i enlighet med punkt 27 i det interinstitutionella avtalet av den 17 maj 2006 om budgetdisciplin och sund ekonomisk förvaltning, och 81 miljoner euro tillkommer via den outnyttjade marginalen under 2010 års tak för åtagandebemyndiganden under rubrik 1A. På detta sätt kan hela det åters</w:t>
      </w:r>
      <w:r w:rsidRPr="005F6147">
        <w:t xml:space="preserve">tående beloppet på 1 980 miljoner euro användas för energiprojekt inom ramen för den ekonomiska återhämtningsplanen för Europa i enlighet med vad de tre institutionerna enats om. Parallellt kommer 420 miljoner euro att göras tillgängliga inom 2010 års budget för bredbandsinvesteringar i landsbygdsområde samt för åtgärder för att bemöta de ”nya utmaningarna”. </w:t>
      </w:r>
    </w:p>
    <w:p w:rsidR="005F6147" w:rsidRPr="005F6147" w:rsidRDefault="005F6147">
      <w:r w:rsidRPr="005F6147">
        <w:t>I tabellen nedan sammanfattas de föreslagna ändringarna av taken för åtagande</w:t>
      </w:r>
      <w:r w:rsidRPr="005F6147">
        <w:softHyphen/>
        <w:t>bemyndiganden och betalningsbemyndiganden i budgetramen. Beloppen uttrycks i löpande priser.</w:t>
      </w:r>
    </w:p>
    <w:p w:rsidR="005F6147" w:rsidRPr="005F6147" w:rsidRDefault="005F6147">
      <w:pPr>
        <w:tabs>
          <w:tab w:val="left" w:pos="1905"/>
        </w:tabs>
      </w:pPr>
      <w:r w:rsidRPr="005F6147">
        <w:rPr>
          <w:noProof/>
        </w:rPr>
        <w:drawing>
          <wp:anchor distT="0" distB="0" distL="114300" distR="114300" simplePos="0" relativeHeight="251657728" behindDoc="0" locked="0" layoutInCell="1" allowOverlap="1">
            <wp:simplePos x="0" y="0"/>
            <wp:positionH relativeFrom="column">
              <wp:posOffset>17145</wp:posOffset>
            </wp:positionH>
            <wp:positionV relativeFrom="paragraph">
              <wp:posOffset>118745</wp:posOffset>
            </wp:positionV>
            <wp:extent cx="3886200" cy="880110"/>
            <wp:effectExtent l="0" t="0" r="0" b="0"/>
            <wp:wrapNone/>
            <wp:docPr id="95" name="Bild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86200" cy="8801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F6147" w:rsidRPr="005F6147" w:rsidRDefault="005F6147"/>
    <w:p w:rsidR="005F6147" w:rsidRPr="005F6147" w:rsidRDefault="005F6147"/>
    <w:p w:rsidR="005F6147" w:rsidRPr="005F6147" w:rsidRDefault="005F6147"/>
    <w:p w:rsidR="005F6147" w:rsidRPr="005F6147" w:rsidRDefault="005F6147"/>
    <w:p w:rsidR="005F6147" w:rsidRPr="005F6147" w:rsidRDefault="005F6147"/>
    <w:p w:rsidR="005F6147" w:rsidRPr="005F6147" w:rsidRDefault="005F6147"/>
    <w:p w:rsidR="005F6147" w:rsidRPr="005F6147" w:rsidRDefault="005F6147">
      <w:r w:rsidRPr="005F6147">
        <w:t xml:space="preserve">Totalt sett ska effekten av revideringen vara neutral i fråga om de sammanlagda taken för åtagandebemyndiganden och betalningsbemyndiganden i löpande priser. </w:t>
      </w:r>
    </w:p>
    <w:p w:rsidR="005F6147" w:rsidRPr="005F6147" w:rsidRDefault="005F6147"/>
    <w:p w:rsidR="005F6147" w:rsidRPr="005F6147" w:rsidRDefault="005F6147">
      <w:pPr>
        <w:rPr>
          <w:b/>
          <w:i/>
        </w:rPr>
      </w:pPr>
      <w:r w:rsidRPr="005F6147">
        <w:rPr>
          <w:b/>
          <w:i/>
        </w:rPr>
        <w:t>Detaljerad beskrivning av de föreslagna förändringarna</w:t>
      </w:r>
    </w:p>
    <w:p w:rsidR="005F6147" w:rsidRPr="005F6147" w:rsidRDefault="005F6147">
      <w:r w:rsidRPr="005F6147">
        <w:t>Marginalen på 3 miljoner euro som lämnades under 2009 års tak för åtagandebemyndiganden under rubrik 1.A kommer att göras tillgänglig för finansiering av den ekonomiska återhämtningsplanen för Europa. I överensstämmelse med punkt 23 i interinstitutionella avtalet – där det föreskrivs att möjligheterna till en omfördelning av utgifterna ska undersökas innan taket revideras – enades de tre institutionerna vid det ovan nämnda förlikningsmötet om att 81 miljoner euro av 2010 års outnyttjade marginal i kommissi</w:t>
      </w:r>
      <w:r w:rsidRPr="005F6147">
        <w:t>onens preliminära budgetförslag ska användas till finansiering av energiprojekt inom den ekonomiska återhämtningsplanen för Europa. Detta överensstämmer med den förklaring som antogs den 2 april 2009 enligt vilken ”kompensationsmekanismen inte kommer att påverka tillämpningen av det årliga budget</w:t>
      </w:r>
      <w:r w:rsidRPr="005F6147">
        <w:softHyphen/>
        <w:t>förfarandet eller av de finansieringsramar som ingår i program som antas genom medbeslutande”.</w:t>
      </w:r>
    </w:p>
    <w:p w:rsidR="005F6147" w:rsidRPr="005F6147" w:rsidRDefault="005F6147">
      <w:r w:rsidRPr="005F6147">
        <w:t>I överensstämmelse med punkt 23 andra stycket i det interinstitutionella avtalet och i linje med avtalet från den 2 apr</w:t>
      </w:r>
      <w:r w:rsidRPr="005F6147">
        <w:t>il 2009 enades institutionerna vid budgetförlikningsmötet den 19 november 2009 om att ”kompensera” höjningen av taket för åtagandebemyndiganden under rubrik 1.A på följande sätt:</w:t>
      </w:r>
    </w:p>
    <w:p w:rsidR="005F6147" w:rsidRPr="005F6147" w:rsidRDefault="005F6147">
      <w:r w:rsidRPr="005F6147">
        <w:t>På grund av outnyttjat tekniskt stöd finns en marginal på 1 miljon euro under 2009 års tak och på 6 miljoner euro under 2010 års tak för åtagandebemyndiganden under rubrik 1B. Enighet nåddes om att dessa belopp ska användas till att finansiera energiprojekt inom ramen för återhämtningsplanen. Kommissionen bekräftar att marginalen f</w:t>
      </w:r>
      <w:r w:rsidRPr="005F6147">
        <w:t xml:space="preserve">ör åtagandebemyndiganden 2010 i underrubrik 1.B enbart beror på en omvärdering av behoven för tekniskt stöd på kommissionens initiativ och/eller för kommissionens räkning, såsom specificeras i artikel 45 i rådets </w:t>
      </w:r>
      <w:r w:rsidRPr="005F6147">
        <w:rPr>
          <w:color w:val="000000"/>
        </w:rPr>
        <w:t>förordning</w:t>
      </w:r>
      <w:r w:rsidRPr="005F6147">
        <w:t xml:space="preserve"> nr 1083/2006. Den har därför ingen inverkan på de operativa programmens programplanering eller åtagandena i dessa.</w:t>
      </w:r>
    </w:p>
    <w:p w:rsidR="005F6147" w:rsidRPr="005F6147" w:rsidRDefault="005F6147">
      <w:r w:rsidRPr="005F6147">
        <w:t>Det slutliga belopp som återstår under 2009 års utgiftstak för åtagandebemyndiganden under rubrik 2 uppgår till 1 036 miljoner euro. Här ingår 34 miljoner euro, som består a</w:t>
      </w:r>
      <w:r w:rsidRPr="005F6147">
        <w:t>v anslagen för fiskeprogram som underutnyttjats. Detta belopp har tagits in i ändringsbudget nr 10/2009.</w:t>
      </w:r>
    </w:p>
    <w:p w:rsidR="005F6147" w:rsidRPr="005F6147" w:rsidRDefault="005F6147">
      <w:r w:rsidRPr="005F6147">
        <w:t>Dessutom fördes anslag på 250 miljoner euro för landsbygdsutveckling och 20 miljoner euro för kampen mot klimatförändring in i 2009 års budget, men de kan inte användas eftersom det inte finns någon lämplig rättslig grund.</w:t>
      </w:r>
    </w:p>
    <w:p w:rsidR="005F6147" w:rsidRPr="005F6147" w:rsidRDefault="005F6147">
      <w:r w:rsidRPr="005F6147">
        <w:t>Eftersom regleringsåret för jordbruket nu är till ända nåddes enighet om att resten av 2009 års marginal och de outnyttjade anslagen under rubrik 2 ska övergå till de energiprojekt inom den ekonomiska återhämtningsplanen för Europa som ska finansieras under rubrik 1.A.</w:t>
      </w:r>
    </w:p>
    <w:p w:rsidR="005F6147" w:rsidRPr="005F6147" w:rsidRDefault="005F6147">
      <w:r w:rsidRPr="005F6147">
        <w:t>Den ursprungliga marginalen under 2010 års utgiftstak för åtagandebemyndiganden under rubrik 2 uppgår till 1 083 miljoner euro efter rådets andra behandling av budgeten för 2010.</w:t>
      </w:r>
    </w:p>
    <w:p w:rsidR="005F6147" w:rsidRPr="005F6147" w:rsidRDefault="005F6147">
      <w:r w:rsidRPr="005F6147">
        <w:t>Man enades om att använda denna marginal till att</w:t>
      </w:r>
    </w:p>
    <w:p w:rsidR="005F6147" w:rsidRPr="005F6147" w:rsidRDefault="005F6147">
      <w:r w:rsidRPr="005F6147">
        <w:t>under rubrik 2 tillhandahålla de 420 miljoner euro som enligt den ekonomiska återhämtnings</w:t>
      </w:r>
      <w:r w:rsidRPr="005F6147">
        <w:softHyphen/>
        <w:t>planen för Europa behövs för att finansiera utveckling av bredbandsinfrastruktur för Internet i landsbygdsområden och förstärka åtgärderna för att bemöta de nya utmaningar som identifierats i samband med ”hälsokontrollen”,</w:t>
      </w:r>
    </w:p>
    <w:p w:rsidR="005F6147" w:rsidRPr="005F6147" w:rsidRDefault="005F6147">
      <w:r w:rsidRPr="005F6147">
        <w:t>tillhandahålla ytterligare 158 miljoner euro som kan göras tillgängliga för energiprojekt under rubrik 1.A.</w:t>
      </w:r>
    </w:p>
    <w:p w:rsidR="005F6147" w:rsidRPr="005F6147" w:rsidRDefault="005F6147">
      <w:r w:rsidRPr="005F6147">
        <w:t>Detta ger en marginal på 505 miljoner euro tillgänglig för jordbruksområdet under utgiftstaket 2010. Kommissionen har i alla händelser åtagit sig att vidta alla lämpliga åtgärder för att garantera respekten för de beslut som fattats om utgifter inom den gemensamma jordbruks</w:t>
      </w:r>
      <w:r w:rsidRPr="005F6147">
        <w:softHyphen/>
        <w:t>politiken och om dess finansiering, inklusive överenskommelsen om ”hälsokontrollen”.</w:t>
      </w:r>
    </w:p>
    <w:p w:rsidR="005F6147" w:rsidRPr="005F6147" w:rsidRDefault="005F6147">
      <w:r w:rsidRPr="005F6147">
        <w:t>En marginal på 5 miljoner euro lämnas under taket för åtagandebemyndiganden under rubrik 3.A 2009. Med tanke på att budgetåret nästan har löpt ut och att ingen användning planerades för detta återstående belopp enades man om att det också skulle gå till finansiering av energiprojekten inom ramen för den ekonomiska återhämtningsplanen för Europa.</w:t>
      </w:r>
    </w:p>
    <w:p w:rsidR="005F6147" w:rsidRPr="005F6147" w:rsidRDefault="005F6147">
      <w:r w:rsidRPr="005F6147">
        <w:t>Marginalen under utgiftstaket för rubrik 5 (administration) uppgår 2009 till 174 miljoner euro (vari ingår en höjning av densamma med 98 miljoner euro eftersom budgetarna i kommissionen, rådet, Europeiska ekonomiska och sociala kommittén samt Region</w:t>
      </w:r>
      <w:r w:rsidRPr="005F6147">
        <w:softHyphen/>
        <w:t>kommittén under</w:t>
      </w:r>
      <w:r w:rsidRPr="005F6147">
        <w:softHyphen/>
        <w:t xml:space="preserve">utnyttjats och beloppen gjorts tillgängliga genom ändringsbudget nr 10/2009). För 2010 enades man om att behålla en marginal på 72 miljoner euro efter att ha beaktat ändringarna vid Europaparlamentets första behandling och den föreslagna ändringsskrivelsen 3/2010. En del av denna marginal kan behövas för att tillgodose ytterligare finansieringsbehov i samband med ikraftträdandet av Lissabonfördraget. Mot den bakgrunden föreslås således att 300 miljoner euro (174 miljoner euro från 2009 års </w:t>
      </w:r>
      <w:r w:rsidRPr="005F6147">
        <w:t>marginal och 126 miljoner euro från 2010 års marginal) ska göras tillgängliga för finansiering av energiprojekt inom ramen för den ekonomiska återhämtningsplanen för Europa.</w:t>
      </w:r>
    </w:p>
    <w:p w:rsidR="005F6147" w:rsidRPr="005F6147" w:rsidRDefault="005F6147">
      <w:pPr>
        <w:pStyle w:val="Rubrik2"/>
      </w:pPr>
      <w:r w:rsidRPr="005F6147">
        <w:t>Gällande svenska regler och förslagets effekt på dessa</w:t>
      </w:r>
    </w:p>
    <w:p w:rsidR="005F6147" w:rsidRPr="005F6147" w:rsidRDefault="005F6147">
      <w:r w:rsidRPr="005F6147">
        <w:t>-</w:t>
      </w:r>
    </w:p>
    <w:p w:rsidR="005F6147" w:rsidRPr="005F6147" w:rsidRDefault="005F6147">
      <w:pPr>
        <w:pStyle w:val="Rubrik2"/>
      </w:pPr>
      <w:r w:rsidRPr="005F6147">
        <w:t>Budgetära konsekvenser / Konsekvensanalys</w:t>
      </w:r>
    </w:p>
    <w:p w:rsidR="005F6147" w:rsidRPr="005F6147" w:rsidRDefault="005F6147">
      <w:r w:rsidRPr="005F6147">
        <w:t>Förslaget påverkar Sveriges EU-avgift som ökar med ca. 400 miljoner kronor  om förslaget skulle antas utan förändringar.</w:t>
      </w:r>
    </w:p>
    <w:p w:rsidR="005F6147" w:rsidRPr="005F6147" w:rsidRDefault="005F6147">
      <w:pPr>
        <w:pStyle w:val="Rubrik1"/>
      </w:pPr>
      <w:r w:rsidRPr="005F6147">
        <w:t>Ståndpunkter</w:t>
      </w:r>
    </w:p>
    <w:p w:rsidR="005F6147" w:rsidRPr="005F6147" w:rsidRDefault="005F6147">
      <w:pPr>
        <w:pStyle w:val="Rubrik2"/>
      </w:pPr>
      <w:r w:rsidRPr="005F6147">
        <w:t>Preliminär svensk ståndpunkt</w:t>
      </w:r>
    </w:p>
    <w:p w:rsidR="005F6147" w:rsidRPr="005F6147" w:rsidRDefault="005F6147">
      <w:r w:rsidRPr="005F6147">
        <w:t>Regeringen stödjer kommissionens förslag.</w:t>
      </w:r>
    </w:p>
    <w:p w:rsidR="005F6147" w:rsidRPr="005F6147" w:rsidRDefault="005F6147">
      <w:pPr>
        <w:pStyle w:val="Rubrik2"/>
      </w:pPr>
      <w:r w:rsidRPr="005F6147">
        <w:t>Medlemsstaternas ståndpunkter</w:t>
      </w:r>
    </w:p>
    <w:p w:rsidR="005F6147" w:rsidRPr="005F6147" w:rsidRDefault="005F6147">
      <w:r w:rsidRPr="005F6147">
        <w:t xml:space="preserve">Rådet stödjer enhälligt kommissionens förslag. </w:t>
      </w:r>
    </w:p>
    <w:p w:rsidR="005F6147" w:rsidRPr="005F6147" w:rsidRDefault="005F6147">
      <w:pPr>
        <w:pStyle w:val="Rubrik2"/>
      </w:pPr>
      <w:r w:rsidRPr="005F6147">
        <w:t>Institutionernas ståndpunkter</w:t>
      </w:r>
    </w:p>
    <w:p w:rsidR="005F6147" w:rsidRPr="005F6147" w:rsidRDefault="005F6147">
      <w:r w:rsidRPr="005F6147">
        <w:t>Europaparlamentet stödjer kommissionens förslag.</w:t>
      </w:r>
    </w:p>
    <w:p w:rsidR="005F6147" w:rsidRPr="005F6147" w:rsidRDefault="005F6147">
      <w:pPr>
        <w:pStyle w:val="Rubrik2"/>
      </w:pPr>
      <w:r w:rsidRPr="005F6147">
        <w:t>Remissinstansernas ståndpunkter</w:t>
      </w:r>
    </w:p>
    <w:p w:rsidR="005F6147" w:rsidRPr="005F6147" w:rsidRDefault="005F6147">
      <w:r w:rsidRPr="005F6147">
        <w:t>-</w:t>
      </w:r>
    </w:p>
    <w:p w:rsidR="005F6147" w:rsidRPr="005F6147" w:rsidRDefault="005F6147">
      <w:pPr>
        <w:pStyle w:val="Rubrik1"/>
      </w:pPr>
      <w:r w:rsidRPr="005F6147">
        <w:t>Förslagets förutsättningar</w:t>
      </w:r>
    </w:p>
    <w:p w:rsidR="005F6147" w:rsidRPr="005F6147" w:rsidRDefault="005F6147">
      <w:pPr>
        <w:pStyle w:val="Rubrik2"/>
      </w:pPr>
      <w:r w:rsidRPr="005F6147">
        <w:t>Rättslig grund och beslutsförfarande</w:t>
      </w:r>
    </w:p>
    <w:p w:rsidR="005F6147" w:rsidRPr="005F6147" w:rsidRDefault="005F6147">
      <w:r w:rsidRPr="005F6147">
        <w:t>artikel 22 i Interinstitutionella avtalet om budgetdisciplin och sund ekonomisk förvaltning från 17 maj 2006. Beslut fattas av rådet med kvalificerad majoritet tillsammans med Europaparlamentet.</w:t>
      </w:r>
    </w:p>
    <w:p w:rsidR="005F6147" w:rsidRPr="005F6147" w:rsidRDefault="005F6147">
      <w:pPr>
        <w:pStyle w:val="Rubrik2"/>
      </w:pPr>
      <w:r w:rsidRPr="005F6147">
        <w:t>Subsidiaritets- och proportionalitetsprincipen</w:t>
      </w:r>
    </w:p>
    <w:p w:rsidR="005F6147" w:rsidRPr="005F6147" w:rsidRDefault="005F6147">
      <w:r w:rsidRPr="005F6147">
        <w:t>-</w:t>
      </w:r>
    </w:p>
    <w:p w:rsidR="005F6147" w:rsidRPr="005F6147" w:rsidRDefault="005F6147">
      <w:pPr>
        <w:pStyle w:val="Rubrik1"/>
      </w:pPr>
      <w:r w:rsidRPr="005F6147">
        <w:t>Övrigt</w:t>
      </w:r>
    </w:p>
    <w:p w:rsidR="005F6147" w:rsidRPr="005F6147" w:rsidRDefault="005F6147">
      <w:pPr>
        <w:pStyle w:val="Rubrik2"/>
      </w:pPr>
      <w:r w:rsidRPr="005F6147">
        <w:t>Fortsatt behandling av ärendet</w:t>
      </w:r>
    </w:p>
    <w:p w:rsidR="005F6147" w:rsidRPr="005F6147" w:rsidRDefault="005F6147">
      <w:r w:rsidRPr="005F6147">
        <w:t>Europarlamentet, rådet och kommissionen nådde en politisk överenskommelse om finansieringen av återhämtningsplanen i samband med förlikningen avseende 2010-års budget. Det nu liggande förslaget är resultatet av denna överenskommelse. Rådet och Europaparlamentet ska gemensamt bekräfta denna genom att besluta om kommissionens förslag.</w:t>
      </w:r>
    </w:p>
    <w:p w:rsidR="005F6147" w:rsidRPr="005F6147" w:rsidRDefault="005F6147">
      <w:pPr>
        <w:pStyle w:val="Rubrik2"/>
      </w:pPr>
      <w:r w:rsidRPr="005F6147">
        <w:t>Fackuttryck/termer</w:t>
      </w:r>
    </w:p>
    <w:p w:rsidR="005F6147" w:rsidRPr="005F6147" w:rsidRDefault="005F6147">
      <w:r w:rsidRPr="005F6147">
        <w:rPr>
          <w:b/>
          <w:i/>
        </w:rPr>
        <w:t>Fleråriga budgetramen:</w:t>
      </w:r>
      <w:r w:rsidRPr="005F6147">
        <w:t xml:space="preserve"> Den fleråriga budgetramen (2007-2013) är indelad i 5 budgetkategorier (med vissa underkategorier), se tabell nedan. Dessa tak får inte överskridas. Medel får heller inte flyttas mellan kategorierna. </w:t>
      </w:r>
    </w:p>
    <w:p w:rsidR="005F6147" w:rsidRPr="005F6147" w:rsidRDefault="005F6147"/>
    <w:tbl>
      <w:tblPr>
        <w:tblStyle w:val="Tabellrutnt"/>
        <w:tblW w:w="0" w:type="auto"/>
        <w:tblLook w:val="01E0" w:firstRow="1" w:lastRow="1" w:firstColumn="1" w:lastColumn="1" w:noHBand="0" w:noVBand="0"/>
      </w:tblPr>
      <w:tblGrid>
        <w:gridCol w:w="5886"/>
      </w:tblGrid>
      <w:tr w:rsidR="00000000" w:rsidRPr="005F6147">
        <w:tc>
          <w:tcPr>
            <w:tcW w:w="6036" w:type="dxa"/>
          </w:tcPr>
          <w:p w:rsidR="005F6147" w:rsidRPr="005F6147" w:rsidRDefault="005F6147">
            <w:r w:rsidRPr="005F6147">
              <w:t>Rubrik</w:t>
            </w:r>
          </w:p>
        </w:tc>
      </w:tr>
      <w:tr w:rsidR="00000000" w:rsidRPr="005F6147">
        <w:tc>
          <w:tcPr>
            <w:tcW w:w="6036" w:type="dxa"/>
          </w:tcPr>
          <w:p w:rsidR="005F6147" w:rsidRPr="005F6147" w:rsidRDefault="005F6147">
            <w:r w:rsidRPr="005F6147">
              <w:t>1.A</w:t>
            </w:r>
            <w:r w:rsidRPr="005F6147">
              <w:tab/>
              <w:t>Konkurrenskraft för tillväxt och sysselsättning</w:t>
            </w:r>
          </w:p>
        </w:tc>
      </w:tr>
      <w:tr w:rsidR="00000000" w:rsidRPr="005F6147">
        <w:tc>
          <w:tcPr>
            <w:tcW w:w="6036" w:type="dxa"/>
          </w:tcPr>
          <w:p w:rsidR="005F6147" w:rsidRPr="005F6147" w:rsidRDefault="005F6147">
            <w:r w:rsidRPr="005F6147">
              <w:t>forskning,</w:t>
            </w:r>
          </w:p>
        </w:tc>
      </w:tr>
      <w:tr w:rsidR="00000000" w:rsidRPr="005F6147">
        <w:tc>
          <w:tcPr>
            <w:tcW w:w="6036" w:type="dxa"/>
          </w:tcPr>
          <w:p w:rsidR="005F6147" w:rsidRPr="005F6147" w:rsidRDefault="005F6147">
            <w:r w:rsidRPr="005F6147">
              <w:t>utbildning (t.ex. Erasmus),</w:t>
            </w:r>
          </w:p>
        </w:tc>
      </w:tr>
      <w:tr w:rsidR="00000000" w:rsidRPr="005F6147">
        <w:tc>
          <w:tcPr>
            <w:tcW w:w="6036" w:type="dxa"/>
          </w:tcPr>
          <w:p w:rsidR="005F6147" w:rsidRPr="005F6147" w:rsidRDefault="005F6147">
            <w:r w:rsidRPr="005F6147">
              <w:t>infrastruktur</w:t>
            </w:r>
          </w:p>
        </w:tc>
      </w:tr>
      <w:tr w:rsidR="00000000" w:rsidRPr="005F6147">
        <w:tc>
          <w:tcPr>
            <w:tcW w:w="6036" w:type="dxa"/>
          </w:tcPr>
          <w:p w:rsidR="005F6147" w:rsidRPr="005F6147" w:rsidRDefault="005F6147">
            <w:r w:rsidRPr="005F6147">
              <w:t>m.m.</w:t>
            </w:r>
          </w:p>
        </w:tc>
      </w:tr>
      <w:tr w:rsidR="00000000" w:rsidRPr="005F6147">
        <w:tc>
          <w:tcPr>
            <w:tcW w:w="6036" w:type="dxa"/>
          </w:tcPr>
          <w:p w:rsidR="005F6147" w:rsidRPr="005F6147" w:rsidRDefault="005F6147">
            <w:r w:rsidRPr="005F6147">
              <w:t>1.B</w:t>
            </w:r>
            <w:r w:rsidRPr="005F6147">
              <w:tab/>
              <w:t>Sammanhållning för tillväxt och sysselsättning</w:t>
            </w:r>
          </w:p>
        </w:tc>
      </w:tr>
      <w:tr w:rsidR="00000000" w:rsidRPr="005F6147">
        <w:tc>
          <w:tcPr>
            <w:tcW w:w="6036" w:type="dxa"/>
          </w:tcPr>
          <w:p w:rsidR="005F6147" w:rsidRPr="005F6147" w:rsidRDefault="005F6147">
            <w:r w:rsidRPr="005F6147">
              <w:t>strukturfonderna och</w:t>
            </w:r>
          </w:p>
        </w:tc>
      </w:tr>
      <w:tr w:rsidR="00000000" w:rsidRPr="005F6147">
        <w:tc>
          <w:tcPr>
            <w:tcW w:w="6036" w:type="dxa"/>
          </w:tcPr>
          <w:p w:rsidR="005F6147" w:rsidRPr="005F6147" w:rsidRDefault="005F6147">
            <w:r w:rsidRPr="005F6147">
              <w:t>sammanhållningsfonden.</w:t>
            </w:r>
          </w:p>
        </w:tc>
      </w:tr>
      <w:tr w:rsidR="00000000" w:rsidRPr="005F6147">
        <w:tc>
          <w:tcPr>
            <w:tcW w:w="6036" w:type="dxa"/>
          </w:tcPr>
          <w:p w:rsidR="005F6147" w:rsidRPr="005F6147" w:rsidRDefault="005F6147">
            <w:r w:rsidRPr="005F6147">
              <w:t>2</w:t>
            </w:r>
            <w:r w:rsidRPr="005F6147">
              <w:tab/>
              <w:t xml:space="preserve">Skydd och förvaltning av gemensamma naturresurser </w:t>
            </w:r>
          </w:p>
        </w:tc>
      </w:tr>
      <w:tr w:rsidR="00000000" w:rsidRPr="005F6147">
        <w:tc>
          <w:tcPr>
            <w:tcW w:w="6036" w:type="dxa"/>
          </w:tcPr>
          <w:p w:rsidR="005F6147" w:rsidRPr="005F6147" w:rsidRDefault="005F6147">
            <w:r w:rsidRPr="005F6147">
              <w:t>CAP (direktstöd och marknadsåtgärder)</w:t>
            </w:r>
          </w:p>
        </w:tc>
      </w:tr>
      <w:tr w:rsidR="00000000" w:rsidRPr="005F6147">
        <w:tc>
          <w:tcPr>
            <w:tcW w:w="6036" w:type="dxa"/>
          </w:tcPr>
          <w:p w:rsidR="005F6147" w:rsidRPr="005F6147" w:rsidRDefault="005F6147">
            <w:r w:rsidRPr="005F6147">
              <w:t>CAP (landsbygdsutveckling)</w:t>
            </w:r>
          </w:p>
        </w:tc>
      </w:tr>
      <w:tr w:rsidR="00000000" w:rsidRPr="005F6147">
        <w:tc>
          <w:tcPr>
            <w:tcW w:w="6036" w:type="dxa"/>
          </w:tcPr>
          <w:p w:rsidR="005F6147" w:rsidRPr="005F6147" w:rsidRDefault="005F6147">
            <w:r w:rsidRPr="005F6147">
              <w:t>Gemensamma fiskepolitiken</w:t>
            </w:r>
          </w:p>
        </w:tc>
      </w:tr>
      <w:tr w:rsidR="00000000" w:rsidRPr="005F6147">
        <w:tc>
          <w:tcPr>
            <w:tcW w:w="6036" w:type="dxa"/>
          </w:tcPr>
          <w:p w:rsidR="005F6147" w:rsidRPr="005F6147" w:rsidRDefault="005F6147">
            <w:r w:rsidRPr="005F6147">
              <w:t>m.m.</w:t>
            </w:r>
          </w:p>
        </w:tc>
      </w:tr>
      <w:tr w:rsidR="00000000" w:rsidRPr="005F6147">
        <w:tc>
          <w:tcPr>
            <w:tcW w:w="6036" w:type="dxa"/>
          </w:tcPr>
          <w:p w:rsidR="005F6147" w:rsidRPr="005F6147" w:rsidRDefault="005F6147">
            <w:r w:rsidRPr="005F6147">
              <w:t>3</w:t>
            </w:r>
            <w:r w:rsidRPr="005F6147">
              <w:tab/>
              <w:t>Medborgarskap</w:t>
            </w:r>
          </w:p>
        </w:tc>
      </w:tr>
      <w:tr w:rsidR="00000000" w:rsidRPr="005F6147">
        <w:tc>
          <w:tcPr>
            <w:tcW w:w="6036" w:type="dxa"/>
          </w:tcPr>
          <w:p w:rsidR="005F6147" w:rsidRPr="005F6147" w:rsidRDefault="005F6147">
            <w:r w:rsidRPr="005F6147">
              <w:t>migration</w:t>
            </w:r>
          </w:p>
        </w:tc>
      </w:tr>
      <w:tr w:rsidR="00000000" w:rsidRPr="005F6147">
        <w:tc>
          <w:tcPr>
            <w:tcW w:w="6036" w:type="dxa"/>
          </w:tcPr>
          <w:p w:rsidR="005F6147" w:rsidRPr="005F6147" w:rsidRDefault="005F6147">
            <w:r w:rsidRPr="005F6147">
              <w:t>rättsligt samarbet</w:t>
            </w:r>
          </w:p>
        </w:tc>
      </w:tr>
      <w:tr w:rsidR="00000000" w:rsidRPr="005F6147">
        <w:tc>
          <w:tcPr>
            <w:tcW w:w="6036" w:type="dxa"/>
          </w:tcPr>
          <w:p w:rsidR="005F6147" w:rsidRPr="005F6147" w:rsidRDefault="005F6147">
            <w:r w:rsidRPr="005F6147">
              <w:t>kultur</w:t>
            </w:r>
          </w:p>
        </w:tc>
      </w:tr>
      <w:tr w:rsidR="00000000" w:rsidRPr="005F6147">
        <w:tc>
          <w:tcPr>
            <w:tcW w:w="6036" w:type="dxa"/>
          </w:tcPr>
          <w:p w:rsidR="005F6147" w:rsidRPr="005F6147" w:rsidRDefault="005F6147">
            <w:r w:rsidRPr="005F6147">
              <w:t>m.m.</w:t>
            </w:r>
          </w:p>
        </w:tc>
      </w:tr>
      <w:tr w:rsidR="00000000" w:rsidRPr="005F6147">
        <w:tc>
          <w:tcPr>
            <w:tcW w:w="6036" w:type="dxa"/>
          </w:tcPr>
          <w:p w:rsidR="005F6147" w:rsidRPr="005F6147" w:rsidRDefault="005F6147">
            <w:r w:rsidRPr="005F6147">
              <w:t>4</w:t>
            </w:r>
            <w:r w:rsidRPr="005F6147">
              <w:tab/>
              <w:t>EU som global partner</w:t>
            </w:r>
          </w:p>
        </w:tc>
      </w:tr>
      <w:tr w:rsidR="00000000" w:rsidRPr="005F6147">
        <w:tc>
          <w:tcPr>
            <w:tcW w:w="6036" w:type="dxa"/>
          </w:tcPr>
          <w:p w:rsidR="005F6147" w:rsidRPr="005F6147" w:rsidRDefault="005F6147">
            <w:r w:rsidRPr="005F6147">
              <w:t>Gemensamma utrikes- och säkerhetspolitiken</w:t>
            </w:r>
          </w:p>
        </w:tc>
      </w:tr>
      <w:tr w:rsidR="00000000" w:rsidRPr="005F6147">
        <w:tc>
          <w:tcPr>
            <w:tcW w:w="6036" w:type="dxa"/>
          </w:tcPr>
          <w:p w:rsidR="005F6147" w:rsidRPr="005F6147" w:rsidRDefault="005F6147">
            <w:r w:rsidRPr="005F6147">
              <w:t>bistånd</w:t>
            </w:r>
          </w:p>
        </w:tc>
      </w:tr>
      <w:tr w:rsidR="00000000" w:rsidRPr="005F6147">
        <w:tc>
          <w:tcPr>
            <w:tcW w:w="6036" w:type="dxa"/>
          </w:tcPr>
          <w:p w:rsidR="005F6147" w:rsidRPr="005F6147" w:rsidRDefault="005F6147">
            <w:r w:rsidRPr="005F6147">
              <w:t>m.m.</w:t>
            </w:r>
          </w:p>
        </w:tc>
      </w:tr>
      <w:tr w:rsidR="00000000" w:rsidRPr="005F6147">
        <w:tc>
          <w:tcPr>
            <w:tcW w:w="6036" w:type="dxa"/>
          </w:tcPr>
          <w:p w:rsidR="005F6147" w:rsidRPr="005F6147" w:rsidRDefault="005F6147">
            <w:r w:rsidRPr="005F6147">
              <w:t>5</w:t>
            </w:r>
            <w:r w:rsidRPr="005F6147">
              <w:tab/>
              <w:t>Administration</w:t>
            </w:r>
          </w:p>
        </w:tc>
      </w:tr>
    </w:tbl>
    <w:p w:rsidR="005F6147" w:rsidRPr="005F6147" w:rsidRDefault="005F6147">
      <w:pPr>
        <w:rPr>
          <w:b/>
          <w:i/>
        </w:rPr>
      </w:pPr>
    </w:p>
    <w:p w:rsidR="005F6147" w:rsidRPr="005F6147" w:rsidRDefault="005F6147">
      <w:r w:rsidRPr="005F6147">
        <w:rPr>
          <w:b/>
          <w:i/>
        </w:rPr>
        <w:t>Interinstitutionella avtalet (IIA):</w:t>
      </w:r>
      <w:r w:rsidRPr="005F6147">
        <w:t xml:space="preserve"> Den fleråriga budgetramen är inte fördragsfäst utan fastställs därför i ett avtal mellan institutionerna: rådet, europarlamentet och kommissionen, som därmed förbinder sig att följa innehållet. Bakgrunden till IIA om budgetramen är de tidigare mycket besvärliga årsbudgetförhandlingarna. I och med Lissabonfördraget blir dock den fleråriga budgetramen fördragsfäst och denna delen i IIA kommer ersättas av en förordning.</w:t>
      </w:r>
    </w:p>
    <w:p w:rsidR="005F6147" w:rsidRPr="005F6147" w:rsidRDefault="005F6147"/>
    <w:sectPr w:rsidR="00000000" w:rsidRPr="005F6147">
      <w:headerReference w:type="even" r:id="rId8"/>
      <w:headerReference w:type="default" r:id="rId9"/>
      <w:footerReference w:type="even" r:id="rId10"/>
      <w:footerReference w:type="default" r:id="rId11"/>
      <w:headerReference w:type="first" r:id="rId12"/>
      <w:footerReference w:type="first" r:id="rId13"/>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6147" w:rsidRPr="005F6147" w:rsidRDefault="005F6147">
      <w:r w:rsidRPr="005F6147">
        <w:separator/>
      </w:r>
    </w:p>
  </w:endnote>
  <w:endnote w:type="continuationSeparator" w:id="0">
    <w:p w:rsidR="005F6147" w:rsidRPr="005F6147" w:rsidRDefault="005F6147">
      <w:r w:rsidRPr="005F61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147" w:rsidRPr="005F6147" w:rsidRDefault="005F614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147" w:rsidRPr="005F6147" w:rsidRDefault="005F6147">
    <w:pPr>
      <w:pStyle w:val="SidfotH"/>
      <w:framePr w:wrap="around"/>
    </w:pPr>
    <w:r w:rsidRPr="005F6147">
      <w:t>6</w:t>
    </w:r>
  </w:p>
  <w:p w:rsidR="005F6147" w:rsidRPr="005F6147" w:rsidRDefault="005F614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147" w:rsidRPr="005F6147" w:rsidRDefault="005F6147">
    <w:pPr>
      <w:pStyle w:val="SidfotH"/>
      <w:framePr w:wrap="around"/>
    </w:pPr>
    <w:r w:rsidRPr="005F6147">
      <w:t>1</w:t>
    </w:r>
  </w:p>
  <w:p w:rsidR="005F6147" w:rsidRPr="005F6147" w:rsidRDefault="005F614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6147" w:rsidRPr="005F6147" w:rsidRDefault="005F6147">
      <w:r w:rsidRPr="005F6147">
        <w:separator/>
      </w:r>
    </w:p>
  </w:footnote>
  <w:footnote w:type="continuationSeparator" w:id="0">
    <w:p w:rsidR="005F6147" w:rsidRPr="005F6147" w:rsidRDefault="005F6147">
      <w:r w:rsidRPr="005F6147">
        <w:continuationSeparator/>
      </w:r>
    </w:p>
  </w:footnote>
  <w:footnote w:id="1">
    <w:p w:rsidR="005F6147" w:rsidRPr="005F6147" w:rsidRDefault="005F6147">
      <w:pPr>
        <w:pStyle w:val="Fotnotstext"/>
        <w:rPr>
          <w:szCs w:val="24"/>
        </w:rPr>
      </w:pPr>
      <w:r w:rsidRPr="005F6147">
        <w:rPr>
          <w:rStyle w:val="Fotnotsreferens"/>
          <w:szCs w:val="24"/>
        </w:rPr>
        <w:footnoteRef/>
      </w:r>
      <w:r w:rsidRPr="005F6147">
        <w:rPr>
          <w:szCs w:val="24"/>
        </w:rPr>
        <w:tab/>
        <w:t>KOM(2008) 859 slutlig/2.</w:t>
      </w:r>
    </w:p>
  </w:footnote>
  <w:footnote w:id="2">
    <w:p w:rsidR="005F6147" w:rsidRPr="005F6147" w:rsidRDefault="005F6147">
      <w:pPr>
        <w:pStyle w:val="Fotnotstext"/>
        <w:rPr>
          <w:szCs w:val="24"/>
        </w:rPr>
      </w:pPr>
      <w:r w:rsidRPr="005F6147">
        <w:rPr>
          <w:rStyle w:val="Fotnotsreferens"/>
          <w:szCs w:val="24"/>
        </w:rPr>
        <w:footnoteRef/>
      </w:r>
      <w:r w:rsidRPr="005F6147">
        <w:rPr>
          <w:szCs w:val="24"/>
        </w:rPr>
        <w:tab/>
        <w:t>KOM(2009)171 slutlig.</w:t>
      </w:r>
    </w:p>
  </w:footnote>
  <w:footnote w:id="3">
    <w:p w:rsidR="005F6147" w:rsidRPr="005F6147" w:rsidRDefault="005F6147">
      <w:pPr>
        <w:pStyle w:val="Fotnotstext"/>
        <w:rPr>
          <w:szCs w:val="24"/>
        </w:rPr>
      </w:pPr>
      <w:r w:rsidRPr="005F6147">
        <w:rPr>
          <w:rStyle w:val="Fotnotsreferens"/>
          <w:szCs w:val="24"/>
        </w:rPr>
        <w:footnoteRef/>
      </w:r>
      <w:r w:rsidRPr="005F6147">
        <w:rPr>
          <w:szCs w:val="24"/>
        </w:rPr>
        <w:tab/>
        <w:t xml:space="preserve">EUT L 132, 29.5.2009, s. 8. </w:t>
      </w:r>
    </w:p>
  </w:footnote>
  <w:footnote w:id="4">
    <w:p w:rsidR="005F6147" w:rsidRPr="005F6147" w:rsidRDefault="005F6147">
      <w:pPr>
        <w:pStyle w:val="Fotnotstext"/>
        <w:rPr>
          <w:szCs w:val="24"/>
        </w:rPr>
      </w:pPr>
      <w:r w:rsidRPr="005F6147">
        <w:rPr>
          <w:rStyle w:val="Fotnotsreferens"/>
          <w:szCs w:val="24"/>
        </w:rPr>
        <w:footnoteRef/>
      </w:r>
      <w:r w:rsidRPr="005F6147">
        <w:rPr>
          <w:szCs w:val="24"/>
        </w:rPr>
        <w:tab/>
        <w:t xml:space="preserve">KOM(2009) 600.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147" w:rsidRPr="005F6147" w:rsidRDefault="005F614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147" w:rsidRPr="005F6147" w:rsidRDefault="005F6147">
    <w:pPr>
      <w:pStyle w:val="Kantrubrik"/>
      <w:framePr w:h="1157" w:hRule="exact" w:wrap="around" w:y="738"/>
    </w:pPr>
    <w:r w:rsidRPr="005F6147">
      <w:t>2009/10:FPM52</w:t>
    </w:r>
  </w:p>
  <w:p w:rsidR="005F6147" w:rsidRPr="005F6147" w:rsidRDefault="005F614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147" w:rsidRPr="005F6147" w:rsidRDefault="005F6147">
    <w:pPr>
      <w:pStyle w:val="Sidhuvud"/>
    </w:pPr>
    <w:r w:rsidRPr="005F6147">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6510507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6147" w:rsidRDefault="005F6147">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437"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5F6147" w:rsidRDefault="005F6147">
                    <w:pPr>
                      <w:pStyle w:val="Logo"/>
                    </w:pPr>
                    <w:r>
                      <w:object w:dxaOrig="840" w:dyaOrig="1545">
                        <v:shape id="_x0000_i1025" type="#_x0000_t75" style="width:42pt;height:77.5pt" filled="t">
                          <v:imagedata r:id="rId1" o:title=""/>
                        </v:shape>
                        <o:OLEObject Type="Embed" ProgID="Word.Picture.8" ShapeID="_x0000_i1025" DrawAspect="Content" ObjectID="_1827530437"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DA0F254"/>
    <w:lvl w:ilvl="0">
      <w:start w:val="1"/>
      <w:numFmt w:val="decimal"/>
      <w:lvlText w:val="%1."/>
      <w:lvlJc w:val="left"/>
      <w:pPr>
        <w:tabs>
          <w:tab w:val="num" w:pos="643"/>
        </w:tabs>
        <w:ind w:left="643" w:hanging="360"/>
      </w:pPr>
      <w:rPr>
        <w:rFonts w:cs="Times New Roman"/>
      </w:rPr>
    </w:lvl>
  </w:abstractNum>
  <w:abstractNum w:abstractNumId="1"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8C64468"/>
    <w:multiLevelType w:val="hybridMultilevel"/>
    <w:tmpl w:val="1D940142"/>
    <w:lvl w:ilvl="0" w:tplc="041D0001">
      <w:start w:val="1"/>
      <w:numFmt w:val="bullet"/>
      <w:lvlText w:val=""/>
      <w:lvlJc w:val="left"/>
      <w:pPr>
        <w:tabs>
          <w:tab w:val="num" w:pos="2025"/>
        </w:tabs>
        <w:ind w:left="2025" w:hanging="360"/>
      </w:pPr>
      <w:rPr>
        <w:rFonts w:ascii="Symbol" w:hAnsi="Symbol" w:hint="default"/>
      </w:rPr>
    </w:lvl>
    <w:lvl w:ilvl="1" w:tplc="041D0003" w:tentative="1">
      <w:start w:val="1"/>
      <w:numFmt w:val="bullet"/>
      <w:lvlText w:val="o"/>
      <w:lvlJc w:val="left"/>
      <w:pPr>
        <w:tabs>
          <w:tab w:val="num" w:pos="2745"/>
        </w:tabs>
        <w:ind w:left="2745" w:hanging="360"/>
      </w:pPr>
      <w:rPr>
        <w:rFonts w:ascii="Courier New" w:hAnsi="Courier New" w:cs="Courier New" w:hint="default"/>
      </w:rPr>
    </w:lvl>
    <w:lvl w:ilvl="2" w:tplc="041D0005" w:tentative="1">
      <w:start w:val="1"/>
      <w:numFmt w:val="bullet"/>
      <w:lvlText w:val=""/>
      <w:lvlJc w:val="left"/>
      <w:pPr>
        <w:tabs>
          <w:tab w:val="num" w:pos="3465"/>
        </w:tabs>
        <w:ind w:left="3465" w:hanging="360"/>
      </w:pPr>
      <w:rPr>
        <w:rFonts w:ascii="Wingdings" w:hAnsi="Wingdings" w:hint="default"/>
      </w:rPr>
    </w:lvl>
    <w:lvl w:ilvl="3" w:tplc="041D0001" w:tentative="1">
      <w:start w:val="1"/>
      <w:numFmt w:val="bullet"/>
      <w:lvlText w:val=""/>
      <w:lvlJc w:val="left"/>
      <w:pPr>
        <w:tabs>
          <w:tab w:val="num" w:pos="4185"/>
        </w:tabs>
        <w:ind w:left="4185" w:hanging="360"/>
      </w:pPr>
      <w:rPr>
        <w:rFonts w:ascii="Symbol" w:hAnsi="Symbol" w:hint="default"/>
      </w:rPr>
    </w:lvl>
    <w:lvl w:ilvl="4" w:tplc="041D0003" w:tentative="1">
      <w:start w:val="1"/>
      <w:numFmt w:val="bullet"/>
      <w:lvlText w:val="o"/>
      <w:lvlJc w:val="left"/>
      <w:pPr>
        <w:tabs>
          <w:tab w:val="num" w:pos="4905"/>
        </w:tabs>
        <w:ind w:left="4905" w:hanging="360"/>
      </w:pPr>
      <w:rPr>
        <w:rFonts w:ascii="Courier New" w:hAnsi="Courier New" w:cs="Courier New" w:hint="default"/>
      </w:rPr>
    </w:lvl>
    <w:lvl w:ilvl="5" w:tplc="041D0005" w:tentative="1">
      <w:start w:val="1"/>
      <w:numFmt w:val="bullet"/>
      <w:lvlText w:val=""/>
      <w:lvlJc w:val="left"/>
      <w:pPr>
        <w:tabs>
          <w:tab w:val="num" w:pos="5625"/>
        </w:tabs>
        <w:ind w:left="5625" w:hanging="360"/>
      </w:pPr>
      <w:rPr>
        <w:rFonts w:ascii="Wingdings" w:hAnsi="Wingdings" w:hint="default"/>
      </w:rPr>
    </w:lvl>
    <w:lvl w:ilvl="6" w:tplc="041D0001" w:tentative="1">
      <w:start w:val="1"/>
      <w:numFmt w:val="bullet"/>
      <w:lvlText w:val=""/>
      <w:lvlJc w:val="left"/>
      <w:pPr>
        <w:tabs>
          <w:tab w:val="num" w:pos="6345"/>
        </w:tabs>
        <w:ind w:left="6345" w:hanging="360"/>
      </w:pPr>
      <w:rPr>
        <w:rFonts w:ascii="Symbol" w:hAnsi="Symbol" w:hint="default"/>
      </w:rPr>
    </w:lvl>
    <w:lvl w:ilvl="7" w:tplc="041D0003" w:tentative="1">
      <w:start w:val="1"/>
      <w:numFmt w:val="bullet"/>
      <w:lvlText w:val="o"/>
      <w:lvlJc w:val="left"/>
      <w:pPr>
        <w:tabs>
          <w:tab w:val="num" w:pos="7065"/>
        </w:tabs>
        <w:ind w:left="7065" w:hanging="360"/>
      </w:pPr>
      <w:rPr>
        <w:rFonts w:ascii="Courier New" w:hAnsi="Courier New" w:cs="Courier New" w:hint="default"/>
      </w:rPr>
    </w:lvl>
    <w:lvl w:ilvl="8" w:tplc="041D0005" w:tentative="1">
      <w:start w:val="1"/>
      <w:numFmt w:val="bullet"/>
      <w:lvlText w:val=""/>
      <w:lvlJc w:val="left"/>
      <w:pPr>
        <w:tabs>
          <w:tab w:val="num" w:pos="7785"/>
        </w:tabs>
        <w:ind w:left="7785" w:hanging="360"/>
      </w:pPr>
      <w:rPr>
        <w:rFonts w:ascii="Wingdings" w:hAnsi="Wingdings" w:hint="default"/>
      </w:rPr>
    </w:lvl>
  </w:abstractNum>
  <w:abstractNum w:abstractNumId="3" w15:restartNumberingAfterBreak="0">
    <w:nsid w:val="0ACB2D10"/>
    <w:multiLevelType w:val="hybridMultilevel"/>
    <w:tmpl w:val="DF0A0D3E"/>
    <w:lvl w:ilvl="0" w:tplc="041D0001">
      <w:start w:val="1"/>
      <w:numFmt w:val="bullet"/>
      <w:lvlText w:val=""/>
      <w:lvlJc w:val="left"/>
      <w:pPr>
        <w:tabs>
          <w:tab w:val="num" w:pos="2025"/>
        </w:tabs>
        <w:ind w:left="2025" w:hanging="360"/>
      </w:pPr>
      <w:rPr>
        <w:rFonts w:ascii="Symbol" w:hAnsi="Symbol" w:hint="default"/>
      </w:rPr>
    </w:lvl>
    <w:lvl w:ilvl="1" w:tplc="041D0003" w:tentative="1">
      <w:start w:val="1"/>
      <w:numFmt w:val="bullet"/>
      <w:lvlText w:val="o"/>
      <w:lvlJc w:val="left"/>
      <w:pPr>
        <w:tabs>
          <w:tab w:val="num" w:pos="2745"/>
        </w:tabs>
        <w:ind w:left="2745" w:hanging="360"/>
      </w:pPr>
      <w:rPr>
        <w:rFonts w:ascii="Courier New" w:hAnsi="Courier New" w:cs="Courier New" w:hint="default"/>
      </w:rPr>
    </w:lvl>
    <w:lvl w:ilvl="2" w:tplc="041D0005" w:tentative="1">
      <w:start w:val="1"/>
      <w:numFmt w:val="bullet"/>
      <w:lvlText w:val=""/>
      <w:lvlJc w:val="left"/>
      <w:pPr>
        <w:tabs>
          <w:tab w:val="num" w:pos="3465"/>
        </w:tabs>
        <w:ind w:left="3465" w:hanging="360"/>
      </w:pPr>
      <w:rPr>
        <w:rFonts w:ascii="Wingdings" w:hAnsi="Wingdings" w:hint="default"/>
      </w:rPr>
    </w:lvl>
    <w:lvl w:ilvl="3" w:tplc="041D0001" w:tentative="1">
      <w:start w:val="1"/>
      <w:numFmt w:val="bullet"/>
      <w:lvlText w:val=""/>
      <w:lvlJc w:val="left"/>
      <w:pPr>
        <w:tabs>
          <w:tab w:val="num" w:pos="4185"/>
        </w:tabs>
        <w:ind w:left="4185" w:hanging="360"/>
      </w:pPr>
      <w:rPr>
        <w:rFonts w:ascii="Symbol" w:hAnsi="Symbol" w:hint="default"/>
      </w:rPr>
    </w:lvl>
    <w:lvl w:ilvl="4" w:tplc="041D0003" w:tentative="1">
      <w:start w:val="1"/>
      <w:numFmt w:val="bullet"/>
      <w:lvlText w:val="o"/>
      <w:lvlJc w:val="left"/>
      <w:pPr>
        <w:tabs>
          <w:tab w:val="num" w:pos="4905"/>
        </w:tabs>
        <w:ind w:left="4905" w:hanging="360"/>
      </w:pPr>
      <w:rPr>
        <w:rFonts w:ascii="Courier New" w:hAnsi="Courier New" w:cs="Courier New" w:hint="default"/>
      </w:rPr>
    </w:lvl>
    <w:lvl w:ilvl="5" w:tplc="041D0005" w:tentative="1">
      <w:start w:val="1"/>
      <w:numFmt w:val="bullet"/>
      <w:lvlText w:val=""/>
      <w:lvlJc w:val="left"/>
      <w:pPr>
        <w:tabs>
          <w:tab w:val="num" w:pos="5625"/>
        </w:tabs>
        <w:ind w:left="5625" w:hanging="360"/>
      </w:pPr>
      <w:rPr>
        <w:rFonts w:ascii="Wingdings" w:hAnsi="Wingdings" w:hint="default"/>
      </w:rPr>
    </w:lvl>
    <w:lvl w:ilvl="6" w:tplc="041D0001" w:tentative="1">
      <w:start w:val="1"/>
      <w:numFmt w:val="bullet"/>
      <w:lvlText w:val=""/>
      <w:lvlJc w:val="left"/>
      <w:pPr>
        <w:tabs>
          <w:tab w:val="num" w:pos="6345"/>
        </w:tabs>
        <w:ind w:left="6345" w:hanging="360"/>
      </w:pPr>
      <w:rPr>
        <w:rFonts w:ascii="Symbol" w:hAnsi="Symbol" w:hint="default"/>
      </w:rPr>
    </w:lvl>
    <w:lvl w:ilvl="7" w:tplc="041D0003" w:tentative="1">
      <w:start w:val="1"/>
      <w:numFmt w:val="bullet"/>
      <w:lvlText w:val="o"/>
      <w:lvlJc w:val="left"/>
      <w:pPr>
        <w:tabs>
          <w:tab w:val="num" w:pos="7065"/>
        </w:tabs>
        <w:ind w:left="7065" w:hanging="360"/>
      </w:pPr>
      <w:rPr>
        <w:rFonts w:ascii="Courier New" w:hAnsi="Courier New" w:cs="Courier New" w:hint="default"/>
      </w:rPr>
    </w:lvl>
    <w:lvl w:ilvl="8" w:tplc="041D0005" w:tentative="1">
      <w:start w:val="1"/>
      <w:numFmt w:val="bullet"/>
      <w:lvlText w:val=""/>
      <w:lvlJc w:val="left"/>
      <w:pPr>
        <w:tabs>
          <w:tab w:val="num" w:pos="7785"/>
        </w:tabs>
        <w:ind w:left="7785" w:hanging="360"/>
      </w:pPr>
      <w:rPr>
        <w:rFonts w:ascii="Wingdings" w:hAnsi="Wingdings" w:hint="default"/>
      </w:rPr>
    </w:lvl>
  </w:abstractNum>
  <w:abstractNum w:abstractNumId="4" w15:restartNumberingAfterBreak="0">
    <w:nsid w:val="26BE0D1C"/>
    <w:multiLevelType w:val="hybridMultilevel"/>
    <w:tmpl w:val="21622404"/>
    <w:lvl w:ilvl="0" w:tplc="041D0001">
      <w:start w:val="1"/>
      <w:numFmt w:val="bullet"/>
      <w:lvlText w:val=""/>
      <w:lvlJc w:val="left"/>
      <w:pPr>
        <w:tabs>
          <w:tab w:val="num" w:pos="2025"/>
        </w:tabs>
        <w:ind w:left="2025" w:hanging="360"/>
      </w:pPr>
      <w:rPr>
        <w:rFonts w:ascii="Symbol" w:hAnsi="Symbol" w:hint="default"/>
      </w:rPr>
    </w:lvl>
    <w:lvl w:ilvl="1" w:tplc="041D0003" w:tentative="1">
      <w:start w:val="1"/>
      <w:numFmt w:val="bullet"/>
      <w:lvlText w:val="o"/>
      <w:lvlJc w:val="left"/>
      <w:pPr>
        <w:tabs>
          <w:tab w:val="num" w:pos="2745"/>
        </w:tabs>
        <w:ind w:left="2745" w:hanging="360"/>
      </w:pPr>
      <w:rPr>
        <w:rFonts w:ascii="Courier New" w:hAnsi="Courier New" w:cs="Courier New" w:hint="default"/>
      </w:rPr>
    </w:lvl>
    <w:lvl w:ilvl="2" w:tplc="041D0005" w:tentative="1">
      <w:start w:val="1"/>
      <w:numFmt w:val="bullet"/>
      <w:lvlText w:val=""/>
      <w:lvlJc w:val="left"/>
      <w:pPr>
        <w:tabs>
          <w:tab w:val="num" w:pos="3465"/>
        </w:tabs>
        <w:ind w:left="3465" w:hanging="360"/>
      </w:pPr>
      <w:rPr>
        <w:rFonts w:ascii="Wingdings" w:hAnsi="Wingdings" w:hint="default"/>
      </w:rPr>
    </w:lvl>
    <w:lvl w:ilvl="3" w:tplc="041D0001" w:tentative="1">
      <w:start w:val="1"/>
      <w:numFmt w:val="bullet"/>
      <w:lvlText w:val=""/>
      <w:lvlJc w:val="left"/>
      <w:pPr>
        <w:tabs>
          <w:tab w:val="num" w:pos="4185"/>
        </w:tabs>
        <w:ind w:left="4185" w:hanging="360"/>
      </w:pPr>
      <w:rPr>
        <w:rFonts w:ascii="Symbol" w:hAnsi="Symbol" w:hint="default"/>
      </w:rPr>
    </w:lvl>
    <w:lvl w:ilvl="4" w:tplc="041D0003" w:tentative="1">
      <w:start w:val="1"/>
      <w:numFmt w:val="bullet"/>
      <w:lvlText w:val="o"/>
      <w:lvlJc w:val="left"/>
      <w:pPr>
        <w:tabs>
          <w:tab w:val="num" w:pos="4905"/>
        </w:tabs>
        <w:ind w:left="4905" w:hanging="360"/>
      </w:pPr>
      <w:rPr>
        <w:rFonts w:ascii="Courier New" w:hAnsi="Courier New" w:cs="Courier New" w:hint="default"/>
      </w:rPr>
    </w:lvl>
    <w:lvl w:ilvl="5" w:tplc="041D0005" w:tentative="1">
      <w:start w:val="1"/>
      <w:numFmt w:val="bullet"/>
      <w:lvlText w:val=""/>
      <w:lvlJc w:val="left"/>
      <w:pPr>
        <w:tabs>
          <w:tab w:val="num" w:pos="5625"/>
        </w:tabs>
        <w:ind w:left="5625" w:hanging="360"/>
      </w:pPr>
      <w:rPr>
        <w:rFonts w:ascii="Wingdings" w:hAnsi="Wingdings" w:hint="default"/>
      </w:rPr>
    </w:lvl>
    <w:lvl w:ilvl="6" w:tplc="041D0001" w:tentative="1">
      <w:start w:val="1"/>
      <w:numFmt w:val="bullet"/>
      <w:lvlText w:val=""/>
      <w:lvlJc w:val="left"/>
      <w:pPr>
        <w:tabs>
          <w:tab w:val="num" w:pos="6345"/>
        </w:tabs>
        <w:ind w:left="6345" w:hanging="360"/>
      </w:pPr>
      <w:rPr>
        <w:rFonts w:ascii="Symbol" w:hAnsi="Symbol" w:hint="default"/>
      </w:rPr>
    </w:lvl>
    <w:lvl w:ilvl="7" w:tplc="041D0003" w:tentative="1">
      <w:start w:val="1"/>
      <w:numFmt w:val="bullet"/>
      <w:lvlText w:val="o"/>
      <w:lvlJc w:val="left"/>
      <w:pPr>
        <w:tabs>
          <w:tab w:val="num" w:pos="7065"/>
        </w:tabs>
        <w:ind w:left="7065" w:hanging="360"/>
      </w:pPr>
      <w:rPr>
        <w:rFonts w:ascii="Courier New" w:hAnsi="Courier New" w:cs="Courier New" w:hint="default"/>
      </w:rPr>
    </w:lvl>
    <w:lvl w:ilvl="8" w:tplc="041D0005" w:tentative="1">
      <w:start w:val="1"/>
      <w:numFmt w:val="bullet"/>
      <w:lvlText w:val=""/>
      <w:lvlJc w:val="left"/>
      <w:pPr>
        <w:tabs>
          <w:tab w:val="num" w:pos="7785"/>
        </w:tabs>
        <w:ind w:left="7785" w:hanging="360"/>
      </w:pPr>
      <w:rPr>
        <w:rFonts w:ascii="Wingdings" w:hAnsi="Wingdings" w:hint="default"/>
      </w:rPr>
    </w:lvl>
  </w:abstractNum>
  <w:abstractNum w:abstractNumId="5"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36761C62"/>
    <w:multiLevelType w:val="hybridMultilevel"/>
    <w:tmpl w:val="2FD42CAC"/>
    <w:lvl w:ilvl="0" w:tplc="041D0001">
      <w:start w:val="1"/>
      <w:numFmt w:val="bullet"/>
      <w:lvlText w:val=""/>
      <w:lvlJc w:val="left"/>
      <w:pPr>
        <w:tabs>
          <w:tab w:val="num" w:pos="2025"/>
        </w:tabs>
        <w:ind w:left="2025" w:hanging="360"/>
      </w:pPr>
      <w:rPr>
        <w:rFonts w:ascii="Symbol" w:hAnsi="Symbol" w:hint="default"/>
      </w:rPr>
    </w:lvl>
    <w:lvl w:ilvl="1" w:tplc="041D0003" w:tentative="1">
      <w:start w:val="1"/>
      <w:numFmt w:val="bullet"/>
      <w:lvlText w:val="o"/>
      <w:lvlJc w:val="left"/>
      <w:pPr>
        <w:tabs>
          <w:tab w:val="num" w:pos="2745"/>
        </w:tabs>
        <w:ind w:left="2745" w:hanging="360"/>
      </w:pPr>
      <w:rPr>
        <w:rFonts w:ascii="Courier New" w:hAnsi="Courier New" w:cs="Courier New" w:hint="default"/>
      </w:rPr>
    </w:lvl>
    <w:lvl w:ilvl="2" w:tplc="041D0005" w:tentative="1">
      <w:start w:val="1"/>
      <w:numFmt w:val="bullet"/>
      <w:lvlText w:val=""/>
      <w:lvlJc w:val="left"/>
      <w:pPr>
        <w:tabs>
          <w:tab w:val="num" w:pos="3465"/>
        </w:tabs>
        <w:ind w:left="3465" w:hanging="360"/>
      </w:pPr>
      <w:rPr>
        <w:rFonts w:ascii="Wingdings" w:hAnsi="Wingdings" w:hint="default"/>
      </w:rPr>
    </w:lvl>
    <w:lvl w:ilvl="3" w:tplc="041D0001" w:tentative="1">
      <w:start w:val="1"/>
      <w:numFmt w:val="bullet"/>
      <w:lvlText w:val=""/>
      <w:lvlJc w:val="left"/>
      <w:pPr>
        <w:tabs>
          <w:tab w:val="num" w:pos="4185"/>
        </w:tabs>
        <w:ind w:left="4185" w:hanging="360"/>
      </w:pPr>
      <w:rPr>
        <w:rFonts w:ascii="Symbol" w:hAnsi="Symbol" w:hint="default"/>
      </w:rPr>
    </w:lvl>
    <w:lvl w:ilvl="4" w:tplc="041D0003" w:tentative="1">
      <w:start w:val="1"/>
      <w:numFmt w:val="bullet"/>
      <w:lvlText w:val="o"/>
      <w:lvlJc w:val="left"/>
      <w:pPr>
        <w:tabs>
          <w:tab w:val="num" w:pos="4905"/>
        </w:tabs>
        <w:ind w:left="4905" w:hanging="360"/>
      </w:pPr>
      <w:rPr>
        <w:rFonts w:ascii="Courier New" w:hAnsi="Courier New" w:cs="Courier New" w:hint="default"/>
      </w:rPr>
    </w:lvl>
    <w:lvl w:ilvl="5" w:tplc="041D0005" w:tentative="1">
      <w:start w:val="1"/>
      <w:numFmt w:val="bullet"/>
      <w:lvlText w:val=""/>
      <w:lvlJc w:val="left"/>
      <w:pPr>
        <w:tabs>
          <w:tab w:val="num" w:pos="5625"/>
        </w:tabs>
        <w:ind w:left="5625" w:hanging="360"/>
      </w:pPr>
      <w:rPr>
        <w:rFonts w:ascii="Wingdings" w:hAnsi="Wingdings" w:hint="default"/>
      </w:rPr>
    </w:lvl>
    <w:lvl w:ilvl="6" w:tplc="041D0001" w:tentative="1">
      <w:start w:val="1"/>
      <w:numFmt w:val="bullet"/>
      <w:lvlText w:val=""/>
      <w:lvlJc w:val="left"/>
      <w:pPr>
        <w:tabs>
          <w:tab w:val="num" w:pos="6345"/>
        </w:tabs>
        <w:ind w:left="6345" w:hanging="360"/>
      </w:pPr>
      <w:rPr>
        <w:rFonts w:ascii="Symbol" w:hAnsi="Symbol" w:hint="default"/>
      </w:rPr>
    </w:lvl>
    <w:lvl w:ilvl="7" w:tplc="041D0003" w:tentative="1">
      <w:start w:val="1"/>
      <w:numFmt w:val="bullet"/>
      <w:lvlText w:val="o"/>
      <w:lvlJc w:val="left"/>
      <w:pPr>
        <w:tabs>
          <w:tab w:val="num" w:pos="7065"/>
        </w:tabs>
        <w:ind w:left="7065" w:hanging="360"/>
      </w:pPr>
      <w:rPr>
        <w:rFonts w:ascii="Courier New" w:hAnsi="Courier New" w:cs="Courier New" w:hint="default"/>
      </w:rPr>
    </w:lvl>
    <w:lvl w:ilvl="8" w:tplc="041D0005" w:tentative="1">
      <w:start w:val="1"/>
      <w:numFmt w:val="bullet"/>
      <w:lvlText w:val=""/>
      <w:lvlJc w:val="left"/>
      <w:pPr>
        <w:tabs>
          <w:tab w:val="num" w:pos="7785"/>
        </w:tabs>
        <w:ind w:left="7785" w:hanging="360"/>
      </w:pPr>
      <w:rPr>
        <w:rFonts w:ascii="Wingdings" w:hAnsi="Wingdings" w:hint="default"/>
      </w:rPr>
    </w:lvl>
  </w:abstractNum>
  <w:abstractNum w:abstractNumId="7" w15:restartNumberingAfterBreak="0">
    <w:nsid w:val="40315490"/>
    <w:multiLevelType w:val="singleLevel"/>
    <w:tmpl w:val="1F86C700"/>
    <w:name w:val="List Dash"/>
    <w:lvl w:ilvl="0">
      <w:start w:val="1"/>
      <w:numFmt w:val="bullet"/>
      <w:pStyle w:val="ListDash"/>
      <w:lvlText w:val="–"/>
      <w:lvlJc w:val="left"/>
      <w:pPr>
        <w:tabs>
          <w:tab w:val="num" w:pos="283"/>
        </w:tabs>
        <w:ind w:left="283" w:hanging="283"/>
      </w:pPr>
      <w:rPr>
        <w:rFonts w:ascii="Times New Roman" w:hAnsi="Times New Roman"/>
      </w:rPr>
    </w:lvl>
  </w:abstractNum>
  <w:abstractNum w:abstractNumId="8"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9" w15:restartNumberingAfterBreak="0">
    <w:nsid w:val="5F8C3B69"/>
    <w:multiLevelType w:val="multilevel"/>
    <w:tmpl w:val="9B14DAA8"/>
    <w:name w:val="List Number"/>
    <w:lvl w:ilvl="0">
      <w:start w:val="1"/>
      <w:numFmt w:val="decimal"/>
      <w:pStyle w:val="Numreradlista"/>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61734AD9"/>
    <w:multiLevelType w:val="hybridMultilevel"/>
    <w:tmpl w:val="4532F868"/>
    <w:lvl w:ilvl="0" w:tplc="041D0001">
      <w:start w:val="1"/>
      <w:numFmt w:val="bullet"/>
      <w:lvlText w:val=""/>
      <w:lvlJc w:val="left"/>
      <w:pPr>
        <w:tabs>
          <w:tab w:val="num" w:pos="2025"/>
        </w:tabs>
        <w:ind w:left="2025" w:hanging="360"/>
      </w:pPr>
      <w:rPr>
        <w:rFonts w:ascii="Symbol" w:hAnsi="Symbol" w:hint="default"/>
      </w:rPr>
    </w:lvl>
    <w:lvl w:ilvl="1" w:tplc="041D0003" w:tentative="1">
      <w:start w:val="1"/>
      <w:numFmt w:val="bullet"/>
      <w:lvlText w:val="o"/>
      <w:lvlJc w:val="left"/>
      <w:pPr>
        <w:tabs>
          <w:tab w:val="num" w:pos="2745"/>
        </w:tabs>
        <w:ind w:left="2745" w:hanging="360"/>
      </w:pPr>
      <w:rPr>
        <w:rFonts w:ascii="Courier New" w:hAnsi="Courier New" w:cs="Courier New" w:hint="default"/>
      </w:rPr>
    </w:lvl>
    <w:lvl w:ilvl="2" w:tplc="041D0005" w:tentative="1">
      <w:start w:val="1"/>
      <w:numFmt w:val="bullet"/>
      <w:lvlText w:val=""/>
      <w:lvlJc w:val="left"/>
      <w:pPr>
        <w:tabs>
          <w:tab w:val="num" w:pos="3465"/>
        </w:tabs>
        <w:ind w:left="3465" w:hanging="360"/>
      </w:pPr>
      <w:rPr>
        <w:rFonts w:ascii="Wingdings" w:hAnsi="Wingdings" w:hint="default"/>
      </w:rPr>
    </w:lvl>
    <w:lvl w:ilvl="3" w:tplc="041D0001" w:tentative="1">
      <w:start w:val="1"/>
      <w:numFmt w:val="bullet"/>
      <w:lvlText w:val=""/>
      <w:lvlJc w:val="left"/>
      <w:pPr>
        <w:tabs>
          <w:tab w:val="num" w:pos="4185"/>
        </w:tabs>
        <w:ind w:left="4185" w:hanging="360"/>
      </w:pPr>
      <w:rPr>
        <w:rFonts w:ascii="Symbol" w:hAnsi="Symbol" w:hint="default"/>
      </w:rPr>
    </w:lvl>
    <w:lvl w:ilvl="4" w:tplc="041D0003" w:tentative="1">
      <w:start w:val="1"/>
      <w:numFmt w:val="bullet"/>
      <w:lvlText w:val="o"/>
      <w:lvlJc w:val="left"/>
      <w:pPr>
        <w:tabs>
          <w:tab w:val="num" w:pos="4905"/>
        </w:tabs>
        <w:ind w:left="4905" w:hanging="360"/>
      </w:pPr>
      <w:rPr>
        <w:rFonts w:ascii="Courier New" w:hAnsi="Courier New" w:cs="Courier New" w:hint="default"/>
      </w:rPr>
    </w:lvl>
    <w:lvl w:ilvl="5" w:tplc="041D0005" w:tentative="1">
      <w:start w:val="1"/>
      <w:numFmt w:val="bullet"/>
      <w:lvlText w:val=""/>
      <w:lvlJc w:val="left"/>
      <w:pPr>
        <w:tabs>
          <w:tab w:val="num" w:pos="5625"/>
        </w:tabs>
        <w:ind w:left="5625" w:hanging="360"/>
      </w:pPr>
      <w:rPr>
        <w:rFonts w:ascii="Wingdings" w:hAnsi="Wingdings" w:hint="default"/>
      </w:rPr>
    </w:lvl>
    <w:lvl w:ilvl="6" w:tplc="041D0001" w:tentative="1">
      <w:start w:val="1"/>
      <w:numFmt w:val="bullet"/>
      <w:lvlText w:val=""/>
      <w:lvlJc w:val="left"/>
      <w:pPr>
        <w:tabs>
          <w:tab w:val="num" w:pos="6345"/>
        </w:tabs>
        <w:ind w:left="6345" w:hanging="360"/>
      </w:pPr>
      <w:rPr>
        <w:rFonts w:ascii="Symbol" w:hAnsi="Symbol" w:hint="default"/>
      </w:rPr>
    </w:lvl>
    <w:lvl w:ilvl="7" w:tplc="041D0003" w:tentative="1">
      <w:start w:val="1"/>
      <w:numFmt w:val="bullet"/>
      <w:lvlText w:val="o"/>
      <w:lvlJc w:val="left"/>
      <w:pPr>
        <w:tabs>
          <w:tab w:val="num" w:pos="7065"/>
        </w:tabs>
        <w:ind w:left="7065" w:hanging="360"/>
      </w:pPr>
      <w:rPr>
        <w:rFonts w:ascii="Courier New" w:hAnsi="Courier New" w:cs="Courier New" w:hint="default"/>
      </w:rPr>
    </w:lvl>
    <w:lvl w:ilvl="8" w:tplc="041D0005" w:tentative="1">
      <w:start w:val="1"/>
      <w:numFmt w:val="bullet"/>
      <w:lvlText w:val=""/>
      <w:lvlJc w:val="left"/>
      <w:pPr>
        <w:tabs>
          <w:tab w:val="num" w:pos="7785"/>
        </w:tabs>
        <w:ind w:left="7785" w:hanging="360"/>
      </w:pPr>
      <w:rPr>
        <w:rFonts w:ascii="Wingdings" w:hAnsi="Wingdings" w:hint="default"/>
      </w:rPr>
    </w:lvl>
  </w:abstractNum>
  <w:abstractNum w:abstractNumId="11"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12"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13"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534660430">
    <w:abstractNumId w:val="12"/>
  </w:num>
  <w:num w:numId="2" w16cid:durableId="274559025">
    <w:abstractNumId w:val="5"/>
  </w:num>
  <w:num w:numId="3" w16cid:durableId="1587498902">
    <w:abstractNumId w:val="8"/>
  </w:num>
  <w:num w:numId="4" w16cid:durableId="2030791175">
    <w:abstractNumId w:val="11"/>
  </w:num>
  <w:num w:numId="5" w16cid:durableId="1464494393">
    <w:abstractNumId w:val="13"/>
  </w:num>
  <w:num w:numId="6" w16cid:durableId="1992245928">
    <w:abstractNumId w:val="1"/>
  </w:num>
  <w:num w:numId="7" w16cid:durableId="1449812612">
    <w:abstractNumId w:val="9"/>
  </w:num>
  <w:num w:numId="8" w16cid:durableId="628322495">
    <w:abstractNumId w:val="7"/>
  </w:num>
  <w:num w:numId="9" w16cid:durableId="646277611">
    <w:abstractNumId w:val="0"/>
  </w:num>
  <w:num w:numId="10" w16cid:durableId="978727147">
    <w:abstractNumId w:val="3"/>
  </w:num>
  <w:num w:numId="11" w16cid:durableId="1416974179">
    <w:abstractNumId w:val="6"/>
  </w:num>
  <w:num w:numId="12" w16cid:durableId="1424954328">
    <w:abstractNumId w:val="2"/>
  </w:num>
  <w:num w:numId="13" w16cid:durableId="1928340801">
    <w:abstractNumId w:val="10"/>
  </w:num>
  <w:num w:numId="14" w16cid:durableId="16055790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02-23"/>
    <w:docVar w:name="Ar" w:val="2009/10"/>
    <w:docVar w:name="Dep" w:val="Finansdepartementet"/>
    <w:docVar w:name="DepWeb" w:val="Finansdepartementet"/>
    <w:docVar w:name="GDB1" w:val="KOM (2009) 662"/>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Ändrat förslag till Europaparlamentets och rådets beslut om ändring av det interinstitutionella avtalet av den 17 maj 2006 om budgetdisciplin och sund ekonomisk förvaltning med avseende på den fleråriga budgetramen – Finansiering av projekt på energiområdet inom ramen för den ekonomiska återhämtningsplanen för Europa"/>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9) 662"/>
    <w:docVar w:name="Nr" w:val="52"/>
    <w:docVar w:name="RD_APPVERSION" w:val="3.00"/>
    <w:docVar w:name="Rub" w:val="Förslag om revidering av budgetramen"/>
    <w:docVar w:name="UppDat" w:val="2010-02-23"/>
    <w:docVar w:name="Utsk" w:val="Finansutskottet"/>
  </w:docVars>
  <w:rsids>
    <w:rsidRoot w:val="00CC211A"/>
    <w:rsid w:val="005F6147"/>
    <w:rsid w:val="00CC211A"/>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4790C030-BB13-4B8B-84ED-461E0E2A1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styleId="Numreradlista">
    <w:name w:val="List Number"/>
    <w:basedOn w:val="Normal"/>
    <w:pPr>
      <w:numPr>
        <w:numId w:val="7"/>
      </w:numPr>
      <w:spacing w:before="120" w:after="120" w:line="240" w:lineRule="auto"/>
    </w:pPr>
    <w:rPr>
      <w:snapToGrid w:val="0"/>
      <w:sz w:val="24"/>
      <w:szCs w:val="24"/>
      <w:lang w:eastAsia="en-GB"/>
    </w:rPr>
  </w:style>
  <w:style w:type="paragraph" w:customStyle="1" w:styleId="ListNumberLevel2">
    <w:name w:val="List Number (Level 2)"/>
    <w:basedOn w:val="Normal"/>
    <w:pPr>
      <w:numPr>
        <w:ilvl w:val="1"/>
        <w:numId w:val="7"/>
      </w:numPr>
      <w:spacing w:before="120" w:after="120" w:line="240" w:lineRule="auto"/>
    </w:pPr>
    <w:rPr>
      <w:snapToGrid w:val="0"/>
      <w:sz w:val="24"/>
      <w:szCs w:val="24"/>
      <w:lang w:eastAsia="en-GB"/>
    </w:rPr>
  </w:style>
  <w:style w:type="paragraph" w:customStyle="1" w:styleId="ListNumberLevel3">
    <w:name w:val="List Number (Level 3)"/>
    <w:basedOn w:val="Normal"/>
    <w:pPr>
      <w:numPr>
        <w:ilvl w:val="2"/>
        <w:numId w:val="7"/>
      </w:numPr>
      <w:spacing w:before="120" w:after="120" w:line="240" w:lineRule="auto"/>
    </w:pPr>
    <w:rPr>
      <w:snapToGrid w:val="0"/>
      <w:sz w:val="24"/>
      <w:szCs w:val="24"/>
      <w:lang w:eastAsia="en-GB"/>
    </w:rPr>
  </w:style>
  <w:style w:type="paragraph" w:customStyle="1" w:styleId="ListNumberLevel4">
    <w:name w:val="List Number (Level 4)"/>
    <w:basedOn w:val="Normal"/>
    <w:pPr>
      <w:numPr>
        <w:ilvl w:val="3"/>
        <w:numId w:val="7"/>
      </w:numPr>
      <w:spacing w:before="120" w:after="120" w:line="240" w:lineRule="auto"/>
    </w:pPr>
    <w:rPr>
      <w:snapToGrid w:val="0"/>
      <w:sz w:val="24"/>
      <w:szCs w:val="24"/>
      <w:lang w:eastAsia="en-GB"/>
    </w:rPr>
  </w:style>
  <w:style w:type="paragraph" w:customStyle="1" w:styleId="ManualHeading3">
    <w:name w:val="Manual Heading 3"/>
    <w:basedOn w:val="Normal"/>
    <w:next w:val="Normal"/>
    <w:pPr>
      <w:keepNext/>
      <w:tabs>
        <w:tab w:val="left" w:pos="850"/>
      </w:tabs>
      <w:spacing w:before="120" w:after="120" w:line="240" w:lineRule="auto"/>
      <w:ind w:left="850" w:hanging="850"/>
      <w:outlineLvl w:val="2"/>
    </w:pPr>
    <w:rPr>
      <w:i/>
      <w:snapToGrid w:val="0"/>
      <w:sz w:val="24"/>
      <w:szCs w:val="24"/>
      <w:lang w:eastAsia="en-GB"/>
    </w:rPr>
  </w:style>
  <w:style w:type="paragraph" w:customStyle="1" w:styleId="ListDash">
    <w:name w:val="List Dash"/>
    <w:basedOn w:val="Normal"/>
    <w:pPr>
      <w:numPr>
        <w:numId w:val="8"/>
      </w:numPr>
      <w:spacing w:before="120" w:after="120" w:line="240" w:lineRule="auto"/>
    </w:pPr>
    <w:rPr>
      <w:snapToGrid w:val="0"/>
      <w:sz w:val="24"/>
      <w:szCs w:val="24"/>
      <w:lang w:eastAsia="en-GB"/>
    </w:rPr>
  </w:style>
  <w:style w:type="table" w:styleId="Tabellrutnt">
    <w:name w:val="Table Grid"/>
    <w:basedOn w:val="Normaltabell"/>
    <w:pPr>
      <w:spacing w:before="122" w:line="245"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1708</Words>
  <Characters>10812</Characters>
  <Application>Microsoft Office Word</Application>
  <DocSecurity>4</DocSecurity>
  <Lines>235</Lines>
  <Paragraphs>97</Paragraphs>
  <ScaleCrop>false</ScaleCrop>
  <HeadingPairs>
    <vt:vector size="2" baseType="variant">
      <vt:variant>
        <vt:lpstr>Rubrik</vt:lpstr>
      </vt:variant>
      <vt:variant>
        <vt:i4>1</vt:i4>
      </vt:variant>
    </vt:vector>
  </HeadingPairs>
  <TitlesOfParts>
    <vt:vector size="1" baseType="lpstr">
      <vt:lpstr>FPM_200910__52</vt:lpstr>
    </vt:vector>
  </TitlesOfParts>
  <Company>RD-DTSL</Company>
  <LinksUpToDate>false</LinksUpToDate>
  <CharactersWithSpaces>12423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FPM_200910__52</dc:title>
  <dc:subject>FPM_200910__52</dc:subject>
  <dc:creator>Riksdagen</dc:creator>
  <cp:keywords>Riksdagen</cp:keywords>
  <dc:description>KP2004-version.  Ändringarna påverkar enbart användningen inom Riksdagen. 050429 nya departement DTSL.</dc:description>
  <cp:lastModifiedBy>Lars Brink</cp:lastModifiedBy>
  <cp:revision>2</cp:revision>
  <cp:lastPrinted>2010-02-24T08:25:00Z</cp:lastPrinted>
  <dcterms:created xsi:type="dcterms:W3CDTF">2025-12-17T23:21:00Z</dcterms:created>
  <dcterms:modified xsi:type="dcterms:W3CDTF">2025-12-17T23:21:00Z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52</vt:lpwstr>
  </property>
  <property fmtid="{D5CDD505-2E9C-101B-9397-08002B2CF9AE}" pid="4" name="GDB1">
    <vt:lpwstr>KOM (2009) 662</vt:lpwstr>
  </property>
  <property fmtid="{D5CDD505-2E9C-101B-9397-08002B2CF9AE}" pid="5" name="GDT1">
    <vt:lpwstr> </vt:lpwstr>
  </property>
  <property fmtid="{D5CDD505-2E9C-101B-9397-08002B2CF9AE}" pid="6" name="Dep">
    <vt:lpwstr>Finansdepartementet</vt:lpwstr>
  </property>
  <property fmtid="{D5CDD505-2E9C-101B-9397-08002B2CF9AE}" pid="7" name="Rub">
    <vt:lpwstr>Förslag om revidering av budgetramen</vt:lpwstr>
  </property>
  <property fmtid="{D5CDD505-2E9C-101B-9397-08002B2CF9AE}" pid="8" name="UppDat">
    <vt:lpwstr>2010-02-23</vt:lpwstr>
  </property>
  <property fmtid="{D5CDD505-2E9C-101B-9397-08002B2CF9AE}" pid="9" name="AnkDat">
    <vt:lpwstr>2010-02-23</vt:lpwstr>
  </property>
  <property fmtid="{D5CDD505-2E9C-101B-9397-08002B2CF9AE}" pid="10" name="Utsk">
    <vt:lpwstr>Finansutskottet</vt:lpwstr>
  </property>
  <property fmtid="{D5CDD505-2E9C-101B-9397-08002B2CF9AE}" pid="11" name="Ar">
    <vt:lpwstr>2009/10</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6;0;0;256</vt:lpwstr>
  </property>
  <property fmtid="{D5CDD505-2E9C-101B-9397-08002B2CF9AE}" pid="42" name="Sprak">
    <vt:lpwstr>Svenska</vt:lpwstr>
  </property>
  <property fmtid="{D5CDD505-2E9C-101B-9397-08002B2CF9AE}" pid="43" name="DokID">
    <vt:i4>80</vt:i4>
  </property>
</Properties>
</file>