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F1091">
        <w:tblPrEx>
          <w:tblCellMar>
            <w:top w:w="0" w:type="dxa"/>
            <w:bottom w:w="0" w:type="dxa"/>
          </w:tblCellMar>
        </w:tblPrEx>
        <w:trPr>
          <w:cantSplit/>
          <w:trHeight w:hRule="exact" w:val="1260"/>
        </w:trPr>
        <w:tc>
          <w:tcPr>
            <w:tcW w:w="6024" w:type="dxa"/>
            <w:gridSpan w:val="2"/>
            <w:vMerge w:val="restart"/>
          </w:tcPr>
          <w:p w:rsidR="00A357CF" w:rsidRPr="004F1091" w:rsidRDefault="00A357CF">
            <w:pPr>
              <w:pStyle w:val="HuvudRubrik"/>
            </w:pPr>
            <w:bookmarkStart w:id="0" w:name="BetänkandeRubrik"/>
            <w:bookmarkEnd w:id="0"/>
            <w:r w:rsidRPr="004F1091">
              <w:t>Utrikesutskottets yttrande</w:t>
            </w:r>
            <w:r w:rsidR="004F1091" w:rsidRPr="004F109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98274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357CF" w:rsidRPr="004F1091" w:rsidRDefault="00A357CF">
                                  <w:pPr>
                                    <w:pStyle w:val="Logo"/>
                                  </w:pPr>
                                  <w:r w:rsidRPr="004F109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95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357CF" w:rsidRPr="004F1091" w:rsidRDefault="00A357CF">
                            <w:pPr>
                              <w:pStyle w:val="Logo"/>
                            </w:pPr>
                            <w:r w:rsidRPr="004F1091">
                              <w:object w:dxaOrig="840" w:dyaOrig="1545">
                                <v:shape id="_x0000_i1025" type="#_x0000_t75" style="width:90.45pt;height:77.15pt" fillcolor="window">
                                  <v:imagedata r:id="rId6" o:title="" cropright="-75835f"/>
                                </v:shape>
                                <o:OLEObject Type="Embed" ProgID="Word.Picture.8" ShapeID="_x0000_i1025" DrawAspect="Content" ObjectID="_1827347957" r:id="rId8"/>
                              </w:object>
                            </w:r>
                          </w:p>
                        </w:txbxContent>
                      </v:textbox>
                      <w10:wrap anchorx="page" anchory="page"/>
                    </v:shape>
                  </w:pict>
                </mc:Fallback>
              </mc:AlternateContent>
            </w:r>
          </w:p>
          <w:p w:rsidR="00A357CF" w:rsidRPr="004F1091" w:rsidRDefault="00A357CF">
            <w:pPr>
              <w:pStyle w:val="HuvudRubrikRad2"/>
            </w:pPr>
            <w:bookmarkStart w:id="17" w:name="BetänkandeNr"/>
            <w:bookmarkEnd w:id="17"/>
            <w:r w:rsidRPr="004F1091">
              <w:t>1999/2000:UU1y</w:t>
            </w:r>
          </w:p>
          <w:p w:rsidR="00A357CF" w:rsidRPr="004F1091" w:rsidRDefault="00A357CF">
            <w:pPr>
              <w:pStyle w:val="BetnkandeRubrik"/>
            </w:pPr>
            <w:bookmarkStart w:id="18" w:name="Huvudrubrik"/>
            <w:bookmarkEnd w:id="18"/>
            <w:r w:rsidRPr="004F1091">
              <w:t>Ramar för utgiftsområdena 5 och 7 m.m.</w:t>
            </w:r>
          </w:p>
        </w:tc>
        <w:tc>
          <w:tcPr>
            <w:tcW w:w="1559" w:type="dxa"/>
            <w:tcBorders>
              <w:bottom w:val="nil"/>
            </w:tcBorders>
          </w:tcPr>
          <w:p w:rsidR="00A357CF" w:rsidRPr="004F1091" w:rsidRDefault="00A357CF">
            <w:pPr>
              <w:spacing w:before="0" w:line="230" w:lineRule="auto"/>
              <w:rPr>
                <w:sz w:val="24"/>
              </w:rPr>
            </w:pPr>
          </w:p>
        </w:tc>
      </w:tr>
      <w:tr w:rsidR="00000000" w:rsidRPr="004F1091">
        <w:tblPrEx>
          <w:tblCellMar>
            <w:top w:w="0" w:type="dxa"/>
            <w:bottom w:w="0" w:type="dxa"/>
          </w:tblCellMar>
        </w:tblPrEx>
        <w:trPr>
          <w:cantSplit/>
          <w:trHeight w:hRule="exact" w:val="240"/>
        </w:trPr>
        <w:tc>
          <w:tcPr>
            <w:tcW w:w="6024" w:type="dxa"/>
            <w:gridSpan w:val="2"/>
            <w:vMerge/>
            <w:tcBorders>
              <w:top w:val="nil"/>
              <w:bottom w:val="nil"/>
            </w:tcBorders>
          </w:tcPr>
          <w:p w:rsidR="00A357CF" w:rsidRPr="004F1091" w:rsidRDefault="00A357CF">
            <w:pPr>
              <w:spacing w:before="40" w:after="900" w:line="280" w:lineRule="exact"/>
              <w:jc w:val="left"/>
              <w:rPr>
                <w:sz w:val="28"/>
              </w:rPr>
            </w:pPr>
          </w:p>
        </w:tc>
        <w:tc>
          <w:tcPr>
            <w:tcW w:w="1559" w:type="dxa"/>
          </w:tcPr>
          <w:p w:rsidR="00A357CF" w:rsidRPr="004F1091" w:rsidRDefault="00A357CF">
            <w:pPr>
              <w:pStyle w:val="rtal"/>
            </w:pPr>
            <w:r w:rsidRPr="004F1091">
              <w:t>1999/2000</w:t>
            </w:r>
          </w:p>
        </w:tc>
      </w:tr>
      <w:tr w:rsidR="00000000" w:rsidRPr="004F1091">
        <w:tblPrEx>
          <w:tblCellMar>
            <w:top w:w="0" w:type="dxa"/>
            <w:bottom w:w="0" w:type="dxa"/>
          </w:tblCellMar>
        </w:tblPrEx>
        <w:trPr>
          <w:cantSplit/>
          <w:trHeight w:val="560"/>
        </w:trPr>
        <w:tc>
          <w:tcPr>
            <w:tcW w:w="6024" w:type="dxa"/>
            <w:gridSpan w:val="2"/>
            <w:vMerge/>
            <w:tcBorders>
              <w:top w:val="nil"/>
              <w:bottom w:val="single" w:sz="6" w:space="0" w:color="auto"/>
            </w:tcBorders>
          </w:tcPr>
          <w:p w:rsidR="00A357CF" w:rsidRPr="004F1091" w:rsidRDefault="00A357CF">
            <w:pPr>
              <w:spacing w:before="40" w:after="900" w:line="280" w:lineRule="exact"/>
              <w:jc w:val="left"/>
              <w:rPr>
                <w:sz w:val="28"/>
              </w:rPr>
            </w:pPr>
          </w:p>
        </w:tc>
        <w:tc>
          <w:tcPr>
            <w:tcW w:w="1559" w:type="dxa"/>
            <w:tcBorders>
              <w:bottom w:val="single" w:sz="6" w:space="0" w:color="auto"/>
            </w:tcBorders>
          </w:tcPr>
          <w:p w:rsidR="00A357CF" w:rsidRPr="004F1091" w:rsidRDefault="00A357CF">
            <w:pPr>
              <w:pStyle w:val="rtal"/>
            </w:pPr>
            <w:r w:rsidRPr="004F1091">
              <w:t>UU1y</w:t>
            </w:r>
          </w:p>
        </w:tc>
      </w:tr>
      <w:tr w:rsidR="00000000" w:rsidRPr="004F1091">
        <w:tblPrEx>
          <w:tblCellMar>
            <w:top w:w="0" w:type="dxa"/>
            <w:bottom w:w="0" w:type="dxa"/>
          </w:tblCellMar>
        </w:tblPrEx>
        <w:trPr>
          <w:cantSplit/>
          <w:trHeight w:hRule="exact" w:val="660"/>
        </w:trPr>
        <w:tc>
          <w:tcPr>
            <w:tcW w:w="3012" w:type="dxa"/>
          </w:tcPr>
          <w:p w:rsidR="00A357CF" w:rsidRPr="004F1091" w:rsidRDefault="00A357CF">
            <w:pPr>
              <w:pStyle w:val="StatusSida1"/>
            </w:pPr>
          </w:p>
        </w:tc>
        <w:tc>
          <w:tcPr>
            <w:tcW w:w="3012" w:type="dxa"/>
          </w:tcPr>
          <w:p w:rsidR="00A357CF" w:rsidRPr="004F1091" w:rsidRDefault="00A357CF">
            <w:pPr>
              <w:pStyle w:val="UtskriftsdatumSida1"/>
              <w:rPr>
                <w:b/>
                <w:sz w:val="28"/>
              </w:rPr>
            </w:pPr>
          </w:p>
        </w:tc>
        <w:tc>
          <w:tcPr>
            <w:tcW w:w="1559" w:type="dxa"/>
          </w:tcPr>
          <w:p w:rsidR="00A357CF" w:rsidRPr="004F1091" w:rsidRDefault="00A357CF"/>
        </w:tc>
      </w:tr>
    </w:tbl>
    <w:p w:rsidR="00A357CF" w:rsidRPr="004F1091" w:rsidRDefault="00A357CF">
      <w:pPr>
        <w:pStyle w:val="Rubrik1"/>
        <w:spacing w:before="0"/>
      </w:pPr>
      <w:bookmarkStart w:id="19" w:name="_Toc465764662"/>
      <w:r w:rsidRPr="004F1091">
        <w:t>Till finansutskottet</w:t>
      </w:r>
      <w:bookmarkEnd w:id="19"/>
    </w:p>
    <w:p w:rsidR="00A357CF" w:rsidRPr="004F1091" w:rsidRDefault="00A357CF">
      <w:bookmarkStart w:id="20" w:name="Textstart"/>
      <w:bookmarkEnd w:id="20"/>
      <w:r w:rsidRPr="004F1091">
        <w:t>Finansutskottet har genom beslut den 30 september 1999 berett övriga berö</w:t>
      </w:r>
      <w:r w:rsidRPr="004F1091">
        <w:t>r</w:t>
      </w:r>
      <w:r w:rsidRPr="004F1091">
        <w:t>da utskott tillfälle att avge yttrande över proposition 1999/2000:1 Budge</w:t>
      </w:r>
      <w:r w:rsidRPr="004F1091">
        <w:t>t</w:t>
      </w:r>
      <w:r w:rsidRPr="004F1091">
        <w:t>propositionen för år 2000 (volym 1) i vad avser den ekonomiska politiken och förslag till statsbudget för budgetåret 2000, utgifternas fördelning på utgiftsområden och beräkning av statsinkomsterna, låneramar m.m. (yrka</w:t>
      </w:r>
      <w:r w:rsidRPr="004F1091">
        <w:t>n</w:t>
      </w:r>
      <w:r w:rsidRPr="004F1091">
        <w:t>dena 1–14 och 22–38) jämte motioner i de delar som berör respektive u</w:t>
      </w:r>
      <w:r w:rsidRPr="004F1091">
        <w:t>t</w:t>
      </w:r>
      <w:r w:rsidRPr="004F1091">
        <w:t>skotts beredning</w:t>
      </w:r>
      <w:r w:rsidRPr="004F1091">
        <w:t>s</w:t>
      </w:r>
      <w:r w:rsidRPr="004F1091">
        <w:t>område.</w:t>
      </w:r>
    </w:p>
    <w:p w:rsidR="00A357CF" w:rsidRPr="004F1091" w:rsidRDefault="00A357CF">
      <w:pPr>
        <w:pStyle w:val="Normaltindrag"/>
      </w:pPr>
      <w:r w:rsidRPr="004F1091">
        <w:t xml:space="preserve">Utrikesutskottet väljer att i det följande yttra sig över </w:t>
      </w:r>
      <w:r w:rsidRPr="004F1091">
        <w:rPr>
          <w:i/>
        </w:rPr>
        <w:t>propositionens y</w:t>
      </w:r>
      <w:r w:rsidRPr="004F1091">
        <w:rPr>
          <w:i/>
        </w:rPr>
        <w:t>r</w:t>
      </w:r>
      <w:r w:rsidRPr="004F1091">
        <w:rPr>
          <w:i/>
        </w:rPr>
        <w:t>kanden 6 och 8, båda i berörd del,</w:t>
      </w:r>
      <w:r w:rsidRPr="004F1091">
        <w:t xml:space="preserve"> samt över de yrkanden i motionerna </w:t>
      </w:r>
      <w:r w:rsidRPr="004F1091">
        <w:rPr>
          <w:i/>
        </w:rPr>
        <w:t>1999/2000:Fi209 (m), 1999/2000:Fi210 (kd), 1999/2000:Fi211 (c)</w:t>
      </w:r>
      <w:r w:rsidRPr="004F1091">
        <w:rPr>
          <w:b/>
        </w:rPr>
        <w:t xml:space="preserve"> </w:t>
      </w:r>
      <w:r w:rsidRPr="004F1091">
        <w:t>och</w:t>
      </w:r>
      <w:r w:rsidRPr="004F1091">
        <w:rPr>
          <w:b/>
        </w:rPr>
        <w:t xml:space="preserve"> </w:t>
      </w:r>
      <w:r w:rsidRPr="004F1091">
        <w:rPr>
          <w:i/>
        </w:rPr>
        <w:t>1999/2000:Fi212 (fp)</w:t>
      </w:r>
      <w:r w:rsidRPr="004F1091">
        <w:rPr>
          <w:b/>
        </w:rPr>
        <w:t xml:space="preserve"> </w:t>
      </w:r>
      <w:r w:rsidRPr="004F1091">
        <w:t xml:space="preserve"> som berör utskottets beredning</w:t>
      </w:r>
      <w:r w:rsidRPr="004F1091">
        <w:t>s</w:t>
      </w:r>
      <w:r w:rsidRPr="004F1091">
        <w:t xml:space="preserve">område. </w:t>
      </w:r>
    </w:p>
    <w:p w:rsidR="00A357CF" w:rsidRPr="004F1091" w:rsidRDefault="00A357CF">
      <w:pPr>
        <w:pStyle w:val="Normaltindrag"/>
      </w:pPr>
      <w:r w:rsidRPr="004F1091">
        <w:t xml:space="preserve">Vidare överlämnas med yttrandet, under förutsättning av finansutskottets accepterande härav, motion </w:t>
      </w:r>
      <w:r w:rsidRPr="004F1091">
        <w:rPr>
          <w:i/>
        </w:rPr>
        <w:t>1999/2000:U306 (m) yrkande 5.</w:t>
      </w:r>
      <w:r w:rsidRPr="004F1091">
        <w:t xml:space="preserve"> </w:t>
      </w:r>
    </w:p>
    <w:p w:rsidR="00A357CF" w:rsidRPr="004F1091" w:rsidRDefault="00A357CF">
      <w:pPr>
        <w:pStyle w:val="Rubrik2"/>
      </w:pPr>
      <w:bookmarkStart w:id="21" w:name="_Toc465764663"/>
      <w:r w:rsidRPr="004F1091">
        <w:t>Propositionen</w:t>
      </w:r>
      <w:bookmarkEnd w:id="21"/>
    </w:p>
    <w:p w:rsidR="00A357CF" w:rsidRPr="004F1091" w:rsidRDefault="00A357CF">
      <w:pPr>
        <w:pStyle w:val="Rubrik3"/>
        <w:spacing w:before="123"/>
      </w:pPr>
      <w:bookmarkStart w:id="22" w:name="_Toc465764664"/>
      <w:r w:rsidRPr="004F1091">
        <w:t>Yrkandena</w:t>
      </w:r>
      <w:bookmarkEnd w:id="22"/>
    </w:p>
    <w:p w:rsidR="00A357CF" w:rsidRPr="004F1091" w:rsidRDefault="00A357CF">
      <w:r w:rsidRPr="004F1091">
        <w:t xml:space="preserve">Utrikesutskottets beredningsområde berörs, såvitt avser den ekonomiska politiken och förslag till budgeten, primärt av propositionens yrkanden 6 </w:t>
      </w:r>
      <w:r w:rsidRPr="004F1091">
        <w:br/>
        <w:t>och 8.</w:t>
      </w:r>
    </w:p>
    <w:p w:rsidR="00A357CF" w:rsidRPr="004F1091" w:rsidRDefault="00A357CF">
      <w:pPr>
        <w:pStyle w:val="Rubrik2"/>
      </w:pPr>
      <w:bookmarkStart w:id="23" w:name="_Toc465764665"/>
      <w:r w:rsidRPr="004F1091">
        <w:t>Sammanfattning av propositionen</w:t>
      </w:r>
      <w:bookmarkEnd w:id="23"/>
    </w:p>
    <w:p w:rsidR="00A357CF" w:rsidRPr="004F1091" w:rsidRDefault="00A357CF">
      <w:r w:rsidRPr="004F1091">
        <w:t xml:space="preserve">I </w:t>
      </w:r>
      <w:r w:rsidRPr="004F1091">
        <w:rPr>
          <w:i/>
        </w:rPr>
        <w:t>yrkande 6</w:t>
      </w:r>
      <w:r w:rsidRPr="004F1091">
        <w:t xml:space="preserve"> föreslås vad avser utrikesutskottets beredningsområde att för år 2000 2 983 393 tkr fördelas till </w:t>
      </w:r>
      <w:r w:rsidRPr="004F1091">
        <w:rPr>
          <w:i/>
        </w:rPr>
        <w:t>utgiftsområde 5</w:t>
      </w:r>
      <w:r w:rsidRPr="004F1091">
        <w:t xml:space="preserve"> och 13 236 909 tkr till </w:t>
      </w:r>
      <w:r w:rsidRPr="004F1091">
        <w:rPr>
          <w:i/>
        </w:rPr>
        <w:t>u</w:t>
      </w:r>
      <w:r w:rsidRPr="004F1091">
        <w:rPr>
          <w:i/>
        </w:rPr>
        <w:t>t</w:t>
      </w:r>
      <w:r w:rsidRPr="004F1091">
        <w:rPr>
          <w:i/>
        </w:rPr>
        <w:t>giftsområde 7</w:t>
      </w:r>
      <w:r w:rsidRPr="004F1091">
        <w:t xml:space="preserve"> (i bilagan till detta yttrande avrundat till 13 237 mkr). Vidare föreslås </w:t>
      </w:r>
      <w:r w:rsidRPr="004F1091">
        <w:rPr>
          <w:i/>
        </w:rPr>
        <w:t>(yrkande 8)</w:t>
      </w:r>
      <w:r w:rsidRPr="004F1091">
        <w:rPr>
          <w:b/>
        </w:rPr>
        <w:t xml:space="preserve"> </w:t>
      </w:r>
      <w:r w:rsidRPr="004F1091">
        <w:t>att följande preliminära fördelning av utgifter (i mkr) på nämnda utgiftsområden för budgetåren 2001 och 2002 godkänns som rik</w:t>
      </w:r>
      <w:r w:rsidRPr="004F1091">
        <w:t>t</w:t>
      </w:r>
      <w:r w:rsidRPr="004F1091">
        <w:t>linje för regeringens budgetarbete.</w:t>
      </w:r>
    </w:p>
    <w:p w:rsidR="00A357CF" w:rsidRPr="004F1091" w:rsidRDefault="00A357CF">
      <w:pPr>
        <w:pStyle w:val="Normaltindrag"/>
        <w:spacing w:line="20" w:lineRule="exact"/>
      </w:pPr>
      <w:r w:rsidRPr="004F1091">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4F1091">
        <w:tblPrEx>
          <w:tblCellMar>
            <w:top w:w="0" w:type="dxa"/>
            <w:bottom w:w="0" w:type="dxa"/>
          </w:tblCellMar>
        </w:tblPrEx>
        <w:tc>
          <w:tcPr>
            <w:tcW w:w="2012" w:type="dxa"/>
            <w:shd w:val="pct35" w:color="auto" w:fill="FFFFFF"/>
          </w:tcPr>
          <w:p w:rsidR="00A357CF" w:rsidRPr="004F1091" w:rsidRDefault="00A357CF">
            <w:pPr>
              <w:pStyle w:val="Normaltindrag"/>
              <w:ind w:firstLine="0"/>
            </w:pPr>
          </w:p>
        </w:tc>
        <w:tc>
          <w:tcPr>
            <w:tcW w:w="2012" w:type="dxa"/>
          </w:tcPr>
          <w:p w:rsidR="00A357CF" w:rsidRPr="004F1091" w:rsidRDefault="00A357CF">
            <w:pPr>
              <w:pStyle w:val="Normaltindrag"/>
              <w:ind w:firstLine="0"/>
              <w:jc w:val="center"/>
              <w:rPr>
                <w:b/>
              </w:rPr>
            </w:pPr>
            <w:r w:rsidRPr="004F1091">
              <w:rPr>
                <w:b/>
              </w:rPr>
              <w:t>2001</w:t>
            </w:r>
          </w:p>
        </w:tc>
        <w:tc>
          <w:tcPr>
            <w:tcW w:w="2012" w:type="dxa"/>
          </w:tcPr>
          <w:p w:rsidR="00A357CF" w:rsidRPr="004F1091" w:rsidRDefault="00A357CF">
            <w:pPr>
              <w:pStyle w:val="Normaltindrag"/>
              <w:ind w:firstLine="0"/>
              <w:jc w:val="center"/>
              <w:rPr>
                <w:b/>
              </w:rPr>
            </w:pPr>
            <w:r w:rsidRPr="004F1091">
              <w:rPr>
                <w:b/>
              </w:rPr>
              <w:t>2002</w:t>
            </w:r>
          </w:p>
        </w:tc>
      </w:tr>
      <w:tr w:rsidR="00000000" w:rsidRPr="004F1091">
        <w:tblPrEx>
          <w:tblCellMar>
            <w:top w:w="0" w:type="dxa"/>
            <w:bottom w:w="0" w:type="dxa"/>
          </w:tblCellMar>
        </w:tblPrEx>
        <w:tc>
          <w:tcPr>
            <w:tcW w:w="2012" w:type="dxa"/>
          </w:tcPr>
          <w:p w:rsidR="00A357CF" w:rsidRPr="004F1091" w:rsidRDefault="00A357CF">
            <w:pPr>
              <w:pStyle w:val="Normaltindrag"/>
              <w:ind w:firstLine="0"/>
              <w:rPr>
                <w:b/>
              </w:rPr>
            </w:pPr>
            <w:r w:rsidRPr="004F1091">
              <w:rPr>
                <w:b/>
              </w:rPr>
              <w:t>Utgiftsområde 5</w:t>
            </w:r>
          </w:p>
        </w:tc>
        <w:tc>
          <w:tcPr>
            <w:tcW w:w="2012" w:type="dxa"/>
          </w:tcPr>
          <w:p w:rsidR="00A357CF" w:rsidRPr="004F1091" w:rsidRDefault="00A357CF">
            <w:pPr>
              <w:pStyle w:val="Normaltindrag"/>
              <w:ind w:firstLine="0"/>
              <w:jc w:val="right"/>
            </w:pPr>
            <w:r w:rsidRPr="004F1091">
              <w:t>3 027</w:t>
            </w:r>
          </w:p>
        </w:tc>
        <w:tc>
          <w:tcPr>
            <w:tcW w:w="2012" w:type="dxa"/>
            <w:tcBorders>
              <w:bottom w:val="nil"/>
            </w:tcBorders>
          </w:tcPr>
          <w:p w:rsidR="00A357CF" w:rsidRPr="004F1091" w:rsidRDefault="00A357CF">
            <w:pPr>
              <w:pStyle w:val="Normaltindrag"/>
              <w:ind w:firstLine="0"/>
              <w:jc w:val="right"/>
            </w:pPr>
            <w:r w:rsidRPr="004F1091">
              <w:t>3 066</w:t>
            </w:r>
          </w:p>
        </w:tc>
      </w:tr>
      <w:tr w:rsidR="00000000" w:rsidRPr="004F1091">
        <w:tblPrEx>
          <w:tblCellMar>
            <w:top w:w="0" w:type="dxa"/>
            <w:bottom w:w="0" w:type="dxa"/>
          </w:tblCellMar>
        </w:tblPrEx>
        <w:tc>
          <w:tcPr>
            <w:tcW w:w="2012" w:type="dxa"/>
          </w:tcPr>
          <w:p w:rsidR="00A357CF" w:rsidRPr="004F1091" w:rsidRDefault="00A357CF">
            <w:pPr>
              <w:pStyle w:val="Normaltindrag"/>
              <w:ind w:firstLine="0"/>
              <w:rPr>
                <w:b/>
              </w:rPr>
            </w:pPr>
            <w:r w:rsidRPr="004F1091">
              <w:rPr>
                <w:b/>
              </w:rPr>
              <w:t>Utgiftsområde 7</w:t>
            </w:r>
          </w:p>
        </w:tc>
        <w:tc>
          <w:tcPr>
            <w:tcW w:w="2012" w:type="dxa"/>
          </w:tcPr>
          <w:p w:rsidR="00A357CF" w:rsidRPr="004F1091" w:rsidRDefault="00A357CF">
            <w:pPr>
              <w:pStyle w:val="Normaltindrag"/>
              <w:ind w:firstLine="0"/>
              <w:jc w:val="right"/>
            </w:pPr>
            <w:r w:rsidRPr="004F1091">
              <w:t>14 358</w:t>
            </w:r>
          </w:p>
        </w:tc>
        <w:tc>
          <w:tcPr>
            <w:tcW w:w="2012" w:type="dxa"/>
          </w:tcPr>
          <w:p w:rsidR="00A357CF" w:rsidRPr="004F1091" w:rsidRDefault="00A357CF">
            <w:pPr>
              <w:pStyle w:val="Normaltindrag"/>
              <w:ind w:firstLine="0"/>
              <w:jc w:val="right"/>
            </w:pPr>
            <w:r w:rsidRPr="004F1091">
              <w:t>14 326</w:t>
            </w:r>
          </w:p>
        </w:tc>
      </w:tr>
    </w:tbl>
    <w:p w:rsidR="00A357CF" w:rsidRPr="004F1091" w:rsidRDefault="00A357CF">
      <w:pPr>
        <w:pStyle w:val="Normaltindrag"/>
      </w:pPr>
    </w:p>
    <w:p w:rsidR="00A357CF" w:rsidRPr="004F1091" w:rsidRDefault="00A357CF">
      <w:r w:rsidRPr="004F1091">
        <w:t>I samtliga fall är föreslagna belopp högre än motsvarande förslag i den ek</w:t>
      </w:r>
      <w:r w:rsidRPr="004F1091">
        <w:t>o</w:t>
      </w:r>
      <w:r w:rsidRPr="004F1091">
        <w:t xml:space="preserve">nomiska vårpropositionen. Förändringarna avseende </w:t>
      </w:r>
      <w:r w:rsidRPr="004F1091">
        <w:rPr>
          <w:i/>
        </w:rPr>
        <w:t>utgiftsområde 5</w:t>
      </w:r>
      <w:r w:rsidRPr="004F1091">
        <w:t xml:space="preserve"> är hänförliga till kostnader för premier för statens avtalsförsäkringar samt till vissa valutakursförändringar.</w:t>
      </w:r>
    </w:p>
    <w:p w:rsidR="00A357CF" w:rsidRPr="004F1091" w:rsidRDefault="00A357CF">
      <w:pPr>
        <w:pStyle w:val="Normaltindrag"/>
      </w:pPr>
      <w:r w:rsidRPr="004F1091">
        <w:t>I sin motivering till förslagen anger regeringen att upprevideringen av til</w:t>
      </w:r>
      <w:r w:rsidRPr="004F1091">
        <w:t>l</w:t>
      </w:r>
      <w:r w:rsidRPr="004F1091">
        <w:t>växten och den därmed högre bruttonationalinkomsten innebär att utgiftsr</w:t>
      </w:r>
      <w:r w:rsidRPr="004F1091">
        <w:t>a</w:t>
      </w:r>
      <w:r w:rsidRPr="004F1091">
        <w:t xml:space="preserve">marna för </w:t>
      </w:r>
      <w:r w:rsidRPr="004F1091">
        <w:rPr>
          <w:i/>
        </w:rPr>
        <w:t>utgiftsområde 7</w:t>
      </w:r>
      <w:r w:rsidRPr="004F1091">
        <w:t xml:space="preserve"> blir större. Därutöver innebär övergången till det nya europeiska nationalräkenskapssystemet (ENS 95) att den redovisade bruttonationalinkomsten ökar med omkring 80 miljarder kronor under de kommande åren, vilket i sin tur medför att biståndsramen höjs med 0,6–0,7 miljarder kronor per år under den kommande treårsperioden. En förändring med motsatt innebörd är att avräkningarna på biståndsramen ökar jämfört me</w:t>
      </w:r>
      <w:r w:rsidRPr="004F1091">
        <w:t>d de uppgifter som redovisades i 1999 års ekonomiska vårproposition.</w:t>
      </w:r>
    </w:p>
    <w:p w:rsidR="00A357CF" w:rsidRPr="004F1091" w:rsidRDefault="00A357CF">
      <w:pPr>
        <w:pStyle w:val="Normaltindrag"/>
      </w:pPr>
      <w:r w:rsidRPr="004F1091">
        <w:t>Regeringen anför vidare att den har för avsikt att fatta beslut om begrän</w:t>
      </w:r>
      <w:r w:rsidRPr="004F1091">
        <w:t>s</w:t>
      </w:r>
      <w:r w:rsidRPr="004F1091">
        <w:t>ningsbelopp för att säkerställa att förbrukningen på vissa anslag och utgift</w:t>
      </w:r>
      <w:r w:rsidRPr="004F1091">
        <w:t>s</w:t>
      </w:r>
      <w:r w:rsidRPr="004F1091">
        <w:t>områden inte överstiger vissa bestämda nivåer under år 2000. De medel som inte utnyttjas år 2000 till följd av begränsningsbeloppen kommer inte aut</w:t>
      </w:r>
      <w:r w:rsidRPr="004F1091">
        <w:t>o</w:t>
      </w:r>
      <w:r w:rsidRPr="004F1091">
        <w:t>matiskt att dras in utan kan efter regeringens prövning föras över till efte</w:t>
      </w:r>
      <w:r w:rsidRPr="004F1091">
        <w:t>r</w:t>
      </w:r>
      <w:r w:rsidRPr="004F1091">
        <w:t>följande år i form av ett anslagssparande eller reservationsmedelsbehål</w:t>
      </w:r>
      <w:r w:rsidRPr="004F1091">
        <w:t>l</w:t>
      </w:r>
      <w:r w:rsidRPr="004F1091">
        <w:t>ning.</w:t>
      </w:r>
    </w:p>
    <w:p w:rsidR="00A357CF" w:rsidRPr="004F1091" w:rsidRDefault="00A357CF">
      <w:pPr>
        <w:pStyle w:val="Normaltindrag"/>
      </w:pPr>
      <w:r w:rsidRPr="004F1091">
        <w:t>På annat ställe i propositionen anförs att begränsningsbeloppet som gäller för det internationella utvecklingssamarbetet år 1999 be</w:t>
      </w:r>
      <w:r w:rsidRPr="004F1091">
        <w:t>räknas ha inneburit senareläggningar av planerade projekt m.m. omfattande ca 2,9 miljarder kronor. Regeringen kommer att införa begränsningsbelopp för det internati</w:t>
      </w:r>
      <w:r w:rsidRPr="004F1091">
        <w:t>o</w:t>
      </w:r>
      <w:r w:rsidRPr="004F1091">
        <w:t>nella biståndet även år 2000. Begränsningsbeloppet kommer att sättas på en sådan nivå att de projekt m.m. som senarelagts till följd av utgiftsbegrän</w:t>
      </w:r>
      <w:r w:rsidRPr="004F1091">
        <w:t>s</w:t>
      </w:r>
      <w:r w:rsidRPr="004F1091">
        <w:t>ningen 1999 i stället kan genomföras år 2000. I den ekonomiska vårpropos</w:t>
      </w:r>
      <w:r w:rsidRPr="004F1091">
        <w:t>i</w:t>
      </w:r>
      <w:r w:rsidRPr="004F1091">
        <w:t>tionen nästa år kommer regeringen att närmare informera om de vidtagna åtgärdernas inn</w:t>
      </w:r>
      <w:r w:rsidRPr="004F1091">
        <w:t>e</w:t>
      </w:r>
      <w:r w:rsidRPr="004F1091">
        <w:t>börd och omfattning.</w:t>
      </w:r>
    </w:p>
    <w:p w:rsidR="00A357CF" w:rsidRPr="004F1091" w:rsidRDefault="00A357CF">
      <w:pPr>
        <w:pStyle w:val="Normaltindrag"/>
      </w:pPr>
    </w:p>
    <w:p w:rsidR="00A357CF" w:rsidRPr="004F1091" w:rsidRDefault="00A357CF">
      <w:pPr>
        <w:pStyle w:val="Normaltindrag"/>
      </w:pPr>
    </w:p>
    <w:p w:rsidR="00A357CF" w:rsidRPr="004F1091" w:rsidRDefault="00A357CF">
      <w:pPr>
        <w:pStyle w:val="Rubrik2"/>
        <w:spacing w:before="123"/>
      </w:pPr>
      <w:bookmarkStart w:id="24" w:name="_Toc465764666"/>
      <w:r w:rsidRPr="004F1091">
        <w:t>Motionerna</w:t>
      </w:r>
      <w:bookmarkEnd w:id="24"/>
    </w:p>
    <w:p w:rsidR="00A357CF" w:rsidRPr="004F1091" w:rsidRDefault="00A357CF">
      <w:pPr>
        <w:pStyle w:val="Rubrik3"/>
        <w:spacing w:before="123"/>
      </w:pPr>
      <w:bookmarkStart w:id="25" w:name="_Toc465764667"/>
      <w:r w:rsidRPr="004F1091">
        <w:t>Motionsyrkandena</w:t>
      </w:r>
      <w:bookmarkEnd w:id="25"/>
    </w:p>
    <w:p w:rsidR="00A357CF" w:rsidRPr="004F1091" w:rsidRDefault="00A357CF">
      <w:r w:rsidRPr="004F1091">
        <w:t>Utrikesutskottet yttrar sig i det följande över motionerna 1999/2000:U306 (m) yrkande 5, 1999/2000:Fi209 (m) yrkandena 8 och 10 (båda i berörd del), 1999/2000:Fi210 (kd) yrkandena 4 och 5 (båda i berörd del), 1999/2000:Fi211 (c) yrkandena 11 och 12 (båda i berörd del) och 1999/2000:Fi212 (fp) yrkandena 4 och 6 (båda i berörd del).</w:t>
      </w:r>
    </w:p>
    <w:p w:rsidR="00A357CF" w:rsidRPr="004F1091" w:rsidRDefault="00A357CF">
      <w:pPr>
        <w:pStyle w:val="Rubrik3"/>
      </w:pPr>
      <w:bookmarkStart w:id="26" w:name="_Toc465764668"/>
      <w:r w:rsidRPr="004F1091">
        <w:t>Sammanfattning av motionerna</w:t>
      </w:r>
      <w:bookmarkEnd w:id="26"/>
    </w:p>
    <w:p w:rsidR="00A357CF" w:rsidRPr="004F1091" w:rsidRDefault="00A357CF">
      <w:r w:rsidRPr="004F1091">
        <w:t xml:space="preserve">I motion </w:t>
      </w:r>
      <w:r w:rsidRPr="004F1091">
        <w:rPr>
          <w:i/>
        </w:rPr>
        <w:t>U306 (m) yrkande 5</w:t>
      </w:r>
      <w:r w:rsidRPr="004F1091">
        <w:t xml:space="preserve"> föreslås att anslaget B 4 Fredsfrämjande ver</w:t>
      </w:r>
      <w:r w:rsidRPr="004F1091">
        <w:t>k</w:t>
      </w:r>
      <w:r w:rsidRPr="004F1091">
        <w:t xml:space="preserve">samhet under </w:t>
      </w:r>
      <w:r w:rsidRPr="004F1091">
        <w:rPr>
          <w:i/>
        </w:rPr>
        <w:t>utgiftsområde 5</w:t>
      </w:r>
      <w:r w:rsidRPr="004F1091">
        <w:t xml:space="preserve"> avvecklas och förs över till </w:t>
      </w:r>
      <w:r w:rsidRPr="004F1091">
        <w:rPr>
          <w:i/>
        </w:rPr>
        <w:t xml:space="preserve">utgiftsområde 7 </w:t>
      </w:r>
      <w:r w:rsidRPr="004F1091">
        <w:t>där en samlad post skapas för all fredsfrämjande och konfliktförebyggande verksamhet.</w:t>
      </w:r>
    </w:p>
    <w:p w:rsidR="00A357CF" w:rsidRPr="004F1091" w:rsidRDefault="00A357CF">
      <w:r w:rsidRPr="004F1091">
        <w:t xml:space="preserve">Moderaterna anför i sin partimotion </w:t>
      </w:r>
      <w:r w:rsidRPr="004F1091">
        <w:rPr>
          <w:i/>
        </w:rPr>
        <w:t>Fi209 (m) yrkandena 8 och 10 (båda i berörd del)</w:t>
      </w:r>
      <w:r w:rsidRPr="004F1091">
        <w:t xml:space="preserve"> beträffande </w:t>
      </w:r>
      <w:r w:rsidRPr="004F1091">
        <w:rPr>
          <w:i/>
        </w:rPr>
        <w:t>utgiftsområde 5</w:t>
      </w:r>
      <w:r w:rsidRPr="004F1091">
        <w:t xml:space="preserve"> att utrikesförvaltningen bör förstä</w:t>
      </w:r>
      <w:r w:rsidRPr="004F1091">
        <w:t>r</w:t>
      </w:r>
      <w:r w:rsidRPr="004F1091">
        <w:t xml:space="preserve">kas. Vad gäller </w:t>
      </w:r>
      <w:r w:rsidRPr="004F1091">
        <w:rPr>
          <w:i/>
        </w:rPr>
        <w:t>utgiftsområde 7</w:t>
      </w:r>
      <w:r w:rsidRPr="004F1091">
        <w:t xml:space="preserve"> anförs bl.a. att ett nytt anslag C 1 Fred</w:t>
      </w:r>
      <w:r w:rsidRPr="004F1091">
        <w:t>s</w:t>
      </w:r>
      <w:r w:rsidRPr="004F1091">
        <w:t>främjande truppinsatser och verksamheter bör inrättas. Den s.k. Östersjömi</w:t>
      </w:r>
      <w:r w:rsidRPr="004F1091">
        <w:t>l</w:t>
      </w:r>
      <w:r w:rsidRPr="004F1091">
        <w:t>jarden bör upplösas och medel tillföras anslaget B 1 Samarbete med Central- och Östeuropa. Föreslagna belopp framgår av bilagan till detta yttrande.</w:t>
      </w:r>
    </w:p>
    <w:p w:rsidR="00A357CF" w:rsidRPr="004F1091" w:rsidRDefault="00A357CF">
      <w:pPr>
        <w:pStyle w:val="Normaltindrag"/>
      </w:pPr>
      <w:r w:rsidRPr="004F1091">
        <w:t>Partiets motiveringar för förslagen utvecklas i motioner som kommer att behandlas i utrikesutskottet.</w:t>
      </w:r>
    </w:p>
    <w:p w:rsidR="00A357CF" w:rsidRPr="004F1091" w:rsidRDefault="00A357CF">
      <w:pPr>
        <w:pStyle w:val="Normaltindrag"/>
      </w:pPr>
      <w:r w:rsidRPr="004F1091">
        <w:t>Även Kristdemokraterna, Centern och Folkpartiet anför i sina ekonomisk-politiska motioner sina motiv för de budgetförslag som presenteras i respe</w:t>
      </w:r>
      <w:r w:rsidRPr="004F1091">
        <w:t>k</w:t>
      </w:r>
      <w:r w:rsidRPr="004F1091">
        <w:t>tive motion, varvid respektive partis prioriteringar särskilt framhålls. Partie</w:t>
      </w:r>
      <w:r w:rsidRPr="004F1091">
        <w:t>r</w:t>
      </w:r>
      <w:r w:rsidRPr="004F1091">
        <w:t>nas synpunkter i dessa avseenden utvecklas vidare i motioner som remitterats till utrikesu</w:t>
      </w:r>
      <w:r w:rsidRPr="004F1091">
        <w:t>t</w:t>
      </w:r>
      <w:r w:rsidRPr="004F1091">
        <w:t>skottet.</w:t>
      </w:r>
    </w:p>
    <w:p w:rsidR="00A357CF" w:rsidRPr="004F1091" w:rsidRDefault="00A357CF">
      <w:r w:rsidRPr="004F1091">
        <w:t xml:space="preserve">Kristdemokraterna föreslår i sin partimotion </w:t>
      </w:r>
      <w:r w:rsidRPr="004F1091">
        <w:rPr>
          <w:i/>
        </w:rPr>
        <w:t>Fi210 (kd) yrkandena 4</w:t>
      </w:r>
      <w:r w:rsidRPr="004F1091">
        <w:t xml:space="preserve"> </w:t>
      </w:r>
      <w:r w:rsidRPr="004F1091">
        <w:rPr>
          <w:i/>
        </w:rPr>
        <w:t>och</w:t>
      </w:r>
      <w:r w:rsidRPr="004F1091">
        <w:t xml:space="preserve"> </w:t>
      </w:r>
      <w:r w:rsidRPr="004F1091">
        <w:rPr>
          <w:i/>
        </w:rPr>
        <w:t>5 (båda i berörd del)</w:t>
      </w:r>
      <w:r w:rsidRPr="004F1091">
        <w:t xml:space="preserve"> inga ändringar i förhållande till regeringens förslag vad avser </w:t>
      </w:r>
      <w:r w:rsidRPr="004F1091">
        <w:rPr>
          <w:i/>
        </w:rPr>
        <w:t>utgiftsområde 5</w:t>
      </w:r>
      <w:r w:rsidRPr="004F1091">
        <w:t xml:space="preserve">. För </w:t>
      </w:r>
      <w:r w:rsidRPr="004F1091">
        <w:rPr>
          <w:i/>
        </w:rPr>
        <w:t>utgiftsområde 7</w:t>
      </w:r>
      <w:r w:rsidRPr="004F1091">
        <w:t xml:space="preserve"> föreslås höjningar med belopp som framgår av bilagan till detta yttrande. </w:t>
      </w:r>
    </w:p>
    <w:p w:rsidR="00A357CF" w:rsidRPr="004F1091" w:rsidRDefault="00A357CF">
      <w:r w:rsidRPr="004F1091">
        <w:t xml:space="preserve">Centerpartiets förslag i partimotion </w:t>
      </w:r>
      <w:r w:rsidRPr="004F1091">
        <w:rPr>
          <w:i/>
        </w:rPr>
        <w:t>Fi211 (c) yrkandena 11</w:t>
      </w:r>
      <w:r w:rsidRPr="004F1091">
        <w:rPr>
          <w:b/>
        </w:rPr>
        <w:t xml:space="preserve"> </w:t>
      </w:r>
      <w:r w:rsidRPr="004F1091">
        <w:rPr>
          <w:i/>
        </w:rPr>
        <w:t>och</w:t>
      </w:r>
      <w:r w:rsidRPr="004F1091">
        <w:rPr>
          <w:b/>
        </w:rPr>
        <w:t xml:space="preserve"> </w:t>
      </w:r>
      <w:r w:rsidRPr="004F1091">
        <w:rPr>
          <w:i/>
        </w:rPr>
        <w:t>12 (båda i berörd del)</w:t>
      </w:r>
      <w:r w:rsidRPr="004F1091">
        <w:rPr>
          <w:b/>
        </w:rPr>
        <w:t xml:space="preserve"> </w:t>
      </w:r>
      <w:r w:rsidRPr="004F1091">
        <w:t>till utgifter för budgetåret 2000 respektive den preliminära fö</w:t>
      </w:r>
      <w:r w:rsidRPr="004F1091">
        <w:t>r</w:t>
      </w:r>
      <w:r w:rsidRPr="004F1091">
        <w:t xml:space="preserve">delningen för budgetåren 2001 och 2002 för </w:t>
      </w:r>
      <w:r w:rsidRPr="004F1091">
        <w:rPr>
          <w:i/>
        </w:rPr>
        <w:t>utgiftsområdena 5 och 7</w:t>
      </w:r>
      <w:r w:rsidRPr="004F1091">
        <w:t xml:space="preserve"> fra</w:t>
      </w:r>
      <w:r w:rsidRPr="004F1091">
        <w:t>m</w:t>
      </w:r>
      <w:r w:rsidRPr="004F1091">
        <w:t>går av bilagan till detta yttrande.</w:t>
      </w:r>
    </w:p>
    <w:p w:rsidR="00A357CF" w:rsidRPr="004F1091" w:rsidRDefault="00A357CF">
      <w:r w:rsidRPr="004F1091">
        <w:t xml:space="preserve">Enligt partimotion </w:t>
      </w:r>
      <w:r w:rsidRPr="004F1091">
        <w:rPr>
          <w:i/>
        </w:rPr>
        <w:t>Fi212 (fp) yrkandena 4 och</w:t>
      </w:r>
      <w:r w:rsidRPr="004F1091">
        <w:rPr>
          <w:b/>
        </w:rPr>
        <w:t xml:space="preserve"> </w:t>
      </w:r>
      <w:r w:rsidRPr="004F1091">
        <w:rPr>
          <w:i/>
        </w:rPr>
        <w:t>6 (båda i berörd del)</w:t>
      </w:r>
      <w:r w:rsidRPr="004F1091">
        <w:rPr>
          <w:b/>
        </w:rPr>
        <w:t xml:space="preserve"> </w:t>
      </w:r>
      <w:r w:rsidRPr="004F1091">
        <w:t>överen</w:t>
      </w:r>
      <w:r w:rsidRPr="004F1091">
        <w:t>s</w:t>
      </w:r>
      <w:r w:rsidRPr="004F1091">
        <w:t xml:space="preserve">stämmer Folkpartiets budgetförslag med regeringens beträffande </w:t>
      </w:r>
      <w:r w:rsidRPr="004F1091">
        <w:rPr>
          <w:i/>
        </w:rPr>
        <w:t>utgiftso</w:t>
      </w:r>
      <w:r w:rsidRPr="004F1091">
        <w:rPr>
          <w:i/>
        </w:rPr>
        <w:t>m</w:t>
      </w:r>
      <w:r w:rsidRPr="004F1091">
        <w:rPr>
          <w:i/>
        </w:rPr>
        <w:t>råde 5</w:t>
      </w:r>
      <w:r w:rsidRPr="004F1091">
        <w:t xml:space="preserve">. För </w:t>
      </w:r>
      <w:r w:rsidRPr="004F1091">
        <w:rPr>
          <w:i/>
        </w:rPr>
        <w:t>utgiftsområde 7</w:t>
      </w:r>
      <w:r w:rsidRPr="004F1091">
        <w:t xml:space="preserve"> föreslås höjningar med belopp som framgår av bil</w:t>
      </w:r>
      <w:r w:rsidRPr="004F1091">
        <w:t>a</w:t>
      </w:r>
      <w:r w:rsidRPr="004F1091">
        <w:t>gan till detta yttrande.</w:t>
      </w:r>
    </w:p>
    <w:p w:rsidR="00A357CF" w:rsidRPr="004F1091" w:rsidRDefault="00A357CF">
      <w:pPr>
        <w:pStyle w:val="Normaltindrag"/>
      </w:pPr>
    </w:p>
    <w:p w:rsidR="00A357CF" w:rsidRPr="004F1091" w:rsidRDefault="00A357CF">
      <w:pPr>
        <w:pStyle w:val="Rubrik2"/>
      </w:pPr>
      <w:bookmarkStart w:id="27" w:name="_Toc465764669"/>
      <w:r w:rsidRPr="004F1091">
        <w:t>Utskottets överväganden</w:t>
      </w:r>
      <w:bookmarkEnd w:id="27"/>
    </w:p>
    <w:p w:rsidR="00A357CF" w:rsidRPr="004F1091" w:rsidRDefault="00A357CF">
      <w:r w:rsidRPr="004F1091">
        <w:t>De offentliga finanserna har förbättrats. Budgetsaneringen och den förstär</w:t>
      </w:r>
      <w:r w:rsidRPr="004F1091">
        <w:t>k</w:t>
      </w:r>
      <w:r w:rsidRPr="004F1091">
        <w:t>ning av statsfinanserna som den har lett till möjliggör, enligt utskottets b</w:t>
      </w:r>
      <w:r w:rsidRPr="004F1091">
        <w:t>e</w:t>
      </w:r>
      <w:r w:rsidRPr="004F1091">
        <w:t>dömning, att en ökad satsning på utgiftsområdena 5 Utrikesförvaltning och internationell samverkan samt 7 Internationellt bistånd kan göras under den här aktuella treårsperioden. De av regeringen föreslagna ökningarna är väl motiverade.</w:t>
      </w:r>
    </w:p>
    <w:p w:rsidR="00A357CF" w:rsidRPr="004F1091" w:rsidRDefault="00A357CF">
      <w:pPr>
        <w:pStyle w:val="Rubrik3"/>
      </w:pPr>
      <w:bookmarkStart w:id="28" w:name="_Toc465764670"/>
      <w:r w:rsidRPr="004F1091">
        <w:t>Anslagens fördelning mellan utgiftsområdena m.m.</w:t>
      </w:r>
      <w:bookmarkEnd w:id="28"/>
    </w:p>
    <w:p w:rsidR="00A357CF" w:rsidRPr="004F1091" w:rsidRDefault="00A357CF">
      <w:r w:rsidRPr="004F1091">
        <w:t xml:space="preserve">Moderaterna anför i sin partimotion </w:t>
      </w:r>
      <w:r w:rsidRPr="004F1091">
        <w:rPr>
          <w:i/>
        </w:rPr>
        <w:t xml:space="preserve">Fi209 (m) yrkandena 8 och 10 (båda delvis) </w:t>
      </w:r>
      <w:r w:rsidRPr="004F1091">
        <w:t xml:space="preserve">beträffande </w:t>
      </w:r>
      <w:r w:rsidRPr="004F1091">
        <w:rPr>
          <w:i/>
        </w:rPr>
        <w:t>utgiftsområde 7</w:t>
      </w:r>
      <w:r w:rsidRPr="004F1091">
        <w:t xml:space="preserve"> bl.a. att ett nytt anslag C 1 Fredsfrämja</w:t>
      </w:r>
      <w:r w:rsidRPr="004F1091">
        <w:t>n</w:t>
      </w:r>
      <w:r w:rsidRPr="004F1091">
        <w:t>de truppinsatser och verksamheter bör inrättas. Utskottet har tidigare b</w:t>
      </w:r>
      <w:r w:rsidRPr="004F1091">
        <w:t>e</w:t>
      </w:r>
      <w:r w:rsidRPr="004F1091">
        <w:t xml:space="preserve">handlat motionsyrkanden med denna innebörd och därvid kommit fram till att nuvarande ordning är ändamålsenlig och att någon förändring i den av motionärerna förespråkade riktningen ej bör genomföras. Denna bedömning kvarstår. Enligt utskottets mening bör därför motion </w:t>
      </w:r>
      <w:r w:rsidRPr="004F1091">
        <w:rPr>
          <w:i/>
        </w:rPr>
        <w:t>Fi209 (m) yrkandena 8 och 10 (båda delvis)</w:t>
      </w:r>
      <w:r w:rsidRPr="004F1091">
        <w:rPr>
          <w:b/>
        </w:rPr>
        <w:t xml:space="preserve"> </w:t>
      </w:r>
      <w:r w:rsidRPr="004F1091">
        <w:t>avstyrkas i hä</w:t>
      </w:r>
      <w:r w:rsidRPr="004F1091">
        <w:t xml:space="preserve">r berörd del. I konsekvens härmed bör även motion </w:t>
      </w:r>
      <w:r w:rsidRPr="004F1091">
        <w:rPr>
          <w:i/>
        </w:rPr>
        <w:t>U306 (m) yrkande 5</w:t>
      </w:r>
      <w:r w:rsidRPr="004F1091">
        <w:t xml:space="preserve"> avstyrkas.</w:t>
      </w:r>
    </w:p>
    <w:p w:rsidR="00A357CF" w:rsidRPr="004F1091" w:rsidRDefault="00A357CF">
      <w:r w:rsidRPr="004F1091">
        <w:t xml:space="preserve">I partimotion </w:t>
      </w:r>
      <w:r w:rsidRPr="004F1091">
        <w:rPr>
          <w:i/>
        </w:rPr>
        <w:t>Fi209 (m) yrkandena 8 och 10 (båda delvis)</w:t>
      </w:r>
      <w:r w:rsidRPr="004F1091">
        <w:t xml:space="preserve"> föreslås vidare att den s.k. Östersjömiljarden bör upplösas och medel tillföras anslaget B 1 Sama</w:t>
      </w:r>
      <w:r w:rsidRPr="004F1091">
        <w:t>r</w:t>
      </w:r>
      <w:r w:rsidRPr="004F1091">
        <w:t>bete med Central- och Östeuropa.</w:t>
      </w:r>
    </w:p>
    <w:p w:rsidR="00A357CF" w:rsidRPr="004F1091" w:rsidRDefault="00A357CF">
      <w:r w:rsidRPr="004F1091">
        <w:t>Anslaget Samarbete och utveckling inom Östersjöregionen beviljades på tilläggsbudget och med delvis annat syfte än de medel som anslås under utgiftsområde 7 för samarbete med Central- och Östeuropa. Utskottet finner mot denna bakgrund att det inte är lämpligt att förfara på sätt som motion</w:t>
      </w:r>
      <w:r w:rsidRPr="004F1091">
        <w:t>ä</w:t>
      </w:r>
      <w:r w:rsidRPr="004F1091">
        <w:t xml:space="preserve">rerna föreslår. Enligt utskottets mening bör därför motion </w:t>
      </w:r>
      <w:r w:rsidRPr="004F1091">
        <w:rPr>
          <w:i/>
        </w:rPr>
        <w:t>Fi209 (m) yrka</w:t>
      </w:r>
      <w:r w:rsidRPr="004F1091">
        <w:rPr>
          <w:i/>
        </w:rPr>
        <w:t>n</w:t>
      </w:r>
      <w:r w:rsidRPr="004F1091">
        <w:rPr>
          <w:i/>
        </w:rPr>
        <w:t>dena 8 och 10 (båda delvis)</w:t>
      </w:r>
      <w:r w:rsidRPr="004F1091">
        <w:rPr>
          <w:b/>
        </w:rPr>
        <w:t xml:space="preserve"> </w:t>
      </w:r>
      <w:r w:rsidRPr="004F1091">
        <w:t>avstyrkas i här berörd del.</w:t>
      </w:r>
    </w:p>
    <w:p w:rsidR="00A357CF" w:rsidRPr="004F1091" w:rsidRDefault="00A357CF">
      <w:pPr>
        <w:pStyle w:val="Rubrik3"/>
      </w:pPr>
      <w:bookmarkStart w:id="29" w:name="_Toc465764671"/>
      <w:r w:rsidRPr="004F1091">
        <w:t>Utgiftsområde 5</w:t>
      </w:r>
      <w:bookmarkEnd w:id="29"/>
    </w:p>
    <w:p w:rsidR="00A357CF" w:rsidRPr="004F1091" w:rsidRDefault="00A357CF">
      <w:r w:rsidRPr="004F1091">
        <w:t xml:space="preserve">Utskottet anser att regeringens förslag avseende utgiftsområde 5 </w:t>
      </w:r>
      <w:r w:rsidRPr="004F1091">
        <w:rPr>
          <w:i/>
        </w:rPr>
        <w:t>(propositi</w:t>
      </w:r>
      <w:r w:rsidRPr="004F1091">
        <w:rPr>
          <w:i/>
        </w:rPr>
        <w:t>o</w:t>
      </w:r>
      <w:r w:rsidRPr="004F1091">
        <w:rPr>
          <w:i/>
        </w:rPr>
        <w:t>nens yrkanden 6 och 8 (båda delvis)</w:t>
      </w:r>
      <w:r w:rsidRPr="004F1091">
        <w:t xml:space="preserve"> är väl avvägt, varför det bör tillstyrkas. I konsekvens härmed bör förslagen i motionerna </w:t>
      </w:r>
      <w:r w:rsidRPr="004F1091">
        <w:rPr>
          <w:i/>
        </w:rPr>
        <w:t>Fi209 (m) yrkandena 8 och 10 (båda delvis)</w:t>
      </w:r>
      <w:r w:rsidRPr="004F1091">
        <w:t xml:space="preserve"> och </w:t>
      </w:r>
      <w:r w:rsidRPr="004F1091">
        <w:rPr>
          <w:i/>
        </w:rPr>
        <w:t>Fi211 (c) yrkandena 11 och 12 (båda delvis)</w:t>
      </w:r>
      <w:r w:rsidRPr="004F1091">
        <w:t xml:space="preserve"> avstyrkas vad avser såväl budgetåret 2000 som budgetåren 2001 och 2002.</w:t>
      </w:r>
    </w:p>
    <w:p w:rsidR="00A357CF" w:rsidRPr="004F1091" w:rsidRDefault="00A357CF">
      <w:r w:rsidRPr="004F1091">
        <w:t xml:space="preserve">Förslagen i motionerna </w:t>
      </w:r>
      <w:r w:rsidRPr="004F1091">
        <w:rPr>
          <w:i/>
        </w:rPr>
        <w:t>Fi210 (kd) yrkandena 4 och 5 (båda delvis)</w:t>
      </w:r>
      <w:r w:rsidRPr="004F1091">
        <w:t xml:space="preserve"> och </w:t>
      </w:r>
      <w:r w:rsidRPr="004F1091">
        <w:rPr>
          <w:i/>
        </w:rPr>
        <w:t>Fi212 (fp) yrkandena 4 och 6 (båda delvis)</w:t>
      </w:r>
      <w:r w:rsidRPr="004F1091">
        <w:t xml:space="preserve"> avviker beträffande utgiftsomr</w:t>
      </w:r>
      <w:r w:rsidRPr="004F1091">
        <w:t>å</w:t>
      </w:r>
      <w:r w:rsidRPr="004F1091">
        <w:t>de 5 inte från regeringens.</w:t>
      </w:r>
    </w:p>
    <w:p w:rsidR="00A357CF" w:rsidRPr="004F1091" w:rsidRDefault="00A357CF">
      <w:pPr>
        <w:pStyle w:val="Rubrik3"/>
      </w:pPr>
      <w:bookmarkStart w:id="30" w:name="_Toc465764672"/>
      <w:r w:rsidRPr="004F1091">
        <w:t>Utgiftsområde 7</w:t>
      </w:r>
      <w:bookmarkEnd w:id="30"/>
    </w:p>
    <w:p w:rsidR="00A357CF" w:rsidRPr="004F1091" w:rsidRDefault="00A357CF">
      <w:r w:rsidRPr="004F1091">
        <w:t xml:space="preserve">Utskottet anser att regeringens förslag avseende utgiftsområde 7 </w:t>
      </w:r>
      <w:r w:rsidRPr="004F1091">
        <w:rPr>
          <w:i/>
        </w:rPr>
        <w:t>(propositi</w:t>
      </w:r>
      <w:r w:rsidRPr="004F1091">
        <w:rPr>
          <w:i/>
        </w:rPr>
        <w:t>o</w:t>
      </w:r>
      <w:r w:rsidRPr="004F1091">
        <w:rPr>
          <w:i/>
        </w:rPr>
        <w:t>nens yrkanden 6 och 8 (båda delvis)</w:t>
      </w:r>
      <w:r w:rsidRPr="004F1091">
        <w:t xml:space="preserve"> är väl avvägt, varför det bör tillstyrkas. I konsekvens härmed bör förslagen i motionerna </w:t>
      </w:r>
      <w:r w:rsidRPr="004F1091">
        <w:rPr>
          <w:i/>
        </w:rPr>
        <w:t>Fi209 (m) yrkandena 8 och 10 (båda delvis), Fi210 (kd) yrkandena 4 och 5 (båda delvis), Fi211 (c) yrkandena 11 och 12 (båda delvis)</w:t>
      </w:r>
      <w:r w:rsidRPr="004F1091">
        <w:t xml:space="preserve"> och </w:t>
      </w:r>
      <w:r w:rsidRPr="004F1091">
        <w:rPr>
          <w:i/>
        </w:rPr>
        <w:t>Fi212 (fp) yrkandena 4 och 6 (båda delvis)</w:t>
      </w:r>
      <w:r w:rsidRPr="004F1091">
        <w:t xml:space="preserve"> avstyrkas vad avser såväl budgetåret 2000 som budgetåren 2001 och 2002.</w:t>
      </w:r>
    </w:p>
    <w:p w:rsidR="00A357CF" w:rsidRPr="004F1091" w:rsidRDefault="00A357CF">
      <w:pPr>
        <w:pStyle w:val="Stockholm"/>
      </w:pPr>
      <w:r w:rsidRPr="004F1091">
        <w:t>Stockholm den 21 oktober 1999</w:t>
      </w:r>
    </w:p>
    <w:p w:rsidR="00A357CF" w:rsidRPr="004F1091" w:rsidRDefault="00A357CF">
      <w:pPr>
        <w:pStyle w:val="Vgnar"/>
      </w:pPr>
      <w:r w:rsidRPr="004F1091">
        <w:t>På utrikesutskottets vägnar</w:t>
      </w:r>
    </w:p>
    <w:p w:rsidR="00A357CF" w:rsidRPr="004F1091" w:rsidRDefault="00A357CF">
      <w:pPr>
        <w:pStyle w:val="Ordfnamn"/>
      </w:pPr>
      <w:bookmarkStart w:id="31" w:name="Ordförande"/>
      <w:bookmarkEnd w:id="31"/>
      <w:r w:rsidRPr="004F1091">
        <w:t xml:space="preserve">Viola Furubjelke </w:t>
      </w:r>
      <w:bookmarkStart w:id="32" w:name="Deltagare"/>
      <w:bookmarkEnd w:id="32"/>
    </w:p>
    <w:p w:rsidR="00A357CF" w:rsidRPr="004F1091" w:rsidRDefault="00A357CF">
      <w:pPr>
        <w:pStyle w:val="Citat"/>
      </w:pPr>
      <w:r w:rsidRPr="004F1091">
        <w:t>I beslutet har deltagit: Viola Furubjelke (s), Göran Lennmarker (m), Sören Lekberg (s), Berndt Ekholm (s), Lars Ohly (v), Bertil Persson (m), Liselotte Wågö (m), Carina Hägg (s), Agneta Brendt (s), Jan Erik Ågren (kd), Maria</w:t>
      </w:r>
      <w:r w:rsidRPr="004F1091">
        <w:t>n</w:t>
      </w:r>
      <w:r w:rsidRPr="004F1091">
        <w:t>ne Samuelsson (mp), Marianne Andersson (c), Karl-Göran Biörsmark (fp), Marianne Jönsson (s), Karin Enström (m), Fanny Rizell (kd) och Eva Zette</w:t>
      </w:r>
      <w:r w:rsidRPr="004F1091">
        <w:t>r</w:t>
      </w:r>
      <w:r w:rsidRPr="004F1091">
        <w:t>berg (v).</w:t>
      </w:r>
    </w:p>
    <w:p w:rsidR="00A357CF" w:rsidRPr="004F1091" w:rsidRDefault="00A357CF">
      <w:pPr>
        <w:pStyle w:val="Normaltindrag"/>
      </w:pPr>
    </w:p>
    <w:p w:rsidR="00A357CF" w:rsidRPr="004F1091" w:rsidRDefault="00A357CF">
      <w:pPr>
        <w:pStyle w:val="Rubrik1"/>
      </w:pPr>
      <w:bookmarkStart w:id="33" w:name="_Toc465764673"/>
      <w:r w:rsidRPr="004F1091">
        <w:t>Avvikande meningar</w:t>
      </w:r>
      <w:bookmarkEnd w:id="33"/>
    </w:p>
    <w:p w:rsidR="00A357CF" w:rsidRPr="004F1091" w:rsidRDefault="00A357CF">
      <w:pPr>
        <w:pStyle w:val="R2"/>
      </w:pPr>
      <w:bookmarkStart w:id="34" w:name="Nästa_Reservation"/>
      <w:bookmarkEnd w:id="34"/>
      <w:r w:rsidRPr="004F1091">
        <w:t>1. Anslagens fördelning mellan utgiftsområdena m.m.</w:t>
      </w:r>
    </w:p>
    <w:p w:rsidR="00A357CF" w:rsidRPr="004F1091" w:rsidRDefault="00A357CF">
      <w:r w:rsidRPr="004F1091">
        <w:t>Göran Lennmarker, Bertil Persson, Liselotte Wågö och Karin Enström (alla m) anför:</w:t>
      </w:r>
    </w:p>
    <w:p w:rsidR="00A357CF" w:rsidRPr="004F1091" w:rsidRDefault="00A357CF">
      <w:r w:rsidRPr="004F1091">
        <w:t>Utskottet tillstyrker</w:t>
      </w:r>
    </w:p>
    <w:p w:rsidR="00A357CF" w:rsidRPr="004F1091" w:rsidRDefault="00A357CF">
      <w:r w:rsidRPr="004F1091">
        <w:rPr>
          <w:i/>
        </w:rPr>
        <w:t>dels</w:t>
      </w:r>
      <w:r w:rsidRPr="004F1091">
        <w:t xml:space="preserve">, i enlighet med motionerna </w:t>
      </w:r>
      <w:r w:rsidRPr="004F1091">
        <w:rPr>
          <w:i/>
        </w:rPr>
        <w:t>Fi209 (m) yrkandena 8 och 10 (båda delvis)</w:t>
      </w:r>
      <w:r w:rsidRPr="004F1091">
        <w:rPr>
          <w:b/>
        </w:rPr>
        <w:t xml:space="preserve"> </w:t>
      </w:r>
      <w:r w:rsidRPr="004F1091">
        <w:t xml:space="preserve">och </w:t>
      </w:r>
      <w:r w:rsidRPr="004F1091">
        <w:rPr>
          <w:i/>
        </w:rPr>
        <w:t xml:space="preserve">U306 (m) yrkande </w:t>
      </w:r>
      <w:r w:rsidRPr="004F1091">
        <w:t>5, att anslaget B 4 Fredsfrämjande verksamhet inom utgiftsområde 5 avvecklas och överförs till ett nytt anslag, C 1 Fredsfrämja</w:t>
      </w:r>
      <w:r w:rsidRPr="004F1091">
        <w:t>n</w:t>
      </w:r>
      <w:r w:rsidRPr="004F1091">
        <w:t>de truppinsatser och verksamheter, inom utgiftsområde 7,</w:t>
      </w:r>
    </w:p>
    <w:p w:rsidR="00A357CF" w:rsidRPr="004F1091" w:rsidRDefault="00A357CF">
      <w:r w:rsidRPr="004F1091">
        <w:rPr>
          <w:i/>
        </w:rPr>
        <w:t>dels</w:t>
      </w:r>
      <w:r w:rsidRPr="004F1091">
        <w:t xml:space="preserve">, i enlighet med motion </w:t>
      </w:r>
      <w:r w:rsidRPr="004F1091">
        <w:rPr>
          <w:i/>
        </w:rPr>
        <w:t>Fi209 (m) yrkandena 8 och 10 (båda i berörd del)</w:t>
      </w:r>
      <w:r w:rsidRPr="004F1091">
        <w:t>, att den s.k. Östersjömiljarden upplöses och att medlen från denna til</w:t>
      </w:r>
      <w:r w:rsidRPr="004F1091">
        <w:t>l</w:t>
      </w:r>
      <w:r w:rsidRPr="004F1091">
        <w:t>förs anslaget B 1 Samarbete med Central- och Östeuropa (utgiftsområde 7 Internationellt bistånd).</w:t>
      </w:r>
    </w:p>
    <w:p w:rsidR="00A357CF" w:rsidRPr="004F1091" w:rsidRDefault="00A357CF">
      <w:pPr>
        <w:pStyle w:val="R2"/>
      </w:pPr>
      <w:r w:rsidRPr="004F1091">
        <w:t>2. Ramarna för utgiftsområdena 5 och 7</w:t>
      </w:r>
    </w:p>
    <w:p w:rsidR="00A357CF" w:rsidRPr="004F1091" w:rsidRDefault="00A357CF">
      <w:r w:rsidRPr="004F1091">
        <w:t>Göran Lennmarker, Bertil Persson, Liselotte Wågö och Karin Enström (alla m) anför:</w:t>
      </w:r>
    </w:p>
    <w:p w:rsidR="00A357CF" w:rsidRPr="004F1091" w:rsidRDefault="00A357CF">
      <w:r w:rsidRPr="004F1091">
        <w:t>Utskottet förordar de ramar för utgiftsområdena 5 och 7 för budgetåret 2000 och den preliminära fördelning av utgifterna för samma utgiftsområden för budgetåren 2001 och 2002 som, vad avser redovisningen av Moderata sa</w:t>
      </w:r>
      <w:r w:rsidRPr="004F1091">
        <w:t>m</w:t>
      </w:r>
      <w:r w:rsidRPr="004F1091">
        <w:t xml:space="preserve">lingspartiets förslag, framgår av bilagan till föreliggande yttrande med de motiveringar som framgår av motion </w:t>
      </w:r>
      <w:r w:rsidRPr="004F1091">
        <w:rPr>
          <w:i/>
        </w:rPr>
        <w:t>Fi209 (m) yrkandena 8 och 10 (båda delvis).</w:t>
      </w:r>
    </w:p>
    <w:p w:rsidR="00A357CF" w:rsidRPr="004F1091" w:rsidRDefault="00A357CF">
      <w:pPr>
        <w:pStyle w:val="R2"/>
      </w:pPr>
      <w:r w:rsidRPr="004F1091">
        <w:br w:type="page"/>
        <w:t>3. Ramarna för utgiftsområde 7</w:t>
      </w:r>
    </w:p>
    <w:p w:rsidR="00A357CF" w:rsidRPr="004F1091" w:rsidRDefault="00A357CF">
      <w:r w:rsidRPr="004F1091">
        <w:t>Jan Erik Ågren och Fanny Rizell (båda kd) anför:</w:t>
      </w:r>
    </w:p>
    <w:p w:rsidR="00A357CF" w:rsidRPr="004F1091" w:rsidRDefault="00A357CF">
      <w:r w:rsidRPr="004F1091">
        <w:t>Utskottet förordar de ramar för utgiftsområde 7 för budgetåret 2000 och den preliminära fördelning av utgifterna för samma utgiftsområde för budgetåren 2001 och 2002 som, vad avser redovisningen av Kristdemokraternas förslag, framgår av bilagan till föreliggande yttrande med de motiveringar som fra</w:t>
      </w:r>
      <w:r w:rsidRPr="004F1091">
        <w:t>m</w:t>
      </w:r>
      <w:r w:rsidRPr="004F1091">
        <w:t>går av m</w:t>
      </w:r>
      <w:r w:rsidRPr="004F1091">
        <w:t>o</w:t>
      </w:r>
      <w:r w:rsidRPr="004F1091">
        <w:t xml:space="preserve">tion </w:t>
      </w:r>
      <w:r w:rsidRPr="004F1091">
        <w:rPr>
          <w:i/>
        </w:rPr>
        <w:t>Fi210 (kd) yrkandena 4 och 5 (båda delvis).</w:t>
      </w:r>
    </w:p>
    <w:p w:rsidR="00A357CF" w:rsidRPr="004F1091" w:rsidRDefault="00A357CF">
      <w:pPr>
        <w:pStyle w:val="R2"/>
      </w:pPr>
      <w:r w:rsidRPr="004F1091">
        <w:t>4. Ramarna för utgiftsområdena 5 och 7</w:t>
      </w:r>
    </w:p>
    <w:p w:rsidR="00A357CF" w:rsidRPr="004F1091" w:rsidRDefault="00A357CF">
      <w:r w:rsidRPr="004F1091">
        <w:t>Marianne Andersson (c) anför:</w:t>
      </w:r>
    </w:p>
    <w:p w:rsidR="00A357CF" w:rsidRPr="004F1091" w:rsidRDefault="00A357CF">
      <w:pPr>
        <w:rPr>
          <w:i/>
        </w:rPr>
      </w:pPr>
      <w:r w:rsidRPr="004F1091">
        <w:t>Utskottet förordar de ramar för utgiftsområdena 5 och 7 för budgetåret 2000 och den preliminära fördelning av utgifterna för samma utgiftsområden för budgetåren 2001 och 2002 som, vad avser redovisningen av Centerpartiets förslag, framgår av bilagan till föreliggande yttrande med de motiveringar som fra</w:t>
      </w:r>
      <w:r w:rsidRPr="004F1091">
        <w:t>m</w:t>
      </w:r>
      <w:r w:rsidRPr="004F1091">
        <w:t xml:space="preserve">går av motion </w:t>
      </w:r>
      <w:r w:rsidRPr="004F1091">
        <w:rPr>
          <w:i/>
        </w:rPr>
        <w:t>Fi211 (c) yrkandena 11 och 12 (båda delvis).</w:t>
      </w:r>
    </w:p>
    <w:p w:rsidR="00A357CF" w:rsidRPr="004F1091" w:rsidRDefault="00A357CF">
      <w:pPr>
        <w:pStyle w:val="R2"/>
      </w:pPr>
      <w:r w:rsidRPr="004F1091">
        <w:t>5. Ramarna för utgiftsområde 7</w:t>
      </w:r>
    </w:p>
    <w:p w:rsidR="00A357CF" w:rsidRPr="004F1091" w:rsidRDefault="00A357CF">
      <w:r w:rsidRPr="004F1091">
        <w:t>Karl-Göran Biörsmark (fp) anför:</w:t>
      </w:r>
    </w:p>
    <w:p w:rsidR="00A357CF" w:rsidRPr="004F1091" w:rsidRDefault="00A357CF">
      <w:r w:rsidRPr="004F1091">
        <w:t xml:space="preserve">Utskottet förordar de ramar för utgiftsområde 7 för budgetåret 2000 och den preliminära fördelning av utgifterna för samma utgiftsområde för budgetåren 2001 och 2002 som, vad avser redovisningen av Folkpartiets förslag, framgår av bilagan till föreliggande yttrande med de motiveringar som framgår av motion </w:t>
      </w:r>
      <w:r w:rsidRPr="004F1091">
        <w:rPr>
          <w:i/>
        </w:rPr>
        <w:t>Fi212 (fp) y</w:t>
      </w:r>
      <w:r w:rsidRPr="004F1091">
        <w:rPr>
          <w:i/>
        </w:rPr>
        <w:t>r</w:t>
      </w:r>
      <w:r w:rsidRPr="004F1091">
        <w:rPr>
          <w:i/>
        </w:rPr>
        <w:t>kandena 4 och 6 (båda delvis).</w:t>
      </w:r>
    </w:p>
    <w:p w:rsidR="00A357CF" w:rsidRPr="004F1091" w:rsidRDefault="00A357CF">
      <w:pPr>
        <w:pStyle w:val="Normaltindrag"/>
      </w:pPr>
    </w:p>
    <w:p w:rsidR="00A357CF" w:rsidRPr="004F1091" w:rsidRDefault="00A357CF">
      <w:pPr>
        <w:pStyle w:val="Rubrik1"/>
        <w:sectPr w:rsidR="00000000" w:rsidRPr="004F1091">
          <w:headerReference w:type="default" r:id="rId9"/>
          <w:footerReference w:type="default" r:id="rId10"/>
          <w:pgSz w:w="11906" w:h="16838" w:code="9"/>
          <w:pgMar w:top="567" w:right="4876" w:bottom="4508" w:left="1134" w:header="227" w:footer="227" w:gutter="0"/>
          <w:cols w:space="720"/>
        </w:sectPr>
      </w:pPr>
    </w:p>
    <w:p w:rsidR="00A357CF" w:rsidRPr="004F1091" w:rsidRDefault="00A357CF">
      <w:pPr>
        <w:pStyle w:val="Rubrik1"/>
        <w:spacing w:before="0"/>
      </w:pPr>
      <w:bookmarkStart w:id="35" w:name="_Toc465764674"/>
      <w:r w:rsidRPr="004F1091">
        <w:t>Förslag till fördelning av utgifter på utgiftsområdena 5 och 7 för åren 2000–2002 m.m.</w:t>
      </w:r>
      <w:bookmarkEnd w:id="35"/>
    </w:p>
    <w:p w:rsidR="00A357CF" w:rsidRPr="004F1091" w:rsidRDefault="00A357CF">
      <w:pPr>
        <w:pStyle w:val="Rubrik2"/>
      </w:pPr>
      <w:bookmarkStart w:id="36" w:name="_Toc465764675"/>
      <w:r w:rsidRPr="004F1091">
        <w:t>Utgiftsområde 5 Utrikesförvaltning och internationell samverkan</w:t>
      </w:r>
      <w:bookmarkEnd w:id="36"/>
    </w:p>
    <w:p w:rsidR="00A357CF" w:rsidRPr="004F1091" w:rsidRDefault="00A357CF"/>
    <w:p w:rsidR="00A357CF" w:rsidRPr="004F1091" w:rsidRDefault="00A357CF">
      <w:r w:rsidRPr="004F1091">
        <w:t>Absoluta tal</w:t>
      </w:r>
    </w:p>
    <w:p w:rsidR="00A357CF" w:rsidRPr="004F1091" w:rsidRDefault="00A357CF">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4F1091">
        <w:tblPrEx>
          <w:tblCellMar>
            <w:top w:w="0" w:type="dxa"/>
            <w:bottom w:w="0" w:type="dxa"/>
          </w:tblCellMar>
        </w:tblPrEx>
        <w:tc>
          <w:tcPr>
            <w:tcW w:w="2197" w:type="dxa"/>
            <w:shd w:val="pct35" w:color="auto" w:fill="FFFFFF"/>
          </w:tcPr>
          <w:p w:rsidR="00A357CF" w:rsidRPr="004F1091" w:rsidRDefault="00A357CF"/>
        </w:tc>
        <w:tc>
          <w:tcPr>
            <w:tcW w:w="1275" w:type="dxa"/>
          </w:tcPr>
          <w:p w:rsidR="00A357CF" w:rsidRPr="004F1091" w:rsidRDefault="00A357CF">
            <w:pPr>
              <w:jc w:val="center"/>
              <w:rPr>
                <w:b/>
              </w:rPr>
            </w:pPr>
            <w:r w:rsidRPr="004F1091">
              <w:rPr>
                <w:b/>
              </w:rPr>
              <w:t>Bå 2000</w:t>
            </w:r>
          </w:p>
          <w:p w:rsidR="00A357CF" w:rsidRPr="004F1091" w:rsidRDefault="00A357CF">
            <w:pPr>
              <w:jc w:val="center"/>
            </w:pPr>
            <w:r w:rsidRPr="004F1091">
              <w:rPr>
                <w:i/>
              </w:rPr>
              <w:t>(mkr)</w:t>
            </w:r>
          </w:p>
        </w:tc>
        <w:tc>
          <w:tcPr>
            <w:tcW w:w="1276" w:type="dxa"/>
          </w:tcPr>
          <w:p w:rsidR="00A357CF" w:rsidRPr="004F1091" w:rsidRDefault="00A357CF">
            <w:pPr>
              <w:jc w:val="center"/>
              <w:rPr>
                <w:b/>
              </w:rPr>
            </w:pPr>
            <w:r w:rsidRPr="004F1091">
              <w:rPr>
                <w:b/>
              </w:rPr>
              <w:t>Bå 2001</w:t>
            </w:r>
          </w:p>
          <w:p w:rsidR="00A357CF" w:rsidRPr="004F1091" w:rsidRDefault="00A357CF">
            <w:pPr>
              <w:jc w:val="center"/>
            </w:pPr>
            <w:r w:rsidRPr="004F1091">
              <w:rPr>
                <w:i/>
              </w:rPr>
              <w:t>(mkr)</w:t>
            </w:r>
          </w:p>
        </w:tc>
        <w:tc>
          <w:tcPr>
            <w:tcW w:w="1288" w:type="dxa"/>
          </w:tcPr>
          <w:p w:rsidR="00A357CF" w:rsidRPr="004F1091" w:rsidRDefault="00A357CF">
            <w:pPr>
              <w:jc w:val="center"/>
              <w:rPr>
                <w:b/>
              </w:rPr>
            </w:pPr>
            <w:r w:rsidRPr="004F1091">
              <w:rPr>
                <w:b/>
              </w:rPr>
              <w:t>Bå 2002</w:t>
            </w:r>
          </w:p>
          <w:p w:rsidR="00A357CF" w:rsidRPr="004F1091" w:rsidRDefault="00A357CF">
            <w:pPr>
              <w:jc w:val="center"/>
              <w:rPr>
                <w:i/>
              </w:rPr>
            </w:pPr>
            <w:r w:rsidRPr="004F1091">
              <w:rPr>
                <w:i/>
              </w:rPr>
              <w:t>(mkr)</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Regeringen</w:t>
            </w:r>
          </w:p>
        </w:tc>
        <w:tc>
          <w:tcPr>
            <w:tcW w:w="1275" w:type="dxa"/>
          </w:tcPr>
          <w:p w:rsidR="00A357CF" w:rsidRPr="004F1091" w:rsidRDefault="00A357CF">
            <w:pPr>
              <w:jc w:val="right"/>
            </w:pPr>
            <w:r w:rsidRPr="004F1091">
              <w:t xml:space="preserve">2 983 </w:t>
            </w:r>
          </w:p>
        </w:tc>
        <w:tc>
          <w:tcPr>
            <w:tcW w:w="1276" w:type="dxa"/>
          </w:tcPr>
          <w:p w:rsidR="00A357CF" w:rsidRPr="004F1091" w:rsidRDefault="00A357CF">
            <w:pPr>
              <w:jc w:val="right"/>
            </w:pPr>
            <w:r w:rsidRPr="004F1091">
              <w:t xml:space="preserve">3 027 </w:t>
            </w:r>
          </w:p>
        </w:tc>
        <w:tc>
          <w:tcPr>
            <w:tcW w:w="1288" w:type="dxa"/>
          </w:tcPr>
          <w:p w:rsidR="00A357CF" w:rsidRPr="004F1091" w:rsidRDefault="00A357CF">
            <w:pPr>
              <w:jc w:val="right"/>
            </w:pPr>
            <w:r w:rsidRPr="004F1091">
              <w:t>3 066</w:t>
            </w:r>
          </w:p>
        </w:tc>
      </w:tr>
      <w:tr w:rsidR="00000000" w:rsidRPr="004F1091">
        <w:tblPrEx>
          <w:tblCellMar>
            <w:top w:w="0" w:type="dxa"/>
            <w:bottom w:w="0" w:type="dxa"/>
          </w:tblCellMar>
        </w:tblPrEx>
        <w:tc>
          <w:tcPr>
            <w:tcW w:w="2197" w:type="dxa"/>
          </w:tcPr>
          <w:p w:rsidR="00A357CF" w:rsidRPr="004F1091" w:rsidRDefault="00A357CF">
            <w:pPr>
              <w:rPr>
                <w:b/>
                <w:sz w:val="18"/>
              </w:rPr>
            </w:pPr>
            <w:r w:rsidRPr="004F1091">
              <w:rPr>
                <w:b/>
                <w:sz w:val="18"/>
              </w:rPr>
              <w:t>Moderata samlingspart</w:t>
            </w:r>
            <w:r w:rsidRPr="004F1091">
              <w:rPr>
                <w:b/>
                <w:sz w:val="18"/>
              </w:rPr>
              <w:t>i</w:t>
            </w:r>
            <w:r w:rsidRPr="004F1091">
              <w:rPr>
                <w:b/>
                <w:sz w:val="18"/>
              </w:rPr>
              <w:t>et</w:t>
            </w:r>
          </w:p>
        </w:tc>
        <w:tc>
          <w:tcPr>
            <w:tcW w:w="1275" w:type="dxa"/>
          </w:tcPr>
          <w:p w:rsidR="00A357CF" w:rsidRPr="004F1091" w:rsidRDefault="00A357CF">
            <w:pPr>
              <w:jc w:val="right"/>
            </w:pPr>
            <w:r w:rsidRPr="004F1091">
              <w:t xml:space="preserve">2 877 </w:t>
            </w:r>
          </w:p>
        </w:tc>
        <w:tc>
          <w:tcPr>
            <w:tcW w:w="1276" w:type="dxa"/>
          </w:tcPr>
          <w:p w:rsidR="00A357CF" w:rsidRPr="004F1091" w:rsidRDefault="00A357CF">
            <w:pPr>
              <w:jc w:val="right"/>
            </w:pPr>
            <w:r w:rsidRPr="004F1091">
              <w:t>2 919</w:t>
            </w:r>
          </w:p>
        </w:tc>
        <w:tc>
          <w:tcPr>
            <w:tcW w:w="1288" w:type="dxa"/>
          </w:tcPr>
          <w:p w:rsidR="00A357CF" w:rsidRPr="004F1091" w:rsidRDefault="00A357CF">
            <w:pPr>
              <w:jc w:val="right"/>
            </w:pPr>
            <w:r w:rsidRPr="004F1091">
              <w:t>2 956</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Kristdemokraterna</w:t>
            </w:r>
          </w:p>
        </w:tc>
        <w:tc>
          <w:tcPr>
            <w:tcW w:w="1275" w:type="dxa"/>
          </w:tcPr>
          <w:p w:rsidR="00A357CF" w:rsidRPr="004F1091" w:rsidRDefault="00A357CF">
            <w:pPr>
              <w:jc w:val="right"/>
            </w:pPr>
            <w:r w:rsidRPr="004F1091">
              <w:t xml:space="preserve">2 983 </w:t>
            </w:r>
          </w:p>
        </w:tc>
        <w:tc>
          <w:tcPr>
            <w:tcW w:w="1276" w:type="dxa"/>
          </w:tcPr>
          <w:p w:rsidR="00A357CF" w:rsidRPr="004F1091" w:rsidRDefault="00A357CF">
            <w:pPr>
              <w:jc w:val="right"/>
            </w:pPr>
            <w:r w:rsidRPr="004F1091">
              <w:t xml:space="preserve">3 027 </w:t>
            </w:r>
          </w:p>
        </w:tc>
        <w:tc>
          <w:tcPr>
            <w:tcW w:w="1288" w:type="dxa"/>
          </w:tcPr>
          <w:p w:rsidR="00A357CF" w:rsidRPr="004F1091" w:rsidRDefault="00A357CF">
            <w:pPr>
              <w:jc w:val="right"/>
            </w:pPr>
            <w:r w:rsidRPr="004F1091">
              <w:t>3 066</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Centerpartiet</w:t>
            </w:r>
          </w:p>
        </w:tc>
        <w:tc>
          <w:tcPr>
            <w:tcW w:w="1275" w:type="dxa"/>
          </w:tcPr>
          <w:p w:rsidR="00A357CF" w:rsidRPr="004F1091" w:rsidRDefault="00A357CF">
            <w:pPr>
              <w:jc w:val="right"/>
            </w:pPr>
            <w:r w:rsidRPr="004F1091">
              <w:t xml:space="preserve">2 901 </w:t>
            </w:r>
          </w:p>
        </w:tc>
        <w:tc>
          <w:tcPr>
            <w:tcW w:w="1276" w:type="dxa"/>
          </w:tcPr>
          <w:p w:rsidR="00A357CF" w:rsidRPr="004F1091" w:rsidRDefault="00A357CF">
            <w:pPr>
              <w:jc w:val="right"/>
            </w:pPr>
            <w:r w:rsidRPr="004F1091">
              <w:t>2 901</w:t>
            </w:r>
          </w:p>
        </w:tc>
        <w:tc>
          <w:tcPr>
            <w:tcW w:w="1288" w:type="dxa"/>
          </w:tcPr>
          <w:p w:rsidR="00A357CF" w:rsidRPr="004F1091" w:rsidRDefault="00A357CF">
            <w:pPr>
              <w:jc w:val="right"/>
            </w:pPr>
            <w:r w:rsidRPr="004F1091">
              <w:t>2 901</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Folkpartiet</w:t>
            </w:r>
          </w:p>
        </w:tc>
        <w:tc>
          <w:tcPr>
            <w:tcW w:w="1275" w:type="dxa"/>
          </w:tcPr>
          <w:p w:rsidR="00A357CF" w:rsidRPr="004F1091" w:rsidRDefault="00A357CF">
            <w:pPr>
              <w:jc w:val="right"/>
            </w:pPr>
            <w:r w:rsidRPr="004F1091">
              <w:t xml:space="preserve">2 983 </w:t>
            </w:r>
          </w:p>
        </w:tc>
        <w:tc>
          <w:tcPr>
            <w:tcW w:w="1276" w:type="dxa"/>
          </w:tcPr>
          <w:p w:rsidR="00A357CF" w:rsidRPr="004F1091" w:rsidRDefault="00A357CF">
            <w:pPr>
              <w:jc w:val="right"/>
            </w:pPr>
            <w:r w:rsidRPr="004F1091">
              <w:t xml:space="preserve">3 027 </w:t>
            </w:r>
          </w:p>
        </w:tc>
        <w:tc>
          <w:tcPr>
            <w:tcW w:w="1288" w:type="dxa"/>
          </w:tcPr>
          <w:p w:rsidR="00A357CF" w:rsidRPr="004F1091" w:rsidRDefault="00A357CF">
            <w:pPr>
              <w:jc w:val="right"/>
            </w:pPr>
            <w:r w:rsidRPr="004F1091">
              <w:t>3 066</w:t>
            </w:r>
          </w:p>
        </w:tc>
      </w:tr>
    </w:tbl>
    <w:p w:rsidR="00A357CF" w:rsidRPr="004F1091" w:rsidRDefault="00A357CF"/>
    <w:p w:rsidR="00A357CF" w:rsidRPr="004F1091" w:rsidRDefault="00A357CF">
      <w:r w:rsidRPr="004F1091">
        <w:t>Regeringens förslag och differenser gentemot detta</w:t>
      </w:r>
    </w:p>
    <w:p w:rsidR="00A357CF" w:rsidRPr="004F1091" w:rsidRDefault="00A357CF">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4F1091">
        <w:tblPrEx>
          <w:tblCellMar>
            <w:top w:w="0" w:type="dxa"/>
            <w:bottom w:w="0" w:type="dxa"/>
          </w:tblCellMar>
        </w:tblPrEx>
        <w:tc>
          <w:tcPr>
            <w:tcW w:w="2197" w:type="dxa"/>
            <w:shd w:val="pct35" w:color="auto" w:fill="FFFFFF"/>
          </w:tcPr>
          <w:p w:rsidR="00A357CF" w:rsidRPr="004F1091" w:rsidRDefault="00A357CF"/>
        </w:tc>
        <w:tc>
          <w:tcPr>
            <w:tcW w:w="1275" w:type="dxa"/>
          </w:tcPr>
          <w:p w:rsidR="00A357CF" w:rsidRPr="004F1091" w:rsidRDefault="00A357CF">
            <w:pPr>
              <w:jc w:val="center"/>
              <w:rPr>
                <w:b/>
              </w:rPr>
            </w:pPr>
            <w:r w:rsidRPr="004F1091">
              <w:rPr>
                <w:b/>
              </w:rPr>
              <w:t>Bå 2000</w:t>
            </w:r>
          </w:p>
          <w:p w:rsidR="00A357CF" w:rsidRPr="004F1091" w:rsidRDefault="00A357CF">
            <w:pPr>
              <w:jc w:val="center"/>
            </w:pPr>
            <w:r w:rsidRPr="004F1091">
              <w:rPr>
                <w:i/>
              </w:rPr>
              <w:t>(mkr)</w:t>
            </w:r>
          </w:p>
        </w:tc>
        <w:tc>
          <w:tcPr>
            <w:tcW w:w="1276" w:type="dxa"/>
          </w:tcPr>
          <w:p w:rsidR="00A357CF" w:rsidRPr="004F1091" w:rsidRDefault="00A357CF">
            <w:pPr>
              <w:jc w:val="center"/>
              <w:rPr>
                <w:b/>
              </w:rPr>
            </w:pPr>
            <w:r w:rsidRPr="004F1091">
              <w:rPr>
                <w:b/>
              </w:rPr>
              <w:t>Bå 2001</w:t>
            </w:r>
          </w:p>
          <w:p w:rsidR="00A357CF" w:rsidRPr="004F1091" w:rsidRDefault="00A357CF">
            <w:pPr>
              <w:jc w:val="center"/>
            </w:pPr>
            <w:r w:rsidRPr="004F1091">
              <w:rPr>
                <w:i/>
              </w:rPr>
              <w:t>(mkr)</w:t>
            </w:r>
          </w:p>
        </w:tc>
        <w:tc>
          <w:tcPr>
            <w:tcW w:w="1288" w:type="dxa"/>
          </w:tcPr>
          <w:p w:rsidR="00A357CF" w:rsidRPr="004F1091" w:rsidRDefault="00A357CF">
            <w:pPr>
              <w:jc w:val="center"/>
              <w:rPr>
                <w:b/>
              </w:rPr>
            </w:pPr>
            <w:r w:rsidRPr="004F1091">
              <w:rPr>
                <w:b/>
              </w:rPr>
              <w:t>Bå 2002</w:t>
            </w:r>
          </w:p>
          <w:p w:rsidR="00A357CF" w:rsidRPr="004F1091" w:rsidRDefault="00A357CF">
            <w:pPr>
              <w:jc w:val="center"/>
              <w:rPr>
                <w:i/>
              </w:rPr>
            </w:pPr>
            <w:r w:rsidRPr="004F1091">
              <w:rPr>
                <w:i/>
              </w:rPr>
              <w:t>(mkr)</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Regeringen</w:t>
            </w:r>
          </w:p>
        </w:tc>
        <w:tc>
          <w:tcPr>
            <w:tcW w:w="1275" w:type="dxa"/>
          </w:tcPr>
          <w:p w:rsidR="00A357CF" w:rsidRPr="004F1091" w:rsidRDefault="00A357CF">
            <w:pPr>
              <w:jc w:val="right"/>
            </w:pPr>
            <w:r w:rsidRPr="004F1091">
              <w:t xml:space="preserve">2 983 </w:t>
            </w:r>
          </w:p>
        </w:tc>
        <w:tc>
          <w:tcPr>
            <w:tcW w:w="1276" w:type="dxa"/>
          </w:tcPr>
          <w:p w:rsidR="00A357CF" w:rsidRPr="004F1091" w:rsidRDefault="00A357CF">
            <w:pPr>
              <w:jc w:val="right"/>
            </w:pPr>
            <w:r w:rsidRPr="004F1091">
              <w:t xml:space="preserve">3 027 </w:t>
            </w:r>
          </w:p>
        </w:tc>
        <w:tc>
          <w:tcPr>
            <w:tcW w:w="1288" w:type="dxa"/>
          </w:tcPr>
          <w:p w:rsidR="00A357CF" w:rsidRPr="004F1091" w:rsidRDefault="00A357CF">
            <w:pPr>
              <w:jc w:val="right"/>
            </w:pPr>
            <w:r w:rsidRPr="004F1091">
              <w:t xml:space="preserve">3 066 </w:t>
            </w:r>
          </w:p>
        </w:tc>
      </w:tr>
      <w:tr w:rsidR="00000000" w:rsidRPr="004F1091">
        <w:tblPrEx>
          <w:tblCellMar>
            <w:top w:w="0" w:type="dxa"/>
            <w:bottom w:w="0" w:type="dxa"/>
          </w:tblCellMar>
        </w:tblPrEx>
        <w:tc>
          <w:tcPr>
            <w:tcW w:w="2197" w:type="dxa"/>
          </w:tcPr>
          <w:p w:rsidR="00A357CF" w:rsidRPr="004F1091" w:rsidRDefault="00A357CF">
            <w:pPr>
              <w:rPr>
                <w:b/>
                <w:sz w:val="18"/>
              </w:rPr>
            </w:pPr>
            <w:r w:rsidRPr="004F1091">
              <w:rPr>
                <w:b/>
                <w:sz w:val="18"/>
              </w:rPr>
              <w:t>Moderata samlingspart</w:t>
            </w:r>
            <w:r w:rsidRPr="004F1091">
              <w:rPr>
                <w:b/>
                <w:sz w:val="18"/>
              </w:rPr>
              <w:t>i</w:t>
            </w:r>
            <w:r w:rsidRPr="004F1091">
              <w:rPr>
                <w:b/>
                <w:sz w:val="18"/>
              </w:rPr>
              <w:t>et</w:t>
            </w:r>
          </w:p>
        </w:tc>
        <w:tc>
          <w:tcPr>
            <w:tcW w:w="1275" w:type="dxa"/>
          </w:tcPr>
          <w:p w:rsidR="00A357CF" w:rsidRPr="004F1091" w:rsidRDefault="00A357CF">
            <w:pPr>
              <w:jc w:val="right"/>
            </w:pPr>
            <w:r w:rsidRPr="004F1091">
              <w:t xml:space="preserve">- 106 </w:t>
            </w:r>
          </w:p>
        </w:tc>
        <w:tc>
          <w:tcPr>
            <w:tcW w:w="1276" w:type="dxa"/>
          </w:tcPr>
          <w:p w:rsidR="00A357CF" w:rsidRPr="004F1091" w:rsidRDefault="00A357CF">
            <w:pPr>
              <w:jc w:val="right"/>
            </w:pPr>
            <w:r w:rsidRPr="004F1091">
              <w:t>- 108</w:t>
            </w:r>
          </w:p>
        </w:tc>
        <w:tc>
          <w:tcPr>
            <w:tcW w:w="1288" w:type="dxa"/>
          </w:tcPr>
          <w:p w:rsidR="00A357CF" w:rsidRPr="004F1091" w:rsidRDefault="00A357CF">
            <w:pPr>
              <w:jc w:val="right"/>
            </w:pPr>
            <w:r w:rsidRPr="004F1091">
              <w:t>- 110</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Kristdemokraterna</w:t>
            </w:r>
          </w:p>
        </w:tc>
        <w:tc>
          <w:tcPr>
            <w:tcW w:w="1275" w:type="dxa"/>
          </w:tcPr>
          <w:p w:rsidR="00A357CF" w:rsidRPr="004F1091" w:rsidRDefault="00A357CF">
            <w:pPr>
              <w:jc w:val="right"/>
            </w:pPr>
            <w:r w:rsidRPr="004F1091">
              <w:t>±0</w:t>
            </w:r>
          </w:p>
        </w:tc>
        <w:tc>
          <w:tcPr>
            <w:tcW w:w="1276" w:type="dxa"/>
          </w:tcPr>
          <w:p w:rsidR="00A357CF" w:rsidRPr="004F1091" w:rsidRDefault="00A357CF">
            <w:pPr>
              <w:jc w:val="right"/>
            </w:pPr>
            <w:r w:rsidRPr="004F1091">
              <w:t>±0</w:t>
            </w:r>
          </w:p>
        </w:tc>
        <w:tc>
          <w:tcPr>
            <w:tcW w:w="1288" w:type="dxa"/>
          </w:tcPr>
          <w:p w:rsidR="00A357CF" w:rsidRPr="004F1091" w:rsidRDefault="00A357CF">
            <w:pPr>
              <w:jc w:val="right"/>
            </w:pPr>
            <w:r w:rsidRPr="004F1091">
              <w:t>±0</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Centerpartiet</w:t>
            </w:r>
          </w:p>
        </w:tc>
        <w:tc>
          <w:tcPr>
            <w:tcW w:w="1275" w:type="dxa"/>
          </w:tcPr>
          <w:p w:rsidR="00A357CF" w:rsidRPr="004F1091" w:rsidRDefault="00A357CF">
            <w:pPr>
              <w:jc w:val="right"/>
            </w:pPr>
            <w:r w:rsidRPr="004F1091">
              <w:t xml:space="preserve">- 82 </w:t>
            </w:r>
          </w:p>
        </w:tc>
        <w:tc>
          <w:tcPr>
            <w:tcW w:w="1276" w:type="dxa"/>
          </w:tcPr>
          <w:p w:rsidR="00A357CF" w:rsidRPr="004F1091" w:rsidRDefault="00A357CF">
            <w:pPr>
              <w:jc w:val="right"/>
            </w:pPr>
            <w:r w:rsidRPr="004F1091">
              <w:t xml:space="preserve">- 126 </w:t>
            </w:r>
          </w:p>
        </w:tc>
        <w:tc>
          <w:tcPr>
            <w:tcW w:w="1288" w:type="dxa"/>
          </w:tcPr>
          <w:p w:rsidR="00A357CF" w:rsidRPr="004F1091" w:rsidRDefault="00A357CF">
            <w:pPr>
              <w:jc w:val="right"/>
            </w:pPr>
            <w:r w:rsidRPr="004F1091">
              <w:t>- 165</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Folkpartiet</w:t>
            </w:r>
          </w:p>
        </w:tc>
        <w:tc>
          <w:tcPr>
            <w:tcW w:w="1275" w:type="dxa"/>
          </w:tcPr>
          <w:p w:rsidR="00A357CF" w:rsidRPr="004F1091" w:rsidRDefault="00A357CF">
            <w:pPr>
              <w:jc w:val="right"/>
            </w:pPr>
            <w:r w:rsidRPr="004F1091">
              <w:t>±0</w:t>
            </w:r>
          </w:p>
        </w:tc>
        <w:tc>
          <w:tcPr>
            <w:tcW w:w="1276" w:type="dxa"/>
          </w:tcPr>
          <w:p w:rsidR="00A357CF" w:rsidRPr="004F1091" w:rsidRDefault="00A357CF">
            <w:pPr>
              <w:jc w:val="right"/>
            </w:pPr>
            <w:r w:rsidRPr="004F1091">
              <w:t>±0</w:t>
            </w:r>
          </w:p>
        </w:tc>
        <w:tc>
          <w:tcPr>
            <w:tcW w:w="1288" w:type="dxa"/>
          </w:tcPr>
          <w:p w:rsidR="00A357CF" w:rsidRPr="004F1091" w:rsidRDefault="00A357CF">
            <w:pPr>
              <w:jc w:val="right"/>
            </w:pPr>
            <w:r w:rsidRPr="004F1091">
              <w:t>±0</w:t>
            </w:r>
          </w:p>
        </w:tc>
      </w:tr>
    </w:tbl>
    <w:p w:rsidR="00A357CF" w:rsidRPr="004F1091" w:rsidRDefault="00A357CF"/>
    <w:p w:rsidR="00A357CF" w:rsidRPr="004F1091" w:rsidRDefault="00A357CF">
      <w:pPr>
        <w:pStyle w:val="Rubrik2"/>
      </w:pPr>
      <w:r w:rsidRPr="004F1091">
        <w:br w:type="page"/>
      </w:r>
      <w:bookmarkStart w:id="37" w:name="_Toc465764676"/>
      <w:r w:rsidRPr="004F1091">
        <w:t>Utgiftsområde 7 Internationellt bistånd</w:t>
      </w:r>
      <w:bookmarkEnd w:id="37"/>
    </w:p>
    <w:p w:rsidR="00A357CF" w:rsidRPr="004F1091" w:rsidRDefault="00A357CF">
      <w:pPr>
        <w:pStyle w:val="Normaltindrag"/>
      </w:pPr>
    </w:p>
    <w:p w:rsidR="00A357CF" w:rsidRPr="004F1091" w:rsidRDefault="00A357CF">
      <w:r w:rsidRPr="004F1091">
        <w:t>Absoluta tal</w:t>
      </w:r>
    </w:p>
    <w:p w:rsidR="00A357CF" w:rsidRPr="004F1091" w:rsidRDefault="00A357CF">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4F1091">
        <w:tblPrEx>
          <w:tblCellMar>
            <w:top w:w="0" w:type="dxa"/>
            <w:bottom w:w="0" w:type="dxa"/>
          </w:tblCellMar>
        </w:tblPrEx>
        <w:tc>
          <w:tcPr>
            <w:tcW w:w="2197" w:type="dxa"/>
            <w:shd w:val="pct35" w:color="auto" w:fill="FFFFFF"/>
          </w:tcPr>
          <w:p w:rsidR="00A357CF" w:rsidRPr="004F1091" w:rsidRDefault="00A357CF"/>
        </w:tc>
        <w:tc>
          <w:tcPr>
            <w:tcW w:w="1275" w:type="dxa"/>
          </w:tcPr>
          <w:p w:rsidR="00A357CF" w:rsidRPr="004F1091" w:rsidRDefault="00A357CF">
            <w:pPr>
              <w:jc w:val="center"/>
              <w:rPr>
                <w:b/>
              </w:rPr>
            </w:pPr>
            <w:r w:rsidRPr="004F1091">
              <w:rPr>
                <w:b/>
              </w:rPr>
              <w:t>Bå 2000</w:t>
            </w:r>
          </w:p>
          <w:p w:rsidR="00A357CF" w:rsidRPr="004F1091" w:rsidRDefault="00A357CF">
            <w:pPr>
              <w:jc w:val="center"/>
            </w:pPr>
            <w:r w:rsidRPr="004F1091">
              <w:rPr>
                <w:i/>
              </w:rPr>
              <w:t>(mkr)</w:t>
            </w:r>
          </w:p>
        </w:tc>
        <w:tc>
          <w:tcPr>
            <w:tcW w:w="1276" w:type="dxa"/>
          </w:tcPr>
          <w:p w:rsidR="00A357CF" w:rsidRPr="004F1091" w:rsidRDefault="00A357CF">
            <w:pPr>
              <w:jc w:val="center"/>
              <w:rPr>
                <w:b/>
              </w:rPr>
            </w:pPr>
            <w:r w:rsidRPr="004F1091">
              <w:rPr>
                <w:b/>
              </w:rPr>
              <w:t>Bå 2001</w:t>
            </w:r>
          </w:p>
          <w:p w:rsidR="00A357CF" w:rsidRPr="004F1091" w:rsidRDefault="00A357CF">
            <w:pPr>
              <w:jc w:val="center"/>
            </w:pPr>
            <w:r w:rsidRPr="004F1091">
              <w:rPr>
                <w:i/>
              </w:rPr>
              <w:t>(mkr)</w:t>
            </w:r>
          </w:p>
        </w:tc>
        <w:tc>
          <w:tcPr>
            <w:tcW w:w="1288" w:type="dxa"/>
          </w:tcPr>
          <w:p w:rsidR="00A357CF" w:rsidRPr="004F1091" w:rsidRDefault="00A357CF">
            <w:pPr>
              <w:jc w:val="center"/>
              <w:rPr>
                <w:b/>
              </w:rPr>
            </w:pPr>
            <w:r w:rsidRPr="004F1091">
              <w:rPr>
                <w:b/>
              </w:rPr>
              <w:t>Bå 2002</w:t>
            </w:r>
          </w:p>
          <w:p w:rsidR="00A357CF" w:rsidRPr="004F1091" w:rsidRDefault="00A357CF">
            <w:pPr>
              <w:jc w:val="center"/>
              <w:rPr>
                <w:i/>
              </w:rPr>
            </w:pPr>
            <w:r w:rsidRPr="004F1091">
              <w:rPr>
                <w:i/>
              </w:rPr>
              <w:t>(mkr)</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Regeringen</w:t>
            </w:r>
          </w:p>
        </w:tc>
        <w:tc>
          <w:tcPr>
            <w:tcW w:w="1275" w:type="dxa"/>
          </w:tcPr>
          <w:p w:rsidR="00A357CF" w:rsidRPr="004F1091" w:rsidRDefault="00A357CF">
            <w:pPr>
              <w:jc w:val="right"/>
            </w:pPr>
            <w:r w:rsidRPr="004F1091">
              <w:t xml:space="preserve">13 237 </w:t>
            </w:r>
          </w:p>
        </w:tc>
        <w:tc>
          <w:tcPr>
            <w:tcW w:w="1276" w:type="dxa"/>
          </w:tcPr>
          <w:p w:rsidR="00A357CF" w:rsidRPr="004F1091" w:rsidRDefault="00A357CF">
            <w:pPr>
              <w:jc w:val="right"/>
            </w:pPr>
            <w:r w:rsidRPr="004F1091">
              <w:t xml:space="preserve">14 358 </w:t>
            </w:r>
          </w:p>
        </w:tc>
        <w:tc>
          <w:tcPr>
            <w:tcW w:w="1288" w:type="dxa"/>
          </w:tcPr>
          <w:p w:rsidR="00A357CF" w:rsidRPr="004F1091" w:rsidRDefault="00A357CF">
            <w:pPr>
              <w:jc w:val="right"/>
            </w:pPr>
            <w:r w:rsidRPr="004F1091">
              <w:t xml:space="preserve">14 326 </w:t>
            </w:r>
          </w:p>
        </w:tc>
      </w:tr>
      <w:tr w:rsidR="00000000" w:rsidRPr="004F1091">
        <w:tblPrEx>
          <w:tblCellMar>
            <w:top w:w="0" w:type="dxa"/>
            <w:bottom w:w="0" w:type="dxa"/>
          </w:tblCellMar>
        </w:tblPrEx>
        <w:tc>
          <w:tcPr>
            <w:tcW w:w="2197" w:type="dxa"/>
          </w:tcPr>
          <w:p w:rsidR="00A357CF" w:rsidRPr="004F1091" w:rsidRDefault="00A357CF">
            <w:pPr>
              <w:rPr>
                <w:b/>
                <w:sz w:val="18"/>
              </w:rPr>
            </w:pPr>
            <w:r w:rsidRPr="004F1091">
              <w:rPr>
                <w:b/>
                <w:sz w:val="18"/>
              </w:rPr>
              <w:t>Moderata samlingspart</w:t>
            </w:r>
            <w:r w:rsidRPr="004F1091">
              <w:rPr>
                <w:b/>
                <w:sz w:val="18"/>
              </w:rPr>
              <w:t>i</w:t>
            </w:r>
            <w:r w:rsidRPr="004F1091">
              <w:rPr>
                <w:b/>
                <w:sz w:val="18"/>
              </w:rPr>
              <w:t>et</w:t>
            </w:r>
          </w:p>
        </w:tc>
        <w:tc>
          <w:tcPr>
            <w:tcW w:w="1275" w:type="dxa"/>
          </w:tcPr>
          <w:p w:rsidR="00A357CF" w:rsidRPr="004F1091" w:rsidRDefault="00A357CF">
            <w:pPr>
              <w:jc w:val="right"/>
            </w:pPr>
            <w:r w:rsidRPr="004F1091">
              <w:t xml:space="preserve">12 174 </w:t>
            </w:r>
          </w:p>
        </w:tc>
        <w:tc>
          <w:tcPr>
            <w:tcW w:w="1276" w:type="dxa"/>
          </w:tcPr>
          <w:p w:rsidR="00A357CF" w:rsidRPr="004F1091" w:rsidRDefault="00A357CF">
            <w:pPr>
              <w:jc w:val="right"/>
            </w:pPr>
            <w:r w:rsidRPr="004F1091">
              <w:t>12 385</w:t>
            </w:r>
          </w:p>
        </w:tc>
        <w:tc>
          <w:tcPr>
            <w:tcW w:w="1288" w:type="dxa"/>
          </w:tcPr>
          <w:p w:rsidR="00A357CF" w:rsidRPr="004F1091" w:rsidRDefault="00A357CF">
            <w:pPr>
              <w:jc w:val="right"/>
            </w:pPr>
            <w:r w:rsidRPr="004F1091">
              <w:t>11 415</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Kristdemokraterna</w:t>
            </w:r>
          </w:p>
        </w:tc>
        <w:tc>
          <w:tcPr>
            <w:tcW w:w="1275" w:type="dxa"/>
          </w:tcPr>
          <w:p w:rsidR="00A357CF" w:rsidRPr="004F1091" w:rsidRDefault="00A357CF">
            <w:pPr>
              <w:jc w:val="right"/>
            </w:pPr>
            <w:r w:rsidRPr="004F1091">
              <w:t>14 337</w:t>
            </w:r>
          </w:p>
        </w:tc>
        <w:tc>
          <w:tcPr>
            <w:tcW w:w="1276" w:type="dxa"/>
          </w:tcPr>
          <w:p w:rsidR="00A357CF" w:rsidRPr="004F1091" w:rsidRDefault="00A357CF">
            <w:pPr>
              <w:jc w:val="right"/>
            </w:pPr>
            <w:r w:rsidRPr="004F1091">
              <w:t>15 713</w:t>
            </w:r>
          </w:p>
        </w:tc>
        <w:tc>
          <w:tcPr>
            <w:tcW w:w="1288" w:type="dxa"/>
          </w:tcPr>
          <w:p w:rsidR="00A357CF" w:rsidRPr="004F1091" w:rsidRDefault="00A357CF">
            <w:pPr>
              <w:jc w:val="right"/>
            </w:pPr>
            <w:r w:rsidRPr="004F1091">
              <w:t>16 126</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Centerpartiet</w:t>
            </w:r>
          </w:p>
        </w:tc>
        <w:tc>
          <w:tcPr>
            <w:tcW w:w="1275" w:type="dxa"/>
          </w:tcPr>
          <w:p w:rsidR="00A357CF" w:rsidRPr="004F1091" w:rsidRDefault="00A357CF">
            <w:pPr>
              <w:jc w:val="right"/>
            </w:pPr>
            <w:r w:rsidRPr="004F1091">
              <w:t>13 432</w:t>
            </w:r>
          </w:p>
        </w:tc>
        <w:tc>
          <w:tcPr>
            <w:tcW w:w="1276" w:type="dxa"/>
          </w:tcPr>
          <w:p w:rsidR="00A357CF" w:rsidRPr="004F1091" w:rsidRDefault="00A357CF">
            <w:pPr>
              <w:jc w:val="right"/>
            </w:pPr>
            <w:r w:rsidRPr="004F1091">
              <w:t>14 758</w:t>
            </w:r>
          </w:p>
        </w:tc>
        <w:tc>
          <w:tcPr>
            <w:tcW w:w="1288" w:type="dxa"/>
          </w:tcPr>
          <w:p w:rsidR="00A357CF" w:rsidRPr="004F1091" w:rsidRDefault="00A357CF">
            <w:pPr>
              <w:jc w:val="right"/>
            </w:pPr>
            <w:r w:rsidRPr="004F1091">
              <w:t>15 026</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Folkpartiet</w:t>
            </w:r>
          </w:p>
        </w:tc>
        <w:tc>
          <w:tcPr>
            <w:tcW w:w="1275" w:type="dxa"/>
          </w:tcPr>
          <w:p w:rsidR="00A357CF" w:rsidRPr="004F1091" w:rsidRDefault="00A357CF">
            <w:pPr>
              <w:jc w:val="right"/>
            </w:pPr>
            <w:r w:rsidRPr="004F1091">
              <w:t xml:space="preserve">14 736 </w:t>
            </w:r>
          </w:p>
        </w:tc>
        <w:tc>
          <w:tcPr>
            <w:tcW w:w="1276" w:type="dxa"/>
          </w:tcPr>
          <w:p w:rsidR="00A357CF" w:rsidRPr="004F1091" w:rsidRDefault="00A357CF">
            <w:pPr>
              <w:jc w:val="right"/>
            </w:pPr>
            <w:r w:rsidRPr="004F1091">
              <w:t>16 558</w:t>
            </w:r>
          </w:p>
        </w:tc>
        <w:tc>
          <w:tcPr>
            <w:tcW w:w="1288" w:type="dxa"/>
          </w:tcPr>
          <w:p w:rsidR="00A357CF" w:rsidRPr="004F1091" w:rsidRDefault="00A357CF">
            <w:pPr>
              <w:jc w:val="right"/>
            </w:pPr>
            <w:r w:rsidRPr="004F1091">
              <w:t>16 926</w:t>
            </w:r>
          </w:p>
        </w:tc>
      </w:tr>
    </w:tbl>
    <w:p w:rsidR="00A357CF" w:rsidRPr="004F1091" w:rsidRDefault="00A357CF">
      <w:pPr>
        <w:pStyle w:val="Normaltindrag"/>
      </w:pPr>
    </w:p>
    <w:p w:rsidR="00A357CF" w:rsidRPr="004F1091" w:rsidRDefault="00A357CF">
      <w:r w:rsidRPr="004F1091">
        <w:t>Regeringens förslag och differenser gentemot detta</w:t>
      </w:r>
    </w:p>
    <w:p w:rsidR="00A357CF" w:rsidRPr="004F1091" w:rsidRDefault="00A357CF">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4F1091">
        <w:tblPrEx>
          <w:tblCellMar>
            <w:top w:w="0" w:type="dxa"/>
            <w:bottom w:w="0" w:type="dxa"/>
          </w:tblCellMar>
        </w:tblPrEx>
        <w:tc>
          <w:tcPr>
            <w:tcW w:w="2197" w:type="dxa"/>
            <w:shd w:val="pct35" w:color="auto" w:fill="FFFFFF"/>
          </w:tcPr>
          <w:p w:rsidR="00A357CF" w:rsidRPr="004F1091" w:rsidRDefault="00A357CF"/>
          <w:p w:rsidR="00A357CF" w:rsidRPr="004F1091" w:rsidRDefault="00A357CF">
            <w:pPr>
              <w:pStyle w:val="Normaltindrag"/>
            </w:pPr>
          </w:p>
        </w:tc>
        <w:tc>
          <w:tcPr>
            <w:tcW w:w="1275" w:type="dxa"/>
          </w:tcPr>
          <w:p w:rsidR="00A357CF" w:rsidRPr="004F1091" w:rsidRDefault="00A357CF">
            <w:pPr>
              <w:jc w:val="center"/>
              <w:rPr>
                <w:b/>
              </w:rPr>
            </w:pPr>
            <w:r w:rsidRPr="004F1091">
              <w:rPr>
                <w:b/>
              </w:rPr>
              <w:t>Bå 2000</w:t>
            </w:r>
          </w:p>
          <w:p w:rsidR="00A357CF" w:rsidRPr="004F1091" w:rsidRDefault="00A357CF">
            <w:pPr>
              <w:jc w:val="center"/>
            </w:pPr>
            <w:r w:rsidRPr="004F1091">
              <w:rPr>
                <w:i/>
              </w:rPr>
              <w:t>(mkr)</w:t>
            </w:r>
          </w:p>
        </w:tc>
        <w:tc>
          <w:tcPr>
            <w:tcW w:w="1276" w:type="dxa"/>
          </w:tcPr>
          <w:p w:rsidR="00A357CF" w:rsidRPr="004F1091" w:rsidRDefault="00A357CF">
            <w:pPr>
              <w:jc w:val="center"/>
              <w:rPr>
                <w:b/>
              </w:rPr>
            </w:pPr>
            <w:r w:rsidRPr="004F1091">
              <w:rPr>
                <w:b/>
              </w:rPr>
              <w:t>Bå 2001</w:t>
            </w:r>
          </w:p>
          <w:p w:rsidR="00A357CF" w:rsidRPr="004F1091" w:rsidRDefault="00A357CF">
            <w:pPr>
              <w:jc w:val="center"/>
            </w:pPr>
            <w:r w:rsidRPr="004F1091">
              <w:rPr>
                <w:i/>
              </w:rPr>
              <w:t>(mkr)</w:t>
            </w:r>
          </w:p>
        </w:tc>
        <w:tc>
          <w:tcPr>
            <w:tcW w:w="1288" w:type="dxa"/>
          </w:tcPr>
          <w:p w:rsidR="00A357CF" w:rsidRPr="004F1091" w:rsidRDefault="00A357CF">
            <w:pPr>
              <w:jc w:val="center"/>
              <w:rPr>
                <w:b/>
              </w:rPr>
            </w:pPr>
            <w:r w:rsidRPr="004F1091">
              <w:rPr>
                <w:b/>
              </w:rPr>
              <w:t>Bå 2002</w:t>
            </w:r>
          </w:p>
          <w:p w:rsidR="00A357CF" w:rsidRPr="004F1091" w:rsidRDefault="00A357CF">
            <w:pPr>
              <w:jc w:val="center"/>
              <w:rPr>
                <w:i/>
              </w:rPr>
            </w:pPr>
            <w:r w:rsidRPr="004F1091">
              <w:rPr>
                <w:i/>
              </w:rPr>
              <w:t>(mkr)</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Regeringen</w:t>
            </w:r>
          </w:p>
        </w:tc>
        <w:tc>
          <w:tcPr>
            <w:tcW w:w="1275" w:type="dxa"/>
          </w:tcPr>
          <w:p w:rsidR="00A357CF" w:rsidRPr="004F1091" w:rsidRDefault="00A357CF">
            <w:pPr>
              <w:jc w:val="right"/>
            </w:pPr>
            <w:r w:rsidRPr="004F1091">
              <w:t xml:space="preserve">13 237 </w:t>
            </w:r>
          </w:p>
        </w:tc>
        <w:tc>
          <w:tcPr>
            <w:tcW w:w="1276" w:type="dxa"/>
          </w:tcPr>
          <w:p w:rsidR="00A357CF" w:rsidRPr="004F1091" w:rsidRDefault="00A357CF">
            <w:pPr>
              <w:jc w:val="right"/>
            </w:pPr>
            <w:r w:rsidRPr="004F1091">
              <w:t xml:space="preserve">14 358 </w:t>
            </w:r>
          </w:p>
        </w:tc>
        <w:tc>
          <w:tcPr>
            <w:tcW w:w="1288" w:type="dxa"/>
          </w:tcPr>
          <w:p w:rsidR="00A357CF" w:rsidRPr="004F1091" w:rsidRDefault="00A357CF">
            <w:pPr>
              <w:jc w:val="right"/>
            </w:pPr>
            <w:r w:rsidRPr="004F1091">
              <w:t xml:space="preserve">14 326 </w:t>
            </w:r>
          </w:p>
        </w:tc>
      </w:tr>
      <w:tr w:rsidR="00000000" w:rsidRPr="004F1091">
        <w:tblPrEx>
          <w:tblCellMar>
            <w:top w:w="0" w:type="dxa"/>
            <w:bottom w:w="0" w:type="dxa"/>
          </w:tblCellMar>
        </w:tblPrEx>
        <w:tc>
          <w:tcPr>
            <w:tcW w:w="2197" w:type="dxa"/>
          </w:tcPr>
          <w:p w:rsidR="00A357CF" w:rsidRPr="004F1091" w:rsidRDefault="00A357CF">
            <w:pPr>
              <w:rPr>
                <w:b/>
                <w:sz w:val="18"/>
              </w:rPr>
            </w:pPr>
            <w:r w:rsidRPr="004F1091">
              <w:rPr>
                <w:b/>
                <w:sz w:val="18"/>
              </w:rPr>
              <w:t>Moderata samlingspart</w:t>
            </w:r>
            <w:r w:rsidRPr="004F1091">
              <w:rPr>
                <w:b/>
                <w:sz w:val="18"/>
              </w:rPr>
              <w:t>i</w:t>
            </w:r>
            <w:r w:rsidRPr="004F1091">
              <w:rPr>
                <w:b/>
                <w:sz w:val="18"/>
              </w:rPr>
              <w:t>et</w:t>
            </w:r>
          </w:p>
        </w:tc>
        <w:tc>
          <w:tcPr>
            <w:tcW w:w="1275" w:type="dxa"/>
          </w:tcPr>
          <w:p w:rsidR="00A357CF" w:rsidRPr="004F1091" w:rsidRDefault="00A357CF">
            <w:pPr>
              <w:jc w:val="right"/>
            </w:pPr>
            <w:r w:rsidRPr="004F1091">
              <w:t xml:space="preserve">- 1 063 </w:t>
            </w:r>
          </w:p>
        </w:tc>
        <w:tc>
          <w:tcPr>
            <w:tcW w:w="1276" w:type="dxa"/>
          </w:tcPr>
          <w:p w:rsidR="00A357CF" w:rsidRPr="004F1091" w:rsidRDefault="00A357CF">
            <w:pPr>
              <w:jc w:val="right"/>
            </w:pPr>
            <w:r w:rsidRPr="004F1091">
              <w:t xml:space="preserve">- 1 973 </w:t>
            </w:r>
          </w:p>
        </w:tc>
        <w:tc>
          <w:tcPr>
            <w:tcW w:w="1288" w:type="dxa"/>
          </w:tcPr>
          <w:p w:rsidR="00A357CF" w:rsidRPr="004F1091" w:rsidRDefault="00A357CF">
            <w:pPr>
              <w:jc w:val="right"/>
            </w:pPr>
            <w:r w:rsidRPr="004F1091">
              <w:t xml:space="preserve">- 2 911 </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Kristdemokraterna</w:t>
            </w:r>
          </w:p>
        </w:tc>
        <w:tc>
          <w:tcPr>
            <w:tcW w:w="1275" w:type="dxa"/>
          </w:tcPr>
          <w:p w:rsidR="00A357CF" w:rsidRPr="004F1091" w:rsidRDefault="00A357CF">
            <w:pPr>
              <w:jc w:val="right"/>
            </w:pPr>
            <w:r w:rsidRPr="004F1091">
              <w:t xml:space="preserve">+ 1 100 </w:t>
            </w:r>
          </w:p>
        </w:tc>
        <w:tc>
          <w:tcPr>
            <w:tcW w:w="1276" w:type="dxa"/>
          </w:tcPr>
          <w:p w:rsidR="00A357CF" w:rsidRPr="004F1091" w:rsidRDefault="00A357CF">
            <w:pPr>
              <w:jc w:val="right"/>
            </w:pPr>
            <w:r w:rsidRPr="004F1091">
              <w:t>+ 1 355</w:t>
            </w:r>
          </w:p>
        </w:tc>
        <w:tc>
          <w:tcPr>
            <w:tcW w:w="1288" w:type="dxa"/>
          </w:tcPr>
          <w:p w:rsidR="00A357CF" w:rsidRPr="004F1091" w:rsidRDefault="00A357CF">
            <w:pPr>
              <w:jc w:val="right"/>
            </w:pPr>
            <w:r w:rsidRPr="004F1091">
              <w:t>+1 800</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Centerpartiet</w:t>
            </w:r>
          </w:p>
        </w:tc>
        <w:tc>
          <w:tcPr>
            <w:tcW w:w="1275" w:type="dxa"/>
          </w:tcPr>
          <w:p w:rsidR="00A357CF" w:rsidRPr="004F1091" w:rsidRDefault="00A357CF">
            <w:pPr>
              <w:jc w:val="right"/>
            </w:pPr>
            <w:r w:rsidRPr="004F1091">
              <w:t xml:space="preserve">+ 195 </w:t>
            </w:r>
          </w:p>
        </w:tc>
        <w:tc>
          <w:tcPr>
            <w:tcW w:w="1276" w:type="dxa"/>
          </w:tcPr>
          <w:p w:rsidR="00A357CF" w:rsidRPr="004F1091" w:rsidRDefault="00A357CF">
            <w:pPr>
              <w:jc w:val="right"/>
            </w:pPr>
            <w:r w:rsidRPr="004F1091">
              <w:t>+ 400</w:t>
            </w:r>
          </w:p>
        </w:tc>
        <w:tc>
          <w:tcPr>
            <w:tcW w:w="1288" w:type="dxa"/>
          </w:tcPr>
          <w:p w:rsidR="00A357CF" w:rsidRPr="004F1091" w:rsidRDefault="00A357CF">
            <w:pPr>
              <w:jc w:val="right"/>
            </w:pPr>
            <w:r w:rsidRPr="004F1091">
              <w:t>+ 700</w:t>
            </w:r>
          </w:p>
        </w:tc>
      </w:tr>
      <w:tr w:rsidR="00000000" w:rsidRPr="004F1091">
        <w:tblPrEx>
          <w:tblCellMar>
            <w:top w:w="0" w:type="dxa"/>
            <w:bottom w:w="0" w:type="dxa"/>
          </w:tblCellMar>
        </w:tblPrEx>
        <w:tc>
          <w:tcPr>
            <w:tcW w:w="2197" w:type="dxa"/>
          </w:tcPr>
          <w:p w:rsidR="00A357CF" w:rsidRPr="004F1091" w:rsidRDefault="00A357CF">
            <w:pPr>
              <w:rPr>
                <w:b/>
              </w:rPr>
            </w:pPr>
            <w:r w:rsidRPr="004F1091">
              <w:rPr>
                <w:b/>
              </w:rPr>
              <w:t>Folkpartiet</w:t>
            </w:r>
          </w:p>
        </w:tc>
        <w:tc>
          <w:tcPr>
            <w:tcW w:w="1275" w:type="dxa"/>
          </w:tcPr>
          <w:p w:rsidR="00A357CF" w:rsidRPr="004F1091" w:rsidRDefault="00A357CF">
            <w:pPr>
              <w:jc w:val="right"/>
            </w:pPr>
            <w:r w:rsidRPr="004F1091">
              <w:t xml:space="preserve">+ 1 500 </w:t>
            </w:r>
          </w:p>
        </w:tc>
        <w:tc>
          <w:tcPr>
            <w:tcW w:w="1276" w:type="dxa"/>
          </w:tcPr>
          <w:p w:rsidR="00A357CF" w:rsidRPr="004F1091" w:rsidRDefault="00A357CF">
            <w:pPr>
              <w:jc w:val="right"/>
            </w:pPr>
            <w:r w:rsidRPr="004F1091">
              <w:t xml:space="preserve">+ 2 200 </w:t>
            </w:r>
          </w:p>
        </w:tc>
        <w:tc>
          <w:tcPr>
            <w:tcW w:w="1288" w:type="dxa"/>
          </w:tcPr>
          <w:p w:rsidR="00A357CF" w:rsidRPr="004F1091" w:rsidRDefault="00A357CF">
            <w:pPr>
              <w:jc w:val="right"/>
            </w:pPr>
            <w:r w:rsidRPr="004F1091">
              <w:t xml:space="preserve">+ 2 600 </w:t>
            </w:r>
          </w:p>
        </w:tc>
      </w:tr>
    </w:tbl>
    <w:p w:rsidR="00A357CF" w:rsidRPr="004F1091" w:rsidRDefault="00A357CF">
      <w:pPr>
        <w:rPr>
          <w:sz w:val="16"/>
        </w:rPr>
      </w:pPr>
      <w:r w:rsidRPr="004F1091">
        <w:rPr>
          <w:sz w:val="16"/>
        </w:rPr>
        <w:t>Anm: Ovanstående båda tabeller är sinsemellan inte helt jämförbara på grund av beloppsa</w:t>
      </w:r>
      <w:r w:rsidRPr="004F1091">
        <w:rPr>
          <w:sz w:val="16"/>
        </w:rPr>
        <w:t>v</w:t>
      </w:r>
      <w:r w:rsidRPr="004F1091">
        <w:rPr>
          <w:sz w:val="16"/>
        </w:rPr>
        <w:t>run</w:t>
      </w:r>
      <w:r w:rsidRPr="004F1091">
        <w:rPr>
          <w:sz w:val="16"/>
        </w:rPr>
        <w:t>d</w:t>
      </w:r>
      <w:r w:rsidRPr="004F1091">
        <w:rPr>
          <w:sz w:val="16"/>
        </w:rPr>
        <w:t>ningar.</w:t>
      </w:r>
    </w:p>
    <w:p w:rsidR="00A357CF" w:rsidRPr="004F1091" w:rsidRDefault="00A357CF">
      <w:pPr>
        <w:pStyle w:val="Normaltindrag"/>
      </w:pPr>
    </w:p>
    <w:p w:rsidR="00A357CF" w:rsidRPr="004F1091" w:rsidRDefault="00A357CF">
      <w:pPr>
        <w:pStyle w:val="Normaltindrag"/>
        <w:sectPr w:rsidR="00000000" w:rsidRPr="004F1091">
          <w:headerReference w:type="default" r:id="rId11"/>
          <w:footerReference w:type="default" r:id="rId12"/>
          <w:pgSz w:w="11906" w:h="16838" w:code="9"/>
          <w:pgMar w:top="567" w:right="4876" w:bottom="4508" w:left="1134" w:header="227" w:footer="227" w:gutter="0"/>
          <w:cols w:space="720"/>
        </w:sectPr>
      </w:pPr>
    </w:p>
    <w:p w:rsidR="00A357CF" w:rsidRPr="004F1091" w:rsidRDefault="00A357CF">
      <w:pPr>
        <w:pStyle w:val="Innehll"/>
        <w:outlineLvl w:val="1"/>
      </w:pPr>
      <w:r w:rsidRPr="004F1091">
        <w:t>Innehållsförteckning</w:t>
      </w:r>
    </w:p>
    <w:p w:rsidR="00A357CF" w:rsidRPr="004F1091" w:rsidRDefault="00A357CF">
      <w:pPr>
        <w:pStyle w:val="Innehll1"/>
      </w:pPr>
      <w:r w:rsidRPr="004F1091">
        <w:t>Till finansutskottet</w:t>
      </w:r>
      <w:r w:rsidRPr="004F1091">
        <w:tab/>
        <w:t>1</w:t>
      </w:r>
    </w:p>
    <w:p w:rsidR="00A357CF" w:rsidRPr="004F1091" w:rsidRDefault="00A357CF">
      <w:pPr>
        <w:pStyle w:val="Innehll2"/>
      </w:pPr>
      <w:r w:rsidRPr="004F1091">
        <w:t>Propositionen</w:t>
      </w:r>
      <w:r w:rsidRPr="004F1091">
        <w:tab/>
        <w:t>1</w:t>
      </w:r>
    </w:p>
    <w:p w:rsidR="00A357CF" w:rsidRPr="004F1091" w:rsidRDefault="00A357CF">
      <w:pPr>
        <w:pStyle w:val="Innehll3"/>
      </w:pPr>
      <w:r w:rsidRPr="004F1091">
        <w:t>Yrkandena</w:t>
      </w:r>
      <w:r w:rsidRPr="004F1091">
        <w:tab/>
        <w:t>1</w:t>
      </w:r>
    </w:p>
    <w:p w:rsidR="00A357CF" w:rsidRPr="004F1091" w:rsidRDefault="00A357CF">
      <w:pPr>
        <w:pStyle w:val="Innehll2"/>
      </w:pPr>
      <w:r w:rsidRPr="004F1091">
        <w:t>Sammanfattning av propositionen</w:t>
      </w:r>
      <w:r w:rsidRPr="004F1091">
        <w:tab/>
        <w:t>1</w:t>
      </w:r>
    </w:p>
    <w:p w:rsidR="00A357CF" w:rsidRPr="004F1091" w:rsidRDefault="00A357CF">
      <w:pPr>
        <w:pStyle w:val="Innehll2"/>
      </w:pPr>
      <w:r w:rsidRPr="004F1091">
        <w:t>Motionerna</w:t>
      </w:r>
      <w:r w:rsidRPr="004F1091">
        <w:tab/>
        <w:t>2</w:t>
      </w:r>
    </w:p>
    <w:p w:rsidR="00A357CF" w:rsidRPr="004F1091" w:rsidRDefault="00A357CF">
      <w:pPr>
        <w:pStyle w:val="Innehll3"/>
      </w:pPr>
      <w:r w:rsidRPr="004F1091">
        <w:t>Motionsyrkandena</w:t>
      </w:r>
      <w:r w:rsidRPr="004F1091">
        <w:tab/>
        <w:t>2</w:t>
      </w:r>
    </w:p>
    <w:p w:rsidR="00A357CF" w:rsidRPr="004F1091" w:rsidRDefault="00A357CF">
      <w:pPr>
        <w:pStyle w:val="Innehll3"/>
      </w:pPr>
      <w:r w:rsidRPr="004F1091">
        <w:t>Sammanfattning av motionerna</w:t>
      </w:r>
      <w:r w:rsidRPr="004F1091">
        <w:tab/>
        <w:t>3</w:t>
      </w:r>
    </w:p>
    <w:p w:rsidR="00A357CF" w:rsidRPr="004F1091" w:rsidRDefault="00A357CF">
      <w:pPr>
        <w:pStyle w:val="Innehll2"/>
      </w:pPr>
      <w:r w:rsidRPr="004F1091">
        <w:t>Utskottets överväganden</w:t>
      </w:r>
      <w:r w:rsidRPr="004F1091">
        <w:tab/>
        <w:t>3</w:t>
      </w:r>
    </w:p>
    <w:p w:rsidR="00A357CF" w:rsidRPr="004F1091" w:rsidRDefault="00A357CF">
      <w:pPr>
        <w:pStyle w:val="Innehll3"/>
      </w:pPr>
      <w:r w:rsidRPr="004F1091">
        <w:t>Anslagens fördelning mellan utgiftsområdena m.m.</w:t>
      </w:r>
      <w:r w:rsidRPr="004F1091">
        <w:tab/>
        <w:t>3</w:t>
      </w:r>
    </w:p>
    <w:p w:rsidR="00A357CF" w:rsidRPr="004F1091" w:rsidRDefault="00A357CF">
      <w:pPr>
        <w:pStyle w:val="Innehll3"/>
      </w:pPr>
      <w:r w:rsidRPr="004F1091">
        <w:t>Utgiftsområde 5</w:t>
      </w:r>
      <w:r w:rsidRPr="004F1091">
        <w:tab/>
        <w:t>4</w:t>
      </w:r>
    </w:p>
    <w:p w:rsidR="00A357CF" w:rsidRPr="004F1091" w:rsidRDefault="00A357CF">
      <w:pPr>
        <w:pStyle w:val="Innehll3"/>
      </w:pPr>
      <w:r w:rsidRPr="004F1091">
        <w:t>Utgiftsområde 7</w:t>
      </w:r>
      <w:r w:rsidRPr="004F1091">
        <w:tab/>
        <w:t>4</w:t>
      </w:r>
    </w:p>
    <w:p w:rsidR="00A357CF" w:rsidRPr="004F1091" w:rsidRDefault="00A357CF">
      <w:pPr>
        <w:pStyle w:val="Innehll1"/>
      </w:pPr>
      <w:r w:rsidRPr="004F1091">
        <w:t>Avvikande meningar</w:t>
      </w:r>
      <w:r w:rsidRPr="004F1091">
        <w:tab/>
        <w:t>5</w:t>
      </w:r>
    </w:p>
    <w:p w:rsidR="00A357CF" w:rsidRPr="004F1091" w:rsidRDefault="00A357CF">
      <w:pPr>
        <w:pStyle w:val="Innehll1"/>
      </w:pPr>
      <w:r w:rsidRPr="004F1091">
        <w:rPr>
          <w:i/>
        </w:rPr>
        <w:t>Bilaga</w:t>
      </w:r>
      <w:r w:rsidRPr="004F1091">
        <w:t>:</w:t>
      </w:r>
    </w:p>
    <w:p w:rsidR="00A357CF" w:rsidRPr="004F1091" w:rsidRDefault="00A357CF">
      <w:pPr>
        <w:pStyle w:val="Innehll1"/>
      </w:pPr>
      <w:r w:rsidRPr="004F1091">
        <w:t>Förslag till fördelning av utgifter på utgiftsområdena 5 och 7 för åren 2000–2002 m.m.</w:t>
      </w:r>
      <w:r w:rsidRPr="004F1091">
        <w:tab/>
        <w:t>7</w:t>
      </w:r>
    </w:p>
    <w:p w:rsidR="00A357CF" w:rsidRPr="004F1091" w:rsidRDefault="00A357CF">
      <w:pPr>
        <w:pStyle w:val="Innehll2"/>
      </w:pPr>
      <w:r w:rsidRPr="004F1091">
        <w:t>Utgiftsområde 5 Utrikesförvaltning och internationell samverkan</w:t>
      </w:r>
      <w:r w:rsidRPr="004F1091">
        <w:tab/>
        <w:t>7</w:t>
      </w:r>
    </w:p>
    <w:p w:rsidR="00A357CF" w:rsidRPr="004F1091" w:rsidRDefault="00A357CF">
      <w:pPr>
        <w:pStyle w:val="Innehll2"/>
      </w:pPr>
      <w:r w:rsidRPr="004F1091">
        <w:t>Utgiftsområde 7 Internationellt bistånd</w:t>
      </w:r>
      <w:r w:rsidRPr="004F1091">
        <w:tab/>
        <w:t>8</w:t>
      </w:r>
    </w:p>
    <w:p w:rsidR="00A357CF" w:rsidRPr="004F1091" w:rsidRDefault="00A357CF"/>
    <w:p w:rsidR="00A357CF" w:rsidRPr="004F1091" w:rsidRDefault="00A357CF">
      <w:pPr>
        <w:pStyle w:val="Tryckort"/>
        <w:framePr w:wrap="around"/>
      </w:pPr>
      <w:r w:rsidRPr="004F1091">
        <w:t>Elanders Gotab, Stockholm  1999</w:t>
      </w:r>
    </w:p>
    <w:p w:rsidR="00A357CF" w:rsidRPr="004F1091" w:rsidRDefault="00A357CF">
      <w:pPr>
        <w:pStyle w:val="Normaltindrag"/>
      </w:pPr>
    </w:p>
    <w:sectPr w:rsidR="00A357CF" w:rsidRPr="004F1091">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7CF" w:rsidRPr="004F1091" w:rsidRDefault="00A357CF">
      <w:pPr>
        <w:spacing w:before="0" w:line="240" w:lineRule="auto"/>
      </w:pPr>
      <w:r w:rsidRPr="004F1091">
        <w:separator/>
      </w:r>
    </w:p>
  </w:endnote>
  <w:endnote w:type="continuationSeparator" w:id="0">
    <w:p w:rsidR="00A357CF" w:rsidRPr="004F1091" w:rsidRDefault="00A357CF">
      <w:pPr>
        <w:spacing w:before="0" w:line="240" w:lineRule="auto"/>
      </w:pPr>
      <w:r w:rsidRPr="004F1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CF" w:rsidRPr="004F1091" w:rsidRDefault="00A357CF">
    <w:pPr>
      <w:pStyle w:val="SidfotH"/>
      <w:framePr w:wrap="around"/>
    </w:pPr>
    <w:r w:rsidRPr="004F1091">
      <w:fldChar w:fldCharType="begin" w:fldLock="1"/>
    </w:r>
    <w:r w:rsidRPr="004F1091">
      <w:instrText xml:space="preserve"> P</w:instrText>
    </w:r>
    <w:r w:rsidRPr="004F1091">
      <w:instrText>A</w:instrText>
    </w:r>
    <w:r w:rsidRPr="004F1091">
      <w:instrText xml:space="preserve">GE </w:instrText>
    </w:r>
    <w:r w:rsidRPr="004F1091">
      <w:fldChar w:fldCharType="separate"/>
    </w:r>
    <w:r w:rsidRPr="004F1091">
      <w:t>1</w:t>
    </w:r>
    <w:r w:rsidRPr="004F1091">
      <w:fldChar w:fldCharType="end"/>
    </w:r>
  </w:p>
  <w:p w:rsidR="00A357CF" w:rsidRPr="004F1091" w:rsidRDefault="00A357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CF" w:rsidRPr="004F1091" w:rsidRDefault="00A357CF">
    <w:pPr>
      <w:pStyle w:val="SidfotH"/>
      <w:framePr w:wrap="around"/>
    </w:pPr>
    <w:r w:rsidRPr="004F1091">
      <w:fldChar w:fldCharType="begin" w:fldLock="1"/>
    </w:r>
    <w:r w:rsidRPr="004F1091">
      <w:instrText xml:space="preserve"> P</w:instrText>
    </w:r>
    <w:r w:rsidRPr="004F1091">
      <w:instrText>A</w:instrText>
    </w:r>
    <w:r w:rsidRPr="004F1091">
      <w:instrText xml:space="preserve">GE </w:instrText>
    </w:r>
    <w:r w:rsidRPr="004F1091">
      <w:fldChar w:fldCharType="separate"/>
    </w:r>
    <w:r w:rsidRPr="004F1091">
      <w:t>7</w:t>
    </w:r>
    <w:r w:rsidRPr="004F1091">
      <w:fldChar w:fldCharType="end"/>
    </w:r>
  </w:p>
  <w:p w:rsidR="00A357CF" w:rsidRPr="004F1091" w:rsidRDefault="00A357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CF" w:rsidRPr="004F1091" w:rsidRDefault="00A357CF">
    <w:pPr>
      <w:pStyle w:val="SidfotH"/>
      <w:framePr w:wrap="around"/>
    </w:pPr>
    <w:r w:rsidRPr="004F1091">
      <w:fldChar w:fldCharType="begin" w:fldLock="1"/>
    </w:r>
    <w:r w:rsidRPr="004F1091">
      <w:instrText xml:space="preserve"> PAGE </w:instrText>
    </w:r>
    <w:r w:rsidRPr="004F1091">
      <w:fldChar w:fldCharType="separate"/>
    </w:r>
    <w:r w:rsidRPr="004F1091">
      <w:t>9</w:t>
    </w:r>
    <w:r w:rsidRPr="004F1091">
      <w:fldChar w:fldCharType="end"/>
    </w:r>
  </w:p>
  <w:p w:rsidR="00A357CF" w:rsidRPr="004F1091" w:rsidRDefault="00A357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7CF" w:rsidRPr="004F1091" w:rsidRDefault="00A357CF">
      <w:pPr>
        <w:pStyle w:val="Sidfot"/>
      </w:pPr>
    </w:p>
  </w:footnote>
  <w:footnote w:type="continuationSeparator" w:id="0">
    <w:p w:rsidR="00A357CF" w:rsidRPr="004F1091" w:rsidRDefault="00A357CF">
      <w:pPr>
        <w:spacing w:before="0" w:line="240" w:lineRule="auto"/>
      </w:pPr>
      <w:r w:rsidRPr="004F10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CF" w:rsidRPr="004F1091" w:rsidRDefault="00A357CF">
    <w:pPr>
      <w:pStyle w:val="SidhuvudKant"/>
      <w:framePr w:w="1758" w:h="2744" w:hRule="exact" w:wrap="around" w:vAnchor="page" w:hAnchor="page" w:x="7372" w:y="568" w:anchorLock="0"/>
    </w:pPr>
    <w:r w:rsidRPr="004F1091">
      <w:t>1999/2000:UU1y</w:t>
    </w:r>
  </w:p>
  <w:p w:rsidR="00A357CF" w:rsidRPr="004F1091" w:rsidRDefault="00A357CF">
    <w:pPr>
      <w:pStyle w:val="SidhuvudKantBilaga"/>
      <w:framePr w:w="1758" w:h="2744" w:hRule="exact" w:wrap="around" w:vAnchor="page" w:hAnchor="page" w:x="7372" w:y="568" w:anchorLock="0"/>
    </w:pPr>
  </w:p>
  <w:p w:rsidR="00A357CF" w:rsidRPr="004F1091" w:rsidRDefault="00A357CF">
    <w:pPr>
      <w:pStyle w:val="SidhuvudKant"/>
      <w:framePr w:w="1758" w:h="2744" w:hRule="exact" w:wrap="around" w:vAnchor="page" w:hAnchor="page" w:x="7372" w:y="568" w:anchorLock="0"/>
    </w:pPr>
  </w:p>
  <w:p w:rsidR="00A357CF" w:rsidRPr="004F1091" w:rsidRDefault="00A357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CF" w:rsidRPr="004F1091" w:rsidRDefault="00A357CF">
    <w:pPr>
      <w:pStyle w:val="SidhuvudKant"/>
      <w:framePr w:w="1758" w:h="2744" w:hRule="exact" w:wrap="around" w:vAnchor="page" w:hAnchor="page" w:x="7372" w:y="568" w:anchorLock="0"/>
    </w:pPr>
    <w:r w:rsidRPr="004F1091">
      <w:t>1999/2000:UU1y</w:t>
    </w:r>
  </w:p>
  <w:p w:rsidR="00A357CF" w:rsidRPr="004F1091" w:rsidRDefault="00A357CF">
    <w:pPr>
      <w:pStyle w:val="SidhuvudKantBilaga"/>
      <w:framePr w:w="1758" w:h="2744" w:hRule="exact" w:wrap="around" w:vAnchor="page" w:hAnchor="page" w:x="7372" w:y="568" w:anchorLock="0"/>
    </w:pPr>
    <w:r w:rsidRPr="004F1091">
      <w:t>Bilaga</w:t>
    </w:r>
  </w:p>
  <w:p w:rsidR="00A357CF" w:rsidRPr="004F1091" w:rsidRDefault="00A357CF">
    <w:pPr>
      <w:pStyle w:val="SidhuvudKant"/>
      <w:framePr w:w="1758" w:h="2744" w:hRule="exact" w:wrap="around" w:vAnchor="page" w:hAnchor="page" w:x="7372" w:y="568" w:anchorLock="0"/>
    </w:pPr>
  </w:p>
  <w:p w:rsidR="00A357CF" w:rsidRPr="004F1091" w:rsidRDefault="00A357C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7CF" w:rsidRPr="004F1091" w:rsidRDefault="00A357CF">
    <w:pPr>
      <w:pStyle w:val="SidhuvudKant"/>
      <w:framePr w:w="1758" w:h="2744" w:hRule="exact" w:wrap="around" w:vAnchor="page" w:hAnchor="page" w:x="7372" w:y="568" w:anchorLock="0"/>
    </w:pPr>
    <w:r w:rsidRPr="004F1091">
      <w:t>1999/2000:UU1y</w:t>
    </w:r>
  </w:p>
  <w:p w:rsidR="00A357CF" w:rsidRPr="004F1091" w:rsidRDefault="00A357CF">
    <w:pPr>
      <w:pStyle w:val="SidhuvudKantBilaga"/>
      <w:framePr w:w="1758" w:h="2744" w:hRule="exact" w:wrap="around" w:vAnchor="page" w:hAnchor="page" w:x="7372" w:y="568" w:anchorLock="0"/>
    </w:pPr>
  </w:p>
  <w:p w:rsidR="00A357CF" w:rsidRPr="004F1091" w:rsidRDefault="00A357CF">
    <w:pPr>
      <w:pStyle w:val="SidhuvudKant"/>
      <w:framePr w:w="1758" w:h="2744" w:hRule="exact" w:wrap="around" w:vAnchor="page" w:hAnchor="page" w:x="7372" w:y="568" w:anchorLock="0"/>
    </w:pPr>
  </w:p>
  <w:p w:rsidR="00A357CF" w:rsidRPr="004F1091" w:rsidRDefault="00A357C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EE7351"/>
    <w:rsid w:val="004F1091"/>
    <w:rsid w:val="00A357CF"/>
    <w:rsid w:val="00EE73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103B7D-8D7D-4C37-AA50-3780A011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1986</Words>
  <Characters>11539</Characters>
  <Application>Microsoft Office Word</Application>
  <DocSecurity>4</DocSecurity>
  <Lines>372</Lines>
  <Paragraphs>233</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Utrikesutskottets yttrande</vt:lpstr>
      <vt:lpstr>Till finansutskottet</vt:lpstr>
      <vt:lpstr>    Propositionen</vt:lpstr>
      <vt:lpstr>        Yrkandena</vt:lpstr>
      <vt:lpstr>    Sammanfattning av propositionen</vt:lpstr>
      <vt:lpstr>    Motionerna</vt:lpstr>
      <vt:lpstr>        Motionsyrkandena</vt:lpstr>
      <vt:lpstr>        Sammanfattning av motionerna</vt:lpstr>
      <vt:lpstr>    Utskottets överväganden</vt:lpstr>
      <vt:lpstr>        Anslagens fördelning mellan utgiftsområdena m.m.</vt:lpstr>
      <vt:lpstr>        Utgiftsområde 5</vt:lpstr>
      <vt:lpstr>        Utgiftsområde 7</vt:lpstr>
      <vt:lpstr>Avvikande meningar</vt:lpstr>
      <vt:lpstr/>
      <vt:lpstr>Förslag till fördelning av utgifter på utgiftsområdena 5 och 7 för åren 2000–200</vt:lpstr>
      <vt:lpstr>    Utgiftsområde 5 Utrikesförvaltning och internationell samverkan</vt:lpstr>
      <vt:lpstr>    Utgiftsområde 7 Internationellt bistånd</vt:lpstr>
      <vt:lpstr>    Innehållsförteckning</vt:lpstr>
    </vt:vector>
  </TitlesOfParts>
  <Company>Riksdagen</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1999-10-29T06:22:00Z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