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46BFD9EF4CBA4794A3E64EB4AC057139"/>
        </w:placeholder>
        <w:text/>
      </w:sdtPr>
      <w:sdtEndPr/>
      <w:sdtContent>
        <w:p w:rsidRPr="009B062B" w:rsidR="00AF30DD" w:rsidP="00FD4020" w:rsidRDefault="00AF30DD" w14:paraId="03C7933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96f6b43-c1ef-48a6-bd13-4d57eff6a149"/>
        <w:id w:val="-1803215392"/>
        <w:lock w:val="sdtLocked"/>
      </w:sdtPr>
      <w:sdtEndPr/>
      <w:sdtContent>
        <w:p w:rsidR="00B920A0" w:rsidRDefault="00097C77" w14:paraId="4457AF3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även tidigare utdömda bötesstraff i samband med uppdelad handläggning eller deldom ska kunna beaktas vid senare avgörande av ett mål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BF542EF0ABD4E29830B001906864A5C"/>
        </w:placeholder>
        <w:text/>
      </w:sdtPr>
      <w:sdtEndPr/>
      <w:sdtContent>
        <w:p w:rsidRPr="009B062B" w:rsidR="006D79C9" w:rsidP="00333E95" w:rsidRDefault="006D79C9" w14:paraId="02CBC1F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AC53BD" w:rsidRDefault="00313C34" w14:paraId="5DDD2B32" w14:textId="36C77D7D">
      <w:pPr>
        <w:pStyle w:val="Normalutanindragellerluft"/>
      </w:pPr>
      <w:r>
        <w:t xml:space="preserve">De senaste åren har domstolar, åklagare och polis sett en </w:t>
      </w:r>
      <w:r w:rsidR="00683DC9">
        <w:t>ökad</w:t>
      </w:r>
      <w:r>
        <w:t xml:space="preserve"> tillströmning av mål och ärenden, i stort </w:t>
      </w:r>
      <w:r w:rsidR="00097C77">
        <w:t>till</w:t>
      </w:r>
      <w:r>
        <w:t xml:space="preserve"> följd av att myndigheterna expanderat och kommit att kunna arbeta alltmer brett och effektivt. Detta har dock vållat vissa problem, i det att många brott och ärenden, ofta kallade mängdbrott, kommit att behöva hanteras enligt förfaranden som ofta är mycket tidskrävande i förhållande till målens relativt simpla komplexitet. </w:t>
      </w:r>
    </w:p>
    <w:p w:rsidR="00313C34" w:rsidP="00313C34" w:rsidRDefault="00313C34" w14:paraId="60DF6B75" w14:textId="69B6D7CE">
      <w:r>
        <w:t>För att komma till</w:t>
      </w:r>
      <w:r w:rsidR="00097C77">
        <w:t xml:space="preserve"> </w:t>
      </w:r>
      <w:r>
        <w:t>rätta med denna problematik har det sedan 2018 pågått försöks</w:t>
      </w:r>
      <w:r w:rsidR="00AC53BD">
        <w:softHyphen/>
      </w:r>
      <w:r>
        <w:t>verksamhet just avseende mängdbrotten, för att få till stånd snabbare handläggning och hantering av dessa ärenden. Resultatet har varit mycket lyckat och på ett tillfredsstäl</w:t>
      </w:r>
      <w:r w:rsidR="00AC53BD">
        <w:softHyphen/>
      </w:r>
      <w:r>
        <w:t>lande sätt bevarat den enskildes rätt och behov av rättssäkerhet, samtidigt som det har kortat handläggningstiderna för dessa brott</w:t>
      </w:r>
      <w:r w:rsidR="00683DC9">
        <w:t>,</w:t>
      </w:r>
      <w:r>
        <w:t xml:space="preserve"> vilket är en förutsättning för att stärka hela rättskedjan men lik</w:t>
      </w:r>
      <w:r w:rsidR="00097C77">
        <w:t>aså</w:t>
      </w:r>
      <w:r>
        <w:t xml:space="preserve"> för att mota tillbaka brottslighet och kriminalitet.</w:t>
      </w:r>
      <w:r w:rsidR="00683DC9">
        <w:t xml:space="preserve"> </w:t>
      </w:r>
      <w:r>
        <w:t>Centerpartiet välkomnar därför att den kunskap som inhämtats från försöksverksamheten nu perma</w:t>
      </w:r>
      <w:r w:rsidR="00AC53BD">
        <w:softHyphen/>
      </w:r>
      <w:r>
        <w:t xml:space="preserve">nentas och implementeras i hela landet. </w:t>
      </w:r>
    </w:p>
    <w:p w:rsidR="00313C34" w:rsidP="00863ECE" w:rsidRDefault="00313C34" w14:paraId="37654489" w14:textId="043485B3">
      <w:r>
        <w:t xml:space="preserve">Samtidigt finns det en del problem och frågeställningar som regeringens proposition inte på ett tillfredsställande sätt besvarar. Den mest centrala är den som </w:t>
      </w:r>
      <w:r w:rsidR="00097C77">
        <w:t xml:space="preserve">Lagrådet </w:t>
      </w:r>
      <w:r>
        <w:t>lyft i sin remiss av förslaget, avseende det förhållande</w:t>
      </w:r>
      <w:r w:rsidR="00097C77">
        <w:t>t</w:t>
      </w:r>
      <w:r>
        <w:t xml:space="preserve"> att utdömda bötesstraff i samband med uppdelad handläggning eller deldom inte kan beaktas inom ramen för ett slutgiltigt avgörande av målet. </w:t>
      </w:r>
      <w:r w:rsidR="00863ECE">
        <w:t>Detta medför att brott som enligt nu gällande ordning hade hand</w:t>
      </w:r>
      <w:r w:rsidR="00AC53BD">
        <w:softHyphen/>
      </w:r>
      <w:r w:rsidR="00863ECE">
        <w:t>lagts gemensamt inom ramen för samma process skulle leda till en mildare dom jämfört med den ordning som föreslås</w:t>
      </w:r>
      <w:r w:rsidR="00683DC9">
        <w:t xml:space="preserve"> i propositionen</w:t>
      </w:r>
      <w:r w:rsidR="00863ECE">
        <w:t xml:space="preserve">, där bötesbeloppet kan bli väsentligt </w:t>
      </w:r>
      <w:r w:rsidR="00863ECE">
        <w:lastRenderedPageBreak/>
        <w:t>högre till följd av att redan utdömda bötesstraff alltså inte beaktas vid det slutgiltiga avgörandet</w:t>
      </w:r>
      <w:r w:rsidR="00683DC9">
        <w:t xml:space="preserve"> av målet</w:t>
      </w:r>
      <w:r w:rsidR="00863ECE">
        <w:t xml:space="preserve"> (se prop. 2021/22:279 s.</w:t>
      </w:r>
      <w:r w:rsidR="00097C77">
        <w:t> </w:t>
      </w:r>
      <w:r w:rsidR="00863ECE">
        <w:t>56). I vår mening utgör detta ett sådant tydligt avsteg från principen om likabehandling, i det att samma brott kan leda till olika materiella påföljder beroende på om handläggningen delas upp eller om deldom med</w:t>
      </w:r>
      <w:r w:rsidR="00AC53BD">
        <w:softHyphen/>
      </w:r>
      <w:r w:rsidR="00863ECE">
        <w:t>delas.</w:t>
      </w:r>
    </w:p>
    <w:p w:rsidR="00863ECE" w:rsidP="00313C34" w:rsidRDefault="00863ECE" w14:paraId="0751DE56" w14:textId="24EFBFFC">
      <w:r>
        <w:t xml:space="preserve">I regeringens </w:t>
      </w:r>
      <w:r w:rsidR="00683DC9">
        <w:t>proposition</w:t>
      </w:r>
      <w:r>
        <w:t xml:space="preserve"> avf</w:t>
      </w:r>
      <w:r w:rsidR="00683DC9">
        <w:t>ä</w:t>
      </w:r>
      <w:r>
        <w:t>rdas detta problem med att risken för högre bötes</w:t>
      </w:r>
      <w:r w:rsidR="00AC53BD">
        <w:softHyphen/>
      </w:r>
      <w:r>
        <w:t xml:space="preserve">belopp till följd av uppdelad handläggning eller deldom är relativt liten, om än att det kan komma att bli vanligare med de </w:t>
      </w:r>
      <w:r w:rsidR="00683DC9">
        <w:t>föreslagna</w:t>
      </w:r>
      <w:r>
        <w:t xml:space="preserve"> lagändringarna. Att på ett sådant </w:t>
      </w:r>
      <w:r w:rsidR="00683DC9">
        <w:t>med</w:t>
      </w:r>
      <w:r w:rsidR="00AC53BD">
        <w:softHyphen/>
      </w:r>
      <w:r w:rsidR="00683DC9">
        <w:t>vetet</w:t>
      </w:r>
      <w:r>
        <w:t xml:space="preserve"> sätt bortse från centrala rättsstatliga principer och aspekter menar Centerpartiet är ett oacceptabelt förfarande som dessutom riskerar att undergräva rättsstatens legitimitet och förtroende bland medborgarna. </w:t>
      </w:r>
    </w:p>
    <w:p w:rsidR="00BB6339" w:rsidP="00683DC9" w:rsidRDefault="00863ECE" w14:paraId="08CF10C9" w14:textId="7F57BB4A">
      <w:r w:rsidRPr="00AC53BD">
        <w:rPr>
          <w:spacing w:val="-1"/>
        </w:rPr>
        <w:t xml:space="preserve">En lösning vore därför, </w:t>
      </w:r>
      <w:r w:rsidRPr="00AC53BD" w:rsidR="00097C77">
        <w:rPr>
          <w:spacing w:val="-1"/>
        </w:rPr>
        <w:t>som</w:t>
      </w:r>
      <w:r w:rsidRPr="00AC53BD">
        <w:rPr>
          <w:spacing w:val="-1"/>
        </w:rPr>
        <w:t xml:space="preserve"> </w:t>
      </w:r>
      <w:r w:rsidRPr="00AC53BD" w:rsidR="00097C77">
        <w:rPr>
          <w:spacing w:val="-1"/>
        </w:rPr>
        <w:t xml:space="preserve">Lagrådet </w:t>
      </w:r>
      <w:r w:rsidRPr="00AC53BD">
        <w:rPr>
          <w:spacing w:val="-1"/>
        </w:rPr>
        <w:t>även påpekar, att låta bestämmelserna i 34</w:t>
      </w:r>
      <w:r w:rsidRPr="00AC53BD" w:rsidR="00097C77">
        <w:rPr>
          <w:spacing w:val="-1"/>
        </w:rPr>
        <w:t> </w:t>
      </w:r>
      <w:r w:rsidRPr="00AC53BD">
        <w:rPr>
          <w:spacing w:val="-1"/>
        </w:rPr>
        <w:t>kap.</w:t>
      </w:r>
      <w:r>
        <w:t xml:space="preserve"> brottsbalken vara tillämpliga även avseende bötesstraff, på samma sätt som i</w:t>
      </w:r>
      <w:r w:rsidR="00097C77">
        <w:t xml:space="preserve"> </w:t>
      </w:r>
      <w:r>
        <w:t>dag gäller övriga påföljder. Genom en sådan ordning kan väsentliga skillnader i bötesbelopp und</w:t>
      </w:r>
      <w:r w:rsidR="00AC53BD">
        <w:softHyphen/>
      </w:r>
      <w:r>
        <w:t>vikas, och därav bevara en materiell likhet oavsett uppdelad handläggning eller deldom, samtidigt som effektivitetsvinsterna med nu föreslagna lagändringar bevaras. Center</w:t>
      </w:r>
      <w:r w:rsidR="00AC53BD">
        <w:softHyphen/>
      </w:r>
      <w:r>
        <w:t>partiet menar därför att det vore önskvärt</w:t>
      </w:r>
      <w:r w:rsidR="00683DC9">
        <w:t xml:space="preserve">, trots regeringens omotiverade ogillande till </w:t>
      </w:r>
      <w:r w:rsidR="00097C77">
        <w:t xml:space="preserve">Lagrådets </w:t>
      </w:r>
      <w:r w:rsidR="00683DC9">
        <w:t>invändningar, att låta reglerna i 34</w:t>
      </w:r>
      <w:r w:rsidR="00097C77">
        <w:t> </w:t>
      </w:r>
      <w:r w:rsidR="00683DC9">
        <w:t xml:space="preserve">kap. brottsbalken omfatta även tidigare utdömda bötesstraff. </w:t>
      </w:r>
    </w:p>
    <w:sdt>
      <w:sdtPr>
        <w:alias w:val="CC_Underskrifter"/>
        <w:tag w:val="CC_Underskrifter"/>
        <w:id w:val="583496634"/>
        <w:lock w:val="sdtContentLocked"/>
        <w:placeholder>
          <w:docPart w:val="C95890E621BB4C3C8006EE566E0C784B"/>
        </w:placeholder>
      </w:sdtPr>
      <w:sdtEndPr/>
      <w:sdtContent>
        <w:p w:rsidR="00FD4020" w:rsidP="00FD4020" w:rsidRDefault="00FD4020" w14:paraId="1E6C8ADA" w14:textId="77777777"/>
        <w:p w:rsidRPr="008E0FE2" w:rsidR="004801AC" w:rsidP="00FD4020" w:rsidRDefault="00AC53BD" w14:paraId="0D7FFC59" w14:textId="4B05AA3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920A0" w14:paraId="6EB5B428" w14:textId="77777777">
        <w:trPr>
          <w:cantSplit/>
        </w:trPr>
        <w:tc>
          <w:tcPr>
            <w:tcW w:w="50" w:type="pct"/>
            <w:vAlign w:val="bottom"/>
          </w:tcPr>
          <w:p w:rsidR="00B920A0" w:rsidRDefault="00097C77" w14:paraId="2DD3DD0E" w14:textId="77777777">
            <w:pPr>
              <w:pStyle w:val="Underskrifter"/>
            </w:pPr>
            <w:r>
              <w:t>Malin Björk (C)</w:t>
            </w:r>
          </w:p>
        </w:tc>
        <w:tc>
          <w:tcPr>
            <w:tcW w:w="50" w:type="pct"/>
            <w:vAlign w:val="bottom"/>
          </w:tcPr>
          <w:p w:rsidR="00B920A0" w:rsidRDefault="00097C77" w14:paraId="33D43302" w14:textId="77777777">
            <w:pPr>
              <w:pStyle w:val="Underskrifter"/>
            </w:pPr>
            <w:r>
              <w:t>Ulrika Liljeberg (C)</w:t>
            </w:r>
          </w:p>
        </w:tc>
      </w:tr>
      <w:tr w:rsidR="00B920A0" w14:paraId="20014741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B920A0" w:rsidRDefault="00097C77" w14:paraId="4BCD59F7" w14:textId="77777777">
            <w:pPr>
              <w:pStyle w:val="Underskrifter"/>
            </w:pPr>
            <w:r>
              <w:t>Helena Vilhelmsson (C)</w:t>
            </w:r>
          </w:p>
        </w:tc>
      </w:tr>
    </w:tbl>
    <w:p w:rsidR="004C5FEA" w:rsidRDefault="004C5FEA" w14:paraId="7BF3B8BC" w14:textId="77777777"/>
    <w:sectPr w:rsidR="004C5FEA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71BBA" w14:textId="77777777" w:rsidR="00BE66E9" w:rsidRDefault="00BE66E9" w:rsidP="000C1CAD">
      <w:pPr>
        <w:spacing w:line="240" w:lineRule="auto"/>
      </w:pPr>
      <w:r>
        <w:separator/>
      </w:r>
    </w:p>
  </w:endnote>
  <w:endnote w:type="continuationSeparator" w:id="0">
    <w:p w14:paraId="4AEE1C19" w14:textId="77777777" w:rsidR="00BE66E9" w:rsidRDefault="00BE66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B6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E15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4A70" w14:textId="585BA31C" w:rsidR="00262EA3" w:rsidRPr="00FD4020" w:rsidRDefault="00262EA3" w:rsidP="00FD40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3D3D" w14:textId="77777777" w:rsidR="00BE66E9" w:rsidRDefault="00BE66E9" w:rsidP="000C1CAD">
      <w:pPr>
        <w:spacing w:line="240" w:lineRule="auto"/>
      </w:pPr>
      <w:r>
        <w:separator/>
      </w:r>
    </w:p>
  </w:footnote>
  <w:footnote w:type="continuationSeparator" w:id="0">
    <w:p w14:paraId="694592EA" w14:textId="77777777" w:rsidR="00BE66E9" w:rsidRDefault="00BE66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C55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375619" wp14:editId="30EEDDB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6450A9" w14:textId="2A5A3E27" w:rsidR="00262EA3" w:rsidRDefault="00AC53B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13C34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37561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36450A9" w14:textId="2A5A3E27" w:rsidR="00262EA3" w:rsidRDefault="00AC53B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13C34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D4413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372A" w14:textId="77777777" w:rsidR="00262EA3" w:rsidRDefault="00262EA3" w:rsidP="008563AC">
    <w:pPr>
      <w:jc w:val="right"/>
    </w:pPr>
  </w:p>
  <w:p w14:paraId="535C472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8B29" w14:textId="77777777" w:rsidR="00262EA3" w:rsidRDefault="00AC53B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BD81A3" wp14:editId="3F232C3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CD7364" w14:textId="5A23B38D" w:rsidR="00262EA3" w:rsidRDefault="00AC53B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D402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13C34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AD0B8D0" w14:textId="77777777" w:rsidR="00262EA3" w:rsidRPr="008227B3" w:rsidRDefault="00AC53B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44EFC93" w14:textId="56FC2553" w:rsidR="00262EA3" w:rsidRPr="008227B3" w:rsidRDefault="00AC53B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D4020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D4020">
          <w:t>:18</w:t>
        </w:r>
      </w:sdtContent>
    </w:sdt>
  </w:p>
  <w:p w14:paraId="353C544B" w14:textId="383D1F1E" w:rsidR="00262EA3" w:rsidRDefault="00AC53B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D4020">
          <w:t>av Malin Björk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67A8042" w14:textId="0C98018D" w:rsidR="00262EA3" w:rsidRDefault="00313C34" w:rsidP="00283E0F">
        <w:pPr>
          <w:pStyle w:val="FSHRub2"/>
        </w:pPr>
        <w:r>
          <w:t>med anledning av prop. 2021/22:279 Snabbare lagföring av 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4975AF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313C3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C77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C3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5FEA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DC9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EC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3BD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0A0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6E9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20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6FFAA4"/>
  <w15:chartTrackingRefBased/>
  <w15:docId w15:val="{22F4D509-59C1-4BC7-B163-1BB28DB2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BFD9EF4CBA4794A3E64EB4AC057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495B60-95C0-467E-9354-AB0D72CF7DB1}"/>
      </w:docPartPr>
      <w:docPartBody>
        <w:p w:rsidR="004C14E6" w:rsidRDefault="002A391B">
          <w:pPr>
            <w:pStyle w:val="46BFD9EF4CBA4794A3E64EB4AC05713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F542EF0ABD4E29830B001906864A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6E3732-3DD7-4C46-8416-00C7302C8ECE}"/>
      </w:docPartPr>
      <w:docPartBody>
        <w:p w:rsidR="004C14E6" w:rsidRDefault="002A391B">
          <w:pPr>
            <w:pStyle w:val="8BF542EF0ABD4E29830B001906864A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5890E621BB4C3C8006EE566E0C78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06609D-0E0F-4467-BD32-A18AB433EC00}"/>
      </w:docPartPr>
      <w:docPartBody>
        <w:p w:rsidR="00B276BB" w:rsidRDefault="00B276B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1B"/>
    <w:rsid w:val="002A391B"/>
    <w:rsid w:val="004C14E6"/>
    <w:rsid w:val="00B2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6BFD9EF4CBA4794A3E64EB4AC057139">
    <w:name w:val="46BFD9EF4CBA4794A3E64EB4AC057139"/>
  </w:style>
  <w:style w:type="paragraph" w:customStyle="1" w:styleId="8BF542EF0ABD4E29830B001906864A5C">
    <w:name w:val="8BF542EF0ABD4E29830B001906864A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1792BF-1572-4C94-A7CC-A78C97968D7D}"/>
</file>

<file path=customXml/itemProps2.xml><?xml version="1.0" encoding="utf-8"?>
<ds:datastoreItem xmlns:ds="http://schemas.openxmlformats.org/officeDocument/2006/customXml" ds:itemID="{3C42A4CB-C3BC-4FB5-B701-24EE23B0563A}"/>
</file>

<file path=customXml/itemProps3.xml><?xml version="1.0" encoding="utf-8"?>
<ds:datastoreItem xmlns:ds="http://schemas.openxmlformats.org/officeDocument/2006/customXml" ds:itemID="{1E293752-8A98-4B4E-BD27-801BBC87C3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505</Words>
  <Characters>2976</Characters>
  <Application>Microsoft Office Word</Application>
  <DocSecurity>0</DocSecurity>
  <Lines>50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proposition 2021 22 279 Snabbare lagföring av brott</vt:lpstr>
      <vt:lpstr>
      </vt:lpstr>
    </vt:vector>
  </TitlesOfParts>
  <Company>Sveriges riksdag</Company>
  <LinksUpToDate>false</LinksUpToDate>
  <CharactersWithSpaces>3469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