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B7119" w:rsidRDefault="00AB7119">
      <w:pPr>
        <w:pStyle w:val="Rubrik1"/>
        <w:spacing w:before="0"/>
      </w:pPr>
      <w:r>
        <w:rPr>
          <w:vanish/>
        </w:rPr>
        <w:t>&lt;1</w:t>
      </w:r>
      <w:bookmarkStart w:id="0" w:name="_Toc349017213"/>
      <w:r>
        <w:t>Till utrikesutskottet</w:t>
      </w:r>
      <w:bookmarkEnd w:id="0"/>
    </w:p>
    <w:p w:rsidR="00AB7119" w:rsidRDefault="00AB7119">
      <w:r>
        <w:t>Utrikesutskottet har den 30 januari 1996  beslutat att  bereda bl.a. socialfö</w:t>
      </w:r>
      <w:r>
        <w:t>r</w:t>
      </w:r>
      <w:r>
        <w:t>säkringsutskottet tillfälle att avge yttrande över regeringens skrivelse 1995/96:30 EU:s regeringskonferens 1996 jämte motioner i de delar som  har samband  med  utskottets bere</w:t>
      </w:r>
      <w:r>
        <w:t>d</w:t>
      </w:r>
      <w:r>
        <w:t>ningsområde.</w:t>
      </w:r>
    </w:p>
    <w:p w:rsidR="00AB7119" w:rsidRDefault="00AB7119">
      <w:pPr>
        <w:pStyle w:val="Normaltindrag"/>
      </w:pPr>
      <w:r>
        <w:t>Socialförsäkringsutskottet yttrar sig nedan om skrivelsens avsnitt 7.6 A</w:t>
      </w:r>
      <w:r>
        <w:t>r</w:t>
      </w:r>
      <w:r>
        <w:t>betstagarnas rättigheter och 9 Samarbete i rättsliga och inrikes frågor samt motionerna U19 yrkande 5, U20, U21 yrkandena 5 och 37 , U22 yrkandena 50 och 51, U23, U25 yrkande 20, U29 yrkandena 45 och 46 och U30 yrka</w:t>
      </w:r>
      <w:r>
        <w:t>n</w:t>
      </w:r>
      <w:r>
        <w:t xml:space="preserve">de 1, allt i  den mån socialförsäkringsutskottets beredningsområde berörs.  </w:t>
      </w:r>
    </w:p>
    <w:p w:rsidR="00AB7119" w:rsidRDefault="00AB7119">
      <w:pPr>
        <w:pStyle w:val="Rubrik1"/>
      </w:pPr>
      <w:bookmarkStart w:id="1" w:name="_Toc349017214"/>
      <w:r>
        <w:t>Inledning</w:t>
      </w:r>
      <w:bookmarkEnd w:id="1"/>
    </w:p>
    <w:p w:rsidR="00AB7119" w:rsidRDefault="00AB7119">
      <w:r>
        <w:t>I skrivelsen lämnar regeringen en redogörelse för förberedelsearbetet inför EU:s regeringskonferens 1996 samt för vissa principiella ställningstaganden i de frågor som konf</w:t>
      </w:r>
      <w:r>
        <w:t>e</w:t>
      </w:r>
      <w:r>
        <w:t>rensen kan komma att behandla.</w:t>
      </w:r>
    </w:p>
    <w:p w:rsidR="00AB7119" w:rsidRDefault="00AB7119">
      <w:pPr>
        <w:pStyle w:val="Normaltindrag"/>
        <w:spacing w:before="0"/>
      </w:pPr>
      <w:r>
        <w:t>Regeringen uppger i skrivelsen att samarbetet inom EU främst grundar sig på fördraget om upprättandet av Europeiska kol- och stålgemenskapen (Parisfördraget), fördraget om upprättandet av Europeiska gemenskapen (Romfördraget), fördraget om upprättandet av Europeiska atomenergigeme</w:t>
      </w:r>
      <w:r>
        <w:t>n</w:t>
      </w:r>
      <w:r>
        <w:t>skapen (Euratomfördraget) och fördraget om Europeiska unionen (Maastrichtfördraget). De tre förstnämnda fördragen utgör den s.k. första  pelaren i vilken medlemsstaterna har överlåtit vissa beslutsbefogenheter till gemenskaperna. Genom Maastrichtfördraget har samarbetet utvidgats till den gemensamma utrikes- och säkerhetspolitiken (andra pelaren) och till det rättsliga och inrikespolitiska området (tredje pel</w:t>
      </w:r>
      <w:r>
        <w:t>a</w:t>
      </w:r>
      <w:r>
        <w:t xml:space="preserve">ren). </w:t>
      </w:r>
    </w:p>
    <w:p w:rsidR="00AB7119" w:rsidRDefault="00AB7119">
      <w:pPr>
        <w:pStyle w:val="Normaltindrag"/>
        <w:spacing w:before="0"/>
      </w:pPr>
      <w:r>
        <w:t>Fördragsändringar kan ske genom att en medlemsstat eller kommissionen föreslår ändringar till rådet. Rådet kan därefter inleda ett ändringsförfarande genom att kalla samman en regeringskonferens. Enligt Maastrichtfördraget (artikel N.2) skall en regeringskonferens sammankallas år 1996 för att unde</w:t>
      </w:r>
      <w:r>
        <w:t>r</w:t>
      </w:r>
      <w:r>
        <w:t>söka vilka bestämmelser i fördraget som skall revideras i enlighet med de mål som anges i fördragets inledning.</w:t>
      </w:r>
    </w:p>
    <w:p w:rsidR="00AB7119" w:rsidRDefault="00AB7119">
      <w:pPr>
        <w:pStyle w:val="Normaltindrag"/>
        <w:spacing w:before="0"/>
      </w:pPr>
      <w:r>
        <w:br w:type="page"/>
      </w:r>
      <w:r>
        <w:lastRenderedPageBreak/>
        <w:t>De frågor som kommer att behandlas vid konferensen är enligt regeringen inte nya. Flertalet av dem är föremål för uppmärksamhet i det löpande sa</w:t>
      </w:r>
      <w:r>
        <w:t>m</w:t>
      </w:r>
      <w:r>
        <w:t>arbetet, och Sverige kommer att söka uppnå sina målsättningar i EU såväl i det löpande samarbetet som vid regeringskonferensen. Konferensen är en förhandling mellan EU:s medlemsländer om ändringar i fördragen. Fördrag</w:t>
      </w:r>
      <w:r>
        <w:t>s</w:t>
      </w:r>
      <w:r>
        <w:t>förändringar kräver enighet medlemsländerna emellan. Detta gör enligt reg</w:t>
      </w:r>
      <w:r>
        <w:t>e</w:t>
      </w:r>
      <w:r>
        <w:t>ringen att kompromisser blir nödvändiga. Sverige bör konstruktivt verka för sådana och kommer att verka för sina mål med unionssamarbetet även efter konferensens slut.</w:t>
      </w:r>
    </w:p>
    <w:p w:rsidR="00AB7119" w:rsidRDefault="00AB7119">
      <w:pPr>
        <w:pStyle w:val="Rubrik1"/>
      </w:pPr>
      <w:bookmarkStart w:id="2" w:name="_Toc349017215"/>
      <w:r>
        <w:t>Arbetstagarnas rättigheter (avsnitt 7.6)</w:t>
      </w:r>
      <w:bookmarkEnd w:id="2"/>
    </w:p>
    <w:p w:rsidR="00AB7119" w:rsidRDefault="00AB7119">
      <w:r>
        <w:t>I skrivelsen uppges att frågor som behandlas i det social protokollet rör bl.a. arbetstagarnas rättigheter. Sverige bör därför verka för att det sociala prot</w:t>
      </w:r>
      <w:r>
        <w:t>o</w:t>
      </w:r>
      <w:r>
        <w:t>kollet skrivs in i fördraget, dvs. att innehållet i de sju artiklarna i avtalet förs in i unionsfördragets avdelning II (Romfördraget) och därmed kommer att gälla i samtliga medlemsstater. Det sociala protokollet skulle därmed avska</w:t>
      </w:r>
      <w:r>
        <w:t>f</w:t>
      </w:r>
      <w:r>
        <w:t>fas.</w:t>
      </w:r>
    </w:p>
    <w:p w:rsidR="00AB7119" w:rsidRDefault="00AB7119">
      <w:pPr>
        <w:pStyle w:val="Normaltindrag"/>
        <w:spacing w:before="0"/>
      </w:pPr>
      <w:r>
        <w:t>I motion U20 (delvis) begär Kurt Ove Johansson (s) ett tillkännagivande om fördragsförändringar för att utveckla den sociala dimensionen. Motion</w:t>
      </w:r>
      <w:r>
        <w:t>ä</w:t>
      </w:r>
      <w:r>
        <w:t xml:space="preserve">ren uppger bl.a. att regeringen bör verka för att ministerrådet skall kunna fatta beslut om miniminormer inom hela det sociala området. </w:t>
      </w:r>
    </w:p>
    <w:p w:rsidR="00AB7119" w:rsidRDefault="00AB7119">
      <w:pPr>
        <w:pStyle w:val="Normaltindrag"/>
        <w:spacing w:before="0"/>
      </w:pPr>
      <w:r>
        <w:t>Alf Svensson m.fl. (kds) uppger i motion U21 att Europarådets sociala stadga och den sociala stadga som 1989 ratificerades av elva medlemsstater bör föras in i EU:s fördrag. I yrkande 5 (delvis) begärs ett tillkännagivande härom.</w:t>
      </w:r>
    </w:p>
    <w:p w:rsidR="00AB7119" w:rsidRDefault="00AB7119">
      <w:pPr>
        <w:pStyle w:val="Normaltindrag"/>
        <w:spacing w:before="0"/>
        <w:rPr>
          <w:b/>
        </w:rPr>
      </w:pPr>
      <w:r>
        <w:t>I motion U23 (delvis) av Carl Bildt m.fl. (m)  understryks bl.a att socia</w:t>
      </w:r>
      <w:r>
        <w:t>l</w:t>
      </w:r>
      <w:r>
        <w:t>politik, socialförsäkringar och sociala transfereringar inte skall vara geme</w:t>
      </w:r>
      <w:r>
        <w:t>n</w:t>
      </w:r>
      <w:r>
        <w:t xml:space="preserve">skapspolitik. Motionärerna begär ett tillkännagivande härom.   </w:t>
      </w:r>
    </w:p>
    <w:p w:rsidR="00AB7119" w:rsidRDefault="00AB7119">
      <w:pPr>
        <w:pStyle w:val="Normaltindrag"/>
        <w:spacing w:before="0"/>
        <w:rPr>
          <w:b/>
        </w:rPr>
      </w:pPr>
      <w:r>
        <w:t>Den sociala dimensionen är ett begrepp som i EU-sammanhang i första hand omfattar de områden som i Sverige i huvudsak hänförs till arbetsmar</w:t>
      </w:r>
      <w:r>
        <w:t>k</w:t>
      </w:r>
      <w:r>
        <w:t>nadsfrågor i vid bemärkelse: rent arbetsrättsliga frågor, arbetsmiljöfrågor, sysselsättningsfrågor samt jämställdhet inom arbetslivet m.fl. fr</w:t>
      </w:r>
      <w:r>
        <w:t>å</w:t>
      </w:r>
      <w:r>
        <w:t xml:space="preserve">gor.  </w:t>
      </w:r>
    </w:p>
    <w:p w:rsidR="00AB7119" w:rsidRDefault="00AB7119">
      <w:pPr>
        <w:pStyle w:val="Normaltindrag"/>
        <w:spacing w:before="0"/>
        <w:rPr>
          <w:b/>
        </w:rPr>
      </w:pPr>
      <w:r>
        <w:t xml:space="preserve">Målsättningen att stärka den sociala dimensionen resulterade i att elva av EG:s medlemsländer – Storbritanien ställde sig utanför </w:t>
      </w:r>
      <w:r>
        <w:softHyphen/>
      </w:r>
      <w:r>
        <w:softHyphen/>
        <w:t>– i december 1989 antog EG:s sociala stadga om grundläggande sociala rättigheter för arbetst</w:t>
      </w:r>
      <w:r>
        <w:t>a</w:t>
      </w:r>
      <w:r>
        <w:t>gare. Denna stadga är att betrakta som ett allmänt åtagande för medlemslä</w:t>
      </w:r>
      <w:r>
        <w:t>n</w:t>
      </w:r>
      <w:r>
        <w:t>derna att se till att de grundläggande sociala rättigheter som stadgan behan</w:t>
      </w:r>
      <w:r>
        <w:t>d</w:t>
      </w:r>
      <w:r>
        <w:t>lar garanteras i respektive land. I anslutning till antagandet av stadgan pr</w:t>
      </w:r>
      <w:r>
        <w:t>e</w:t>
      </w:r>
      <w:r>
        <w:t>senterade kommissionen ett handlingsprogram för dess geno</w:t>
      </w:r>
      <w:r>
        <w:t>m</w:t>
      </w:r>
      <w:r>
        <w:t xml:space="preserve">förande. </w:t>
      </w:r>
    </w:p>
    <w:p w:rsidR="00AB7119" w:rsidRDefault="00AB7119">
      <w:pPr>
        <w:pStyle w:val="Normaltindrag"/>
        <w:spacing w:before="0"/>
      </w:pPr>
      <w:r>
        <w:t>Vid Maastrichtmötet ingick de nämnda elva  medlemsländerna ett mella</w:t>
      </w:r>
      <w:r>
        <w:t>n</w:t>
      </w:r>
      <w:r>
        <w:t>statligt avtal utanför fördraget där man förbinder sig till ytterligare insatser inom det sociala området. I ett särskilt protokoll – det s.k. sociala protokollet – som slöts mellan samtliga medlemsländer medger Storbritannien att de övriga elva medlemsländerna går vidare i det gemensamma arbetet på det sociala området med utnyttjande och hjälp av gemenskapens institutioner och procedurer, utan att Storbritannien tar del i vare sig förberedelsearbete eller beslut. Avtalet mellan de elva fogades till det soc</w:t>
      </w:r>
      <w:r>
        <w:t xml:space="preserve">iala protokollet som en bilaga. Vanligen används beteckningen ”sociala protokollet” med syftning på såväl det särskilda protokollet som det till detta fogade avtalet. </w:t>
      </w:r>
    </w:p>
    <w:p w:rsidR="00AB7119" w:rsidRDefault="00AB7119">
      <w:pPr>
        <w:pStyle w:val="Normaltindrag"/>
        <w:spacing w:before="0"/>
      </w:pPr>
      <w:r>
        <w:t>Det sociala protokollet innebär en utökad kompetens för gemenskapen och utvidgat område för majoritetsbeslut. På det sociala området skall dock enligt art. 2 rådet fatta sina beslut enhälligt.</w:t>
      </w:r>
    </w:p>
    <w:p w:rsidR="00AB7119" w:rsidRDefault="00AB7119">
      <w:pPr>
        <w:pStyle w:val="Normaltindrag"/>
        <w:spacing w:before="0"/>
      </w:pPr>
      <w:r>
        <w:t>Det sociala protokollet anger bl.a. att lagstiftningen skall utformas som minimidirektiv. En medlemsstat kan således utan hinder behålla eller införa mer långtgående bestämme</w:t>
      </w:r>
      <w:r>
        <w:t>l</w:t>
      </w:r>
      <w:r>
        <w:t>ser.</w:t>
      </w:r>
    </w:p>
    <w:p w:rsidR="00AB7119" w:rsidRDefault="00AB7119">
      <w:pPr>
        <w:pStyle w:val="Normaltindrag"/>
        <w:spacing w:before="0"/>
      </w:pPr>
      <w:r>
        <w:t>Som framgått behandlar det sociala protokollet frågor som till stora delar ligger utanför utskottets beredningsområde. Protokollet innebär emellertid även en överenskommelse mellan medlemsländerna att utveckla det geme</w:t>
      </w:r>
      <w:r>
        <w:t>n</w:t>
      </w:r>
      <w:r>
        <w:t>samma arbetet på socialförsäkringsområdet. Utskottet kan såvitt gäller detta område dela regeringens uppfattning att det är av väsentlig betydelse att protokollet förs in i unionsfördragets avdelning II. Detta skulle innebära att inte något land inom unionen skulle kunna tillämpa sämre villkor än de minimikrav som föreligger eller kan komma att föreligga inom området. Utskottet förutsätter att regeringen väl tar till vara de möjligheter som för</w:t>
      </w:r>
      <w:r>
        <w:t>e</w:t>
      </w:r>
      <w:r>
        <w:t>ligger att verka i nämnda riktning och avstyrker bifall till motion U23 (delvis).</w:t>
      </w:r>
    </w:p>
    <w:p w:rsidR="00AB7119" w:rsidRDefault="00AB7119">
      <w:pPr>
        <w:pStyle w:val="Normaltindrag"/>
        <w:spacing w:before="0"/>
      </w:pPr>
      <w:r>
        <w:t xml:space="preserve">Syftet med motionerna U20 (delvis) och U21 yrkande 5 (delvis) får anses tillgodosett med vad utskottet anfört ovan.  </w:t>
      </w:r>
    </w:p>
    <w:p w:rsidR="00AB7119" w:rsidRDefault="00AB7119">
      <w:pPr>
        <w:pStyle w:val="Normaltindrag"/>
        <w:spacing w:before="0"/>
      </w:pPr>
      <w:r>
        <w:t>Europarådets sociala stadga är en motsvarighet till konventionen för mänskliga rättigheter inom området för ekonomiska och sociala rättigheter. Stadgan innehåller artiklar med bestämmelser om bl.a. sysselsättnings- och utbildningspolitik, arbetsvillkor och arbetarskydd, förenings- och förhan</w:t>
      </w:r>
      <w:r>
        <w:t>d</w:t>
      </w:r>
      <w:r>
        <w:t>lingsfrihet, socialförsäkring och andra sociala trygghetsanordningar. Den innehåller också skydd för migrerande arbetskraft. Syftet med stadgan är att i medlemsländerna garantera sociala rättigheter samt höja levnadsstandarden och öka den sociala välfärden. Stadgan har ratificerats av bl.a. samtliga EU:s medlemsstater. Fördragsslutande stat skall vartannat år tillställa Europarådets generalsekreterare en rapport avseende tillämpningen av de artiklar som ratificerats. Rapporterna granskas av oberoende expert</w:t>
      </w:r>
      <w:r>
        <w:t>er och regeringstjän</w:t>
      </w:r>
      <w:r>
        <w:t>s</w:t>
      </w:r>
      <w:r>
        <w:t>temän samt även av den parlamentariska församlingen. Utskottet anser inte att det finns skäl att föra in stadgan i EU:s grundfördrag. Motion U21 yrka</w:t>
      </w:r>
      <w:r>
        <w:t>n</w:t>
      </w:r>
      <w:r>
        <w:t>de 5 (delvis) bör avstyrkas.</w:t>
      </w:r>
    </w:p>
    <w:p w:rsidR="00AB7119" w:rsidRDefault="00AB7119">
      <w:pPr>
        <w:pStyle w:val="Rubrik1"/>
      </w:pPr>
      <w:bookmarkStart w:id="3" w:name="_Toc349017216"/>
      <w:r>
        <w:t>Samarbete i rättsliga och inrikes frågor (avsnitt 9)</w:t>
      </w:r>
      <w:bookmarkEnd w:id="3"/>
    </w:p>
    <w:p w:rsidR="00AB7119" w:rsidRDefault="00AB7119">
      <w:r>
        <w:t>Regeringen uppger i skrivelsen att syftet med samarbetet i rättsliga och inr</w:t>
      </w:r>
      <w:r>
        <w:t>i</w:t>
      </w:r>
      <w:r>
        <w:t>kes frågor är att – med bibehållen säkerhet och trygghet för medborgarna – uppnå fri rörlighet för personer. Detta innebär enligt regeringen på sikt en avveckling av inre gränskontroller och andra åtgärder vilket kommer att underlätta för personer att fritt röra sig över gränserna. Detta ställer bl.a. stora krav på samarbetet mellan unionsländerna i flykting- och invandring</w:t>
      </w:r>
      <w:r>
        <w:t>s</w:t>
      </w:r>
      <w:r>
        <w:t>frågorna. Sverige bör medverka till ett så effektivt samarbete som möjligt i dessa frågor. Detta samarbete är, enligt skrivelsen, nära förknippat med g</w:t>
      </w:r>
      <w:r>
        <w:t>e</w:t>
      </w:r>
      <w:r>
        <w:t>menskapsarbetet när det gäller området för fri rörlighet för personer. En</w:t>
      </w:r>
      <w:r>
        <w:br w:type="page"/>
        <w:t>översyn av fördraget bör enligt regeringen ta hänsyn till detta. Regeringens långsiktiga strävan är att den fria rörligheten skall förverkligas mellan alla EU:s medlemsländer och inte enbart mellan dem som har anslutit sig till Schengensamarbetet. Sverige kommer på konferensen att verka för att sa</w:t>
      </w:r>
      <w:r>
        <w:t>m</w:t>
      </w:r>
      <w:r>
        <w:t>arbetet i huvudsak skall förbli mellanstatligt men samtidigt överväga om inte institutionernas roll kan förstärkas på ett ändamålsenligt sätt. Beträffande asyl- och invandringsfrågor är det regeringens uppfattning att det kan och bör  övervägas att föra över lämpliga delar av detta område till gemenskapsla</w:t>
      </w:r>
      <w:r>
        <w:t>g</w:t>
      </w:r>
      <w:r>
        <w:t>stiftningen. Därigenom skulle bättre förutsättningar skapas för förverkliga</w:t>
      </w:r>
      <w:r>
        <w:t>n</w:t>
      </w:r>
      <w:r>
        <w:t>det av den fria rörligheten för personer. Enligt regeringen bör detta också bidra till att lättare finna lösningar för en mer rättvis ansvarsfördelning me</w:t>
      </w:r>
      <w:r>
        <w:t>l</w:t>
      </w:r>
      <w:r>
        <w:t>lan EU:s medlem</w:t>
      </w:r>
      <w:r>
        <w:t>s</w:t>
      </w:r>
      <w:r>
        <w:t>stater.</w:t>
      </w:r>
    </w:p>
    <w:p w:rsidR="00AB7119" w:rsidRDefault="00AB7119">
      <w:pPr>
        <w:pStyle w:val="Normaltindrag"/>
        <w:spacing w:before="0"/>
      </w:pPr>
      <w:r>
        <w:t>Samarbetet i rättsliga och inrikes frågor regleras i bl.a. Maastrichtfördr</w:t>
      </w:r>
      <w:r>
        <w:t>a</w:t>
      </w:r>
      <w:r>
        <w:t>gets avdelning VI art. K.1–K.9. I art. K.1 anges ett antal frågor, bl.a. om  asyl, regler för människors passage av medlemsstaternas yttre gränser och för kontrollförfarande i samband med detta, invandringspolitiken och politiken gentemot medborgare i tredje land vad avser dessas inresa och rörlighet  inom medlemsstaternas territorier, villkor för bosättning för medborgare i tredje land på medlemsstaternas territorier, inklusive villkoren för familjers återförening och tillträde till arbetsmarknaden samt åt</w:t>
      </w:r>
      <w:r>
        <w:t>gärder mot tredje lands medborgares olagliga invandring, bosättning och arbete inom medlemsst</w:t>
      </w:r>
      <w:r>
        <w:t>a</w:t>
      </w:r>
      <w:r>
        <w:t>ternas territorium. Enligt art. K.2 skall de nämnda frågorna behandlas med beaktande av Europakonventionen om skydd för de mänskliga rättigheterna och grundläggande friheterna och konventionen om flyktingars rättsliga ställning, liksom det skydd som medlemsstaterna ger personer som förföljs av politiska skäl.</w:t>
      </w:r>
    </w:p>
    <w:p w:rsidR="00AB7119" w:rsidRDefault="00AB7119">
      <w:pPr>
        <w:pStyle w:val="Normaltindrag"/>
        <w:spacing w:before="0"/>
      </w:pPr>
      <w:r>
        <w:t>Sverige har vidare i anslutningsfördraget accepterat att ansluta sig till den s.k. Dublinkonventionen eller första asyllandskonventionen. Konventionen har till syfte att identifiera vilket av medlemsländerna som i sak skall pröva en asylansökan. Genom bestämmelserna vill man komma till rätta med att personer söker asyl i flera länder samtidigt och att asylsökande inte får sin ansökan prövad i något land. Dublinkonventionen förutsätter ingen harmon</w:t>
      </w:r>
      <w:r>
        <w:t>i</w:t>
      </w:r>
      <w:r>
        <w:t>sering av nationella asylregler. Varje medlemsland har dessutom rätt att pröva en asylansökan även om ansvaret för prövningen enligt konventionen åligger en annan medlemsstat. Av konventionen framgår att ett inform</w:t>
      </w:r>
      <w:r>
        <w:t>a</w:t>
      </w:r>
      <w:r>
        <w:t>tionsutbyte mellan medlemsländerna förutsätts vid tillämpningen av den. Sverige tillämpar redan i dag första asyllandsprincipen. Den rättsliga regl</w:t>
      </w:r>
      <w:r>
        <w:t>e</w:t>
      </w:r>
      <w:r>
        <w:t>ringen härför återfinns i 3 kap. 4 § andra stycket punkt 4 utlänningslagen (1989:529). En viss skillnad mellan utlänningslagen och Dublinkonventi</w:t>
      </w:r>
      <w:r>
        <w:t>o</w:t>
      </w:r>
      <w:r>
        <w:t>nen föreligger i det att utlänningslagen föreskriver att en asylsökande skall ha vistats i det första asyllandet. Någon motsvarighet till detta finns inte uttalad i Dublinkonve</w:t>
      </w:r>
      <w:r>
        <w:t>n</w:t>
      </w:r>
      <w:r>
        <w:t>tionen.</w:t>
      </w:r>
    </w:p>
    <w:p w:rsidR="00AB7119" w:rsidRDefault="00AB7119">
      <w:pPr>
        <w:pStyle w:val="Normaltindrag"/>
        <w:spacing w:before="0"/>
      </w:pPr>
      <w:r>
        <w:t>Samarbetet kring asyl- och migrationsrättsliga frågor har också lett fram till att konventionstexter till den yttre gränskontrollkonventionen föreligger i utkast. Vidare är konventionstexter under utarbetande vad gäller ett europ</w:t>
      </w:r>
      <w:r>
        <w:t>e</w:t>
      </w:r>
      <w:r>
        <w:t>iskt informationsprogram (EIS). Yttre gränskontrollkonventionen förutsätter att de anslutna länderna i princip håller en enhetlig kontrollnivå utefter hela den yttre gränsen. Den syftar till att slå fast gemensamma principer för det praktiska genomförandet av yttre gränskontroller, t.ex. villkor som en resa</w:t>
      </w:r>
      <w:r>
        <w:t>n</w:t>
      </w:r>
      <w:r>
        <w:t>de skall uppfylla för att tillåtas inresa på medlemsländernas område, b</w:t>
      </w:r>
      <w:r>
        <w:t>e</w:t>
      </w:r>
      <w:r>
        <w:t>stämmelser om transportörers ansvar, frågor om avlägsnande, platser för gränsövergång, gränskontroller av pass och bagage etc.</w:t>
      </w:r>
    </w:p>
    <w:p w:rsidR="00AB7119" w:rsidRDefault="00AB7119">
      <w:pPr>
        <w:pStyle w:val="Normaltindrag"/>
        <w:spacing w:before="0"/>
      </w:pPr>
      <w:r>
        <w:t>Regler om svensk kontroll i samband med in- och utresa finns i 5 kap. u</w:t>
      </w:r>
      <w:r>
        <w:t>t</w:t>
      </w:r>
      <w:r>
        <w:t xml:space="preserve">länningslagen, bl.a. regler om kroppsvisitering och undersökning av bagage m.m. Vidare finns regler om transportörers kostnadsansvar i 9 kap. samma lag. </w:t>
      </w:r>
    </w:p>
    <w:p w:rsidR="00AB7119" w:rsidRDefault="00AB7119">
      <w:pPr>
        <w:pStyle w:val="Normaltindrag"/>
        <w:spacing w:before="0"/>
      </w:pPr>
      <w:r>
        <w:t>Åtgärder under avdelning VI i Maastrichtfördraget har endast folkrättslig status. Samarbetet omfattas inte av EG-rätten och dess principer. Om alla medlemsstater är överens kan emellertid art. 100c i Romfördraget tillämpas på de ovan nämnda samarbetsområdena. Denna artikel har gjorts tillämplig på visumfrågor och rådet skall på förslag av kommissionen och efter samråd med Europaparlamentet med kvalificerad majoritet (2/3) fastställa för vilka medborgare som visumtvång skall gälla vid passage av medlemsstate</w:t>
      </w:r>
      <w:r>
        <w:t>rnas yttre gränser.</w:t>
      </w:r>
    </w:p>
    <w:p w:rsidR="00AB7119" w:rsidRDefault="00AB7119">
      <w:pPr>
        <w:pStyle w:val="Normaltindrag"/>
        <w:spacing w:before="0"/>
      </w:pPr>
      <w:r>
        <w:t>I ett antal motionsyrkanden tas upp frågor som berör socialförsäkringsu</w:t>
      </w:r>
      <w:r>
        <w:t>t</w:t>
      </w:r>
      <w:r>
        <w:t>skottets beredningsområde i ovan berört hänseende. I huvudsak tar  dessa yrkanden sikte på frågor om hur asyl- och invandringspolitiken skall hanteras inom ramen för det europeiska samarbetet samt gränskontrollproblemat</w:t>
      </w:r>
      <w:r>
        <w:t>i</w:t>
      </w:r>
      <w:r>
        <w:t>ken.</w:t>
      </w:r>
    </w:p>
    <w:p w:rsidR="00AB7119" w:rsidRDefault="00AB7119">
      <w:pPr>
        <w:pStyle w:val="Normaltindrag"/>
        <w:spacing w:before="0"/>
      </w:pPr>
      <w:r>
        <w:t>I motion U23 (delvis) av Carl Bildt m.fl. (m) anförs att en samordnad flyktingpolitik för att effektivisera mottagandet och fördela bördorna mellan de mottagande länderna måste ges hög prioritet. Motionärerna delar reg</w:t>
      </w:r>
      <w:r>
        <w:t>e</w:t>
      </w:r>
      <w:r>
        <w:t>ringens uppfattning att flykting- och asylfrågor i lämpliga delar borde kunna lyftas in i gemenskapsrätten i enlighet med första pelarens beslutsregler. Motionäre</w:t>
      </w:r>
      <w:r>
        <w:t>r</w:t>
      </w:r>
      <w:r>
        <w:t>na begär ett tillkännagivande om det anförda.</w:t>
      </w:r>
    </w:p>
    <w:p w:rsidR="00AB7119" w:rsidRDefault="00AB7119">
      <w:pPr>
        <w:pStyle w:val="Normaltindrag"/>
        <w:spacing w:before="0"/>
      </w:pPr>
      <w:r>
        <w:t>Alf Svensson m.fl. (kds) begär i motion U21 yrkande 37 (delvis) ett til</w:t>
      </w:r>
      <w:r>
        <w:t>l</w:t>
      </w:r>
      <w:r>
        <w:t>kännagivande om att asyl-, viserings-, invandringspolik- och gränskontrol</w:t>
      </w:r>
      <w:r>
        <w:t>l</w:t>
      </w:r>
      <w:r>
        <w:t>frågorna integreras i gemenskapspelaren. Motionärerna framhåller att detta bl.a. innebär att dessa områden placeras under parlamentets politiska kontroll och do</w:t>
      </w:r>
      <w:r>
        <w:t>m</w:t>
      </w:r>
      <w:r>
        <w:t>stolens juridiska kontroll.</w:t>
      </w:r>
    </w:p>
    <w:p w:rsidR="00AB7119" w:rsidRDefault="00AB7119">
      <w:pPr>
        <w:pStyle w:val="Normaltindrag"/>
        <w:spacing w:before="0"/>
      </w:pPr>
      <w:r>
        <w:t xml:space="preserve"> I motion U19 av Lars Leijonborg m.fl. (fp) uppges att det är angeläget att förverkliga unionens mål för bl.a. den fria rörligheten för personer. Detta skulle innebära att frågor som berör asylpolitik och migration gjordes till föremål för överstatligt beslutsfattande. Motionärerna framhåller att när regeringen uttalar att Sverige bör överväga förslag om att överföra lämpliga delar av asyl- och invandringsfrågor är detta en klok synpunkt i frågan. I yrkande 5 (delvis) begärs ett tillkännagivande om vad som </w:t>
      </w:r>
      <w:r>
        <w:t>anförts.</w:t>
      </w:r>
    </w:p>
    <w:p w:rsidR="00AB7119" w:rsidRDefault="00AB7119">
      <w:pPr>
        <w:pStyle w:val="Normaltindrag"/>
        <w:spacing w:before="0"/>
      </w:pPr>
      <w:r>
        <w:t xml:space="preserve">Olof Johansson m.fl. (c) framhåller i motion U25 att visumfrågor i dag faller under såväl första som tredje pelaren. Detta är enligt motionärerna olyckligt och visumfrågorna bör i sin helhet föras över till den första pelaren. Vidare framhålls i motionen att om den mellanstatliga vägen inte leder till en mer rättvis fördelning av ansvaret för att ge flyktingar en fristad kan det finnas anledning att överväga om inte EU på sikt bör utveckla en gemensam flykting- och invandringspolitik. Rätten för varje land </w:t>
      </w:r>
      <w:r>
        <w:t>att slutligen själv avgöra asylärenden i enlighet med nationell lagstiftning skall dock finnas kvar. Motionärerna begär i yrkande 20 (delvis) ett tillkänn</w:t>
      </w:r>
      <w:r>
        <w:t>a</w:t>
      </w:r>
      <w:r>
        <w:t>givande härom.</w:t>
      </w:r>
    </w:p>
    <w:p w:rsidR="00AB7119" w:rsidRDefault="00AB7119">
      <w:pPr>
        <w:pStyle w:val="Normaltindrag"/>
        <w:spacing w:before="0"/>
      </w:pPr>
      <w:r>
        <w:t>I två motioner tas klart ställning mot ett överförande av asyl- och invan</w:t>
      </w:r>
      <w:r>
        <w:t>d</w:t>
      </w:r>
      <w:r>
        <w:t>ringspolitiken  till g</w:t>
      </w:r>
      <w:r>
        <w:t>e</w:t>
      </w:r>
      <w:r>
        <w:t>menskapspolitiken.</w:t>
      </w:r>
    </w:p>
    <w:p w:rsidR="00AB7119" w:rsidRDefault="00AB7119">
      <w:pPr>
        <w:pStyle w:val="Normaltindrag"/>
        <w:spacing w:before="0"/>
      </w:pPr>
      <w:r>
        <w:t>Gudrun Schyman m.fl. (v) uppger i motion U22 att Vänsterpartiet är för ett utökat samarbete på alla de politiska områden som ligger under EU:s rättsl</w:t>
      </w:r>
      <w:r>
        <w:t>i</w:t>
      </w:r>
      <w:r>
        <w:t>ga och inrikes samarbete. Det är dock utökat mellanstatligt samarbete som behövs och inte mer av överstatlighet. Att göra frågorna om asyl- och i</w:t>
      </w:r>
      <w:r>
        <w:t>n</w:t>
      </w:r>
      <w:r>
        <w:t>vandringspolitik överstatliga kan vara ett medel att minska flyktingmottaga</w:t>
      </w:r>
      <w:r>
        <w:t>n</w:t>
      </w:r>
      <w:r>
        <w:t>det och gå ifrån den humanitära grundinställningen i frågan. I motionen framhålls vidare att Vänsterpartiet är för fri rörlighet för personer som i första hand innebär att man när som helst och hur ofta som helst har rätt att passera gränser utan att begära tillstånd för detta. Detta får dock inte inneb</w:t>
      </w:r>
      <w:r>
        <w:t>ä</w:t>
      </w:r>
      <w:r>
        <w:t>ra ett avskaffande av de inre gränskontrollerna. I yrkandena 50 (delvis) och 51 begärs tillkännagiva</w:t>
      </w:r>
      <w:r>
        <w:t>n</w:t>
      </w:r>
      <w:r>
        <w:t>den om det anförda.</w:t>
      </w:r>
    </w:p>
    <w:p w:rsidR="00AB7119" w:rsidRDefault="00AB7119">
      <w:pPr>
        <w:pStyle w:val="Normaltindrag"/>
        <w:spacing w:before="0"/>
      </w:pPr>
      <w:r>
        <w:t>I motion U29 av Marianne Samuelsson m.fl. (mp) yrkandena 45 (delvis) och 46 begärs att regeringen under konferensen skall verka för att gränsko</w:t>
      </w:r>
      <w:r>
        <w:t>n</w:t>
      </w:r>
      <w:r>
        <w:t>trollerna bibehålls och att flykting- och asylpolitiken inte förs över till g</w:t>
      </w:r>
      <w:r>
        <w:t>e</w:t>
      </w:r>
      <w:r>
        <w:t>menskapslagstiftnin</w:t>
      </w:r>
      <w:r>
        <w:t>g</w:t>
      </w:r>
      <w:r>
        <w:t>en.</w:t>
      </w:r>
    </w:p>
    <w:p w:rsidR="00AB7119" w:rsidRDefault="00AB7119">
      <w:pPr>
        <w:pStyle w:val="Normaltindrag"/>
        <w:spacing w:before="0"/>
      </w:pPr>
      <w:r>
        <w:t>Bengt-Ola Ryttar (s) begär i motion U30 yrkande 1 (delvis) ett tillkännag</w:t>
      </w:r>
      <w:r>
        <w:t>i</w:t>
      </w:r>
      <w:r>
        <w:t xml:space="preserve">vande om att vetorätten måste finnas kvar när det gäller bl.a. tredje pelaren och asylpolitiken.  </w:t>
      </w:r>
    </w:p>
    <w:p w:rsidR="00AB7119" w:rsidRDefault="00AB7119">
      <w:pPr>
        <w:pStyle w:val="Normaltindrag"/>
        <w:spacing w:before="0"/>
      </w:pPr>
      <w:r>
        <w:t>Utskottet vill inledningsvis framhålla att Sveriges agerande internationellt är en del av den svenska flyktingpolitiken. Såväl tidigare regeringar som den nuvarande regeringen har lagt stor vikt vid det internationella samarbetet i syfte att verka för en solidarisk ansvarsfördelning och för att stärka flyktin</w:t>
      </w:r>
      <w:r>
        <w:t>g</w:t>
      </w:r>
      <w:r>
        <w:t>ars rättsliga skydd. Sverige har också i olika fora verkat för att Europas lä</w:t>
      </w:r>
      <w:r>
        <w:t>n</w:t>
      </w:r>
      <w:r>
        <w:t>der skall dela på ansvaret för  flyktingsituationen till följd av kriget i f.d. Jugoslavien. I yttrandet till utrikesutskottet i samband med behandlingen av propositionen om Sveriges medlemskap i EU (1994/95:SfU4y) utgick socia</w:t>
      </w:r>
      <w:r>
        <w:t>l</w:t>
      </w:r>
      <w:r>
        <w:t>försäkringsutskottet från att Sverige kraftfullt kommer att verka för en sol</w:t>
      </w:r>
      <w:r>
        <w:t>i</w:t>
      </w:r>
      <w:r>
        <w:t xml:space="preserve">darisk och human flyktingpolitik inom EU enligt de traditioner som Sverige har på området.   </w:t>
      </w:r>
    </w:p>
    <w:p w:rsidR="00AB7119" w:rsidRDefault="00AB7119">
      <w:pPr>
        <w:pStyle w:val="Normaltindrag"/>
        <w:spacing w:before="0"/>
      </w:pPr>
      <w:r>
        <w:t>Den ökade internationaliseringen ställer stora krav på medlemsländerna vad gäller bl.a. flykting- och invandringspolitik. För att uppnå målet fri rö</w:t>
      </w:r>
      <w:r>
        <w:t>r</w:t>
      </w:r>
      <w:r>
        <w:t>lighet för personer är det enligt utskottets uppfattning av betydelse att sama</w:t>
      </w:r>
      <w:r>
        <w:t>r</w:t>
      </w:r>
      <w:r>
        <w:t>betet mellan medlemsländerna effektiviseras och att såväl den demokratiska som den rättsliga kontrollen får större genomslagskraft och att institutione</w:t>
      </w:r>
      <w:r>
        <w:t>r</w:t>
      </w:r>
      <w:r>
        <w:t>nas roll tydliggörs. Utskottet delar därför regeringens uppfattning om att lämpliga delar av asyl- och invandringsfrågorna bör kunna överföras till geme</w:t>
      </w:r>
      <w:r>
        <w:t>n</w:t>
      </w:r>
      <w:r>
        <w:t>skapskompetens.</w:t>
      </w:r>
    </w:p>
    <w:p w:rsidR="00AB7119" w:rsidRDefault="00AB7119">
      <w:pPr>
        <w:pStyle w:val="Normaltindrag"/>
        <w:spacing w:before="0"/>
      </w:pPr>
      <w:r>
        <w:t>Som redogjorts för har art. 100c i Romfördraget gjorts tillämplig på v</w:t>
      </w:r>
      <w:r>
        <w:t>i</w:t>
      </w:r>
      <w:r>
        <w:t>sumfrågor. Vissa viseringsbestämmelser täcks dock inte av nämnda artikel. Det gäller bl.a. villkor för utfärdande av den enhetliga EU-viseringen. Hä</w:t>
      </w:r>
      <w:r>
        <w:t>r</w:t>
      </w:r>
      <w:r>
        <w:t>vidlag pågår ett arbete inom ramen för den yttre gränskontrollkonventionen och resultatet av detta arbete bör avvaktas.</w:t>
      </w:r>
    </w:p>
    <w:p w:rsidR="00AB7119" w:rsidRDefault="00AB7119">
      <w:pPr>
        <w:pStyle w:val="Normaltindrag"/>
        <w:spacing w:before="0"/>
      </w:pPr>
      <w:r>
        <w:t>Utskottet anser att syftet med motionerna U19 yrkande 5 (delvis), U21 y</w:t>
      </w:r>
      <w:r>
        <w:t>r</w:t>
      </w:r>
      <w:r>
        <w:t>kande 37 (delvis), U23 (delvis) och U25 yrkande 20 (delvis) är tillgodosett med det anförda. Motionerna U22 yrkandena 50 (delvis) och 51, U29 yrka</w:t>
      </w:r>
      <w:r>
        <w:t>n</w:t>
      </w:r>
      <w:r>
        <w:t xml:space="preserve">dena 45 (delvis) och 46 samt U30 yrkande 1 (delvis) bör avstyrkas. </w:t>
      </w:r>
    </w:p>
    <w:p w:rsidR="00AB7119" w:rsidRDefault="00AB7119">
      <w:pPr>
        <w:spacing w:before="0"/>
      </w:pPr>
      <w:r>
        <w:rPr>
          <w:vanish/>
        </w:rPr>
        <w:t>&lt;A</w:t>
      </w:r>
      <w:r>
        <w:t>Stockholm den 15 februari 1996</w:t>
      </w:r>
    </w:p>
    <w:p w:rsidR="00AB7119" w:rsidRDefault="00AB7119">
      <w:r>
        <w:t>På socialförsäkringsutskottets vägnar</w:t>
      </w:r>
    </w:p>
    <w:p w:rsidR="00AB7119" w:rsidRDefault="00AB7119">
      <w:pPr>
        <w:pStyle w:val="Ordfnamn"/>
      </w:pPr>
      <w:bookmarkStart w:id="4" w:name="Ordförande"/>
      <w:bookmarkEnd w:id="4"/>
      <w:r>
        <w:t>Maj-Inger Klingvall</w:t>
      </w:r>
    </w:p>
    <w:p w:rsidR="00AB7119" w:rsidRDefault="00AB7119">
      <w:pPr>
        <w:pStyle w:val="Normaltindrag"/>
        <w:spacing w:before="0"/>
      </w:pPr>
    </w:p>
    <w:p w:rsidR="00AB7119" w:rsidRDefault="00AB7119">
      <w:pPr>
        <w:pStyle w:val="Normaltindrag"/>
        <w:spacing w:before="0"/>
      </w:pPr>
    </w:p>
    <w:p w:rsidR="00AB7119" w:rsidRDefault="00AB7119">
      <w:pPr>
        <w:pStyle w:val="Citat"/>
        <w:spacing w:before="123"/>
      </w:pPr>
      <w:bookmarkStart w:id="5" w:name="Deltagare"/>
      <w:bookmarkEnd w:id="5"/>
      <w:r>
        <w:t>I beslutet har deltagit: Maj-Inger Klingvall (s), Börje Nilsson (s), Margareta Israelsson (s), Maud Björnemalm (s), Margit Gennser (m), Ingrid Skeppstedt (c), Gustaf von Essen (m), Sigge Godin (fp), Lennart Klockare (s), Ulla Hoffmann (v), Sven-Åke Nygårds (s), Ulf Kristersson (m), Ragnhild Poha</w:t>
      </w:r>
      <w:r>
        <w:t>n</w:t>
      </w:r>
      <w:r>
        <w:t>ka (mp), Rose-Marie Frebran (kds), Ronny Olander (s), Mona Berglund Nilsson (s) och Åke Sundqvist (m).</w:t>
      </w:r>
    </w:p>
    <w:p w:rsidR="00AB7119" w:rsidRDefault="00AB7119">
      <w:pPr>
        <w:pStyle w:val="Rubrik1"/>
      </w:pPr>
      <w:bookmarkStart w:id="6" w:name="_Toc349017217"/>
      <w:r>
        <w:t>Avvikande mening</w:t>
      </w:r>
      <w:bookmarkEnd w:id="6"/>
    </w:p>
    <w:p w:rsidR="00AB7119" w:rsidRDefault="00AB7119">
      <w:pPr>
        <w:pStyle w:val="Rubrik2"/>
        <w:spacing w:before="123"/>
      </w:pPr>
      <w:bookmarkStart w:id="7" w:name="_Toc349017218"/>
      <w:r>
        <w:t>Arbetstagarnas rättigheter (avsnitt 7.6)</w:t>
      </w:r>
      <w:bookmarkEnd w:id="7"/>
    </w:p>
    <w:p w:rsidR="00AB7119" w:rsidRDefault="00AB7119">
      <w:pPr>
        <w:spacing w:before="123"/>
      </w:pPr>
      <w:r>
        <w:t>1. Margit Gennser, Gustaf von Essen, Ulf Kristersson och Åke Sundqvist (alla m) anför att den del av utskottets yttrande som börjar med ”Som fra</w:t>
      </w:r>
      <w:r>
        <w:t>m</w:t>
      </w:r>
      <w:r>
        <w:t>gått” och slutar ”bör avstyrkas.” bort ha följande lydelse:</w:t>
      </w:r>
    </w:p>
    <w:p w:rsidR="00AB7119" w:rsidRDefault="00AB7119">
      <w:pPr>
        <w:spacing w:before="0"/>
      </w:pPr>
      <w:r>
        <w:t>Ett införande av det social protokollet i Romfördraget innebär att medlem</w:t>
      </w:r>
      <w:r>
        <w:t>s</w:t>
      </w:r>
      <w:r>
        <w:t>länderna förbinder sig att genomföra viss lagstiftning i form av minmiregler. Vissa europeiska regleringar kan dock leda till betydande välfärdsförluster. Detta innebär enligt utskottets uppfattning skäl för att bl.a. socialpolitik, socialförsäkringar och sociala transfereringar inte skall utgöra gemenska</w:t>
      </w:r>
      <w:r>
        <w:t>p</w:t>
      </w:r>
      <w:r>
        <w:t>spolitik. Detta bör med anledning av motion U23 (delvis) ges regeringen till känna.</w:t>
      </w:r>
    </w:p>
    <w:p w:rsidR="00AB7119" w:rsidRDefault="00AB7119">
      <w:pPr>
        <w:pStyle w:val="Rubrik2"/>
      </w:pPr>
      <w:bookmarkStart w:id="8" w:name="_Toc349017219"/>
      <w:r>
        <w:t>Samarbete i rättsliga och inrikes frågor (avsnitt 9)</w:t>
      </w:r>
      <w:bookmarkEnd w:id="8"/>
    </w:p>
    <w:p w:rsidR="00AB7119" w:rsidRDefault="00AB7119">
      <w:r>
        <w:t>2. Sigge Godin (fp) anser att den del av utskottets yttrande som börjar med ”Den ökade” och slutar med ”bör avstyrkas.” bort ha följande lydelse:</w:t>
      </w:r>
    </w:p>
    <w:p w:rsidR="00AB7119" w:rsidRDefault="00AB7119">
      <w:pPr>
        <w:pStyle w:val="Normaltindrag"/>
        <w:spacing w:before="0"/>
      </w:pPr>
      <w:r>
        <w:t>Arbetet inom den s.k. tredje pelaren är mellanstatligt och inte överstatligt till sin karaktär. Samarbetet tenderar därför att utvecklas för långsamt, med många beslutsnivåer och krav på enhällighet.</w:t>
      </w:r>
    </w:p>
    <w:p w:rsidR="00AB7119" w:rsidRDefault="00AB7119">
      <w:pPr>
        <w:pStyle w:val="Normaltindrag"/>
        <w:spacing w:before="0"/>
      </w:pPr>
      <w:r>
        <w:t>I Maastrichtfördragets avdelning VI art. K.1 anges ett antal frågor bl.a. om  asyl, regler för människors passage av medlemsstaternas yttre gränser och för kontrollförfarande i samband med detta, invandringspolitiken och politiken gentemot medborgare i tredje land vad avser dessas inresa och rörlighet  inom medlemsstaternas territorier, villkor för bosättning för medborgare i tredje land på medlemsstaternas territorier, inkl. villkoren för familjers åte</w:t>
      </w:r>
      <w:r>
        <w:t>r</w:t>
      </w:r>
      <w:r>
        <w:t>förening och tillträde till arbetsmarknaden samt åtgärder mot tredje lands medborgares olagliga invandring, bosättning och arbete inom medlemsst</w:t>
      </w:r>
      <w:r>
        <w:t>a</w:t>
      </w:r>
      <w:r>
        <w:t>ternas territorium.</w:t>
      </w:r>
    </w:p>
    <w:p w:rsidR="00AB7119" w:rsidRDefault="00AB7119">
      <w:pPr>
        <w:pStyle w:val="Normaltindrag"/>
        <w:spacing w:before="0"/>
      </w:pPr>
      <w:r>
        <w:t>Det är enligt utskottets uppfattning angeläget att de nämnda bestämme</w:t>
      </w:r>
      <w:r>
        <w:t>l</w:t>
      </w:r>
      <w:r>
        <w:t>serna förs över till första pelaren. Bestämmelserna handlar om att förverkliga unionens mål, särskilt den fria rörligheten för personer. Ett överförande skulle innebära att asyl- och invandringsfrågorna gjordes till föremål för överstatligt beslutsfattande. Det skulle också ha fördelen att de lagar som styr verksamheten skulle underställas Europaparlamentets prövning och att tvister skulle hänskjutas till EG-domstolen för avgörande. Utvecklandet av en g</w:t>
      </w:r>
      <w:r>
        <w:t>e</w:t>
      </w:r>
      <w:r>
        <w:t>mensam flyktingpolitik inom EU skulle innebära att ansvaret för flyktin</w:t>
      </w:r>
      <w:r>
        <w:t>g</w:t>
      </w:r>
      <w:r>
        <w:t>strömmarna fördelas mer jämnt mellan Europas stater. Flyktingpolitiken har enligt utskottets uppfattning successivt stramats åt i hela Europa. En sa</w:t>
      </w:r>
      <w:r>
        <w:t>m</w:t>
      </w:r>
      <w:r>
        <w:t>ordning av medlemsstaternas minimiansvar är därför nödvändig om åtmin</w:t>
      </w:r>
      <w:r>
        <w:t>s</w:t>
      </w:r>
      <w:r>
        <w:t>tone några länder i praktiken skall kunna bedriva en mer generös flyktin</w:t>
      </w:r>
      <w:r>
        <w:t>g</w:t>
      </w:r>
      <w:r>
        <w:t>politik. De minst generösa länderna bör inte få sätta normen för EU:s geme</w:t>
      </w:r>
      <w:r>
        <w:t>n</w:t>
      </w:r>
      <w:r>
        <w:t>samma politik. Detta bör prägla det fortsatta arbetet vad gäller asyl- och invandringsfrågor. Detta bör utskottet med bifall till motion U19 yrkande 5 (delvis) ge regeringen till känna.</w:t>
      </w:r>
    </w:p>
    <w:p w:rsidR="00AB7119" w:rsidRDefault="00AB7119">
      <w:pPr>
        <w:pStyle w:val="Normaltindrag"/>
        <w:spacing w:before="0"/>
      </w:pPr>
    </w:p>
    <w:p w:rsidR="00AB7119" w:rsidRDefault="00AB7119">
      <w:pPr>
        <w:spacing w:before="0"/>
      </w:pPr>
      <w:r>
        <w:t>3. Ulla Hoffmann (v) anser att den del av utskottets yttrande som börjar med ”Den ökade” och slutar med ”bör avstyrkas.” bort ha följande lydelse:</w:t>
      </w:r>
    </w:p>
    <w:p w:rsidR="00AB7119" w:rsidRDefault="00AB7119">
      <w:pPr>
        <w:pStyle w:val="Normaltindrag"/>
        <w:spacing w:before="0"/>
      </w:pPr>
      <w:r>
        <w:t>Enligt utskottets uppfattning innebär avskaffandet av de inre gränskontro</w:t>
      </w:r>
      <w:r>
        <w:t>l</w:t>
      </w:r>
      <w:r>
        <w:t>lerna fler krav på kompenserande inrikes kontrollinsatser av den omfattnin</w:t>
      </w:r>
      <w:r>
        <w:t>g</w:t>
      </w:r>
      <w:r>
        <w:t>en att de kommer att utgöra ett hot mot den personliga integriteten. Sådana insatser måste motarbetas. Utskottet anser att den fria rörlighetens förverkl</w:t>
      </w:r>
      <w:r>
        <w:t>i</w:t>
      </w:r>
      <w:r>
        <w:t xml:space="preserve">gande är viktig men att detta inte måste innebära ett avskaffande av de inre gränskontrollerna. Inom Norden t.ex. har det sedan lång tid fungerat mycket bra med passfrihet i kombination med bevarad gränskontroll. Utskottet kan inte se att sådana kontroller skulle vara ett hinder för den fria rörligheten. </w:t>
      </w:r>
    </w:p>
    <w:p w:rsidR="00AB7119" w:rsidRDefault="00AB7119">
      <w:pPr>
        <w:pStyle w:val="Normaltindrag"/>
        <w:spacing w:before="0"/>
      </w:pPr>
      <w:r>
        <w:t>Utskottet är vidare för en generös och human syn på asyl- och invan</w:t>
      </w:r>
      <w:r>
        <w:t>d</w:t>
      </w:r>
      <w:r>
        <w:t>ringspolitiken. Att göra dessa frågor till föremål för ett överstatligt beslutsfa</w:t>
      </w:r>
      <w:r>
        <w:t>t</w:t>
      </w:r>
      <w:r>
        <w:t>tande kan vara ett medel att minska flyktingmottagandet och att gå ifrån den humanitära grundinställningen i frågan. Ett överstatligt beslutsfattande min</w:t>
      </w:r>
      <w:r>
        <w:t>s</w:t>
      </w:r>
      <w:r>
        <w:t>kar Sveriges självständiga beslutanderätt i principiella frågor och i enskilda ärenden. Överstatligheten kan också komma att utnyttjas för att genom hä</w:t>
      </w:r>
      <w:r>
        <w:t>n</w:t>
      </w:r>
      <w:r>
        <w:t>visning till EU genomföra försämringar på området utan att riskera att bli utsatt för kritik. De länder inom EU som har en progressiv och human fly</w:t>
      </w:r>
      <w:r>
        <w:t>k</w:t>
      </w:r>
      <w:r>
        <w:t>tingmottagning bör gå före och påverka andra länder genom att sluta binda</w:t>
      </w:r>
      <w:r>
        <w:t>n</w:t>
      </w:r>
      <w:r>
        <w:t>de bilaterala och multilaterala överenskommelser som ligger på en hög nivå och som bygger på en human grund. Utskottet anser således att Sverige vid EU:s regeringskonferens bör verka för att de nu behandlade frågorna kvarstår som ett mellanstatligt samrbete. Detta bör med anledning av motion U22 yrka</w:t>
      </w:r>
      <w:r>
        <w:t>n</w:t>
      </w:r>
      <w:r>
        <w:t>dena 50 (delvis) och 51 ges regeringen till känna.</w:t>
      </w:r>
    </w:p>
    <w:p w:rsidR="00AB7119" w:rsidRDefault="00AB7119">
      <w:pPr>
        <w:spacing w:before="0"/>
      </w:pPr>
    </w:p>
    <w:p w:rsidR="00AB7119" w:rsidRDefault="00AB7119">
      <w:pPr>
        <w:spacing w:before="0"/>
      </w:pPr>
      <w:r>
        <w:t xml:space="preserve">4. Ragnhild Pohanka (mp) anser att den del av utskottets yttrande som börjar med ”Den ökade” och slutar med ”bör avstyrkas.” bort ha följande lydelse: </w:t>
      </w:r>
    </w:p>
    <w:p w:rsidR="00AB7119" w:rsidRDefault="00AB7119">
      <w:pPr>
        <w:pStyle w:val="Normaltindrag"/>
        <w:spacing w:before="0"/>
      </w:pPr>
      <w:r>
        <w:t>Utskottet anser att ett slopande av gränskontrollerna innebär en fri rörli</w:t>
      </w:r>
      <w:r>
        <w:t>g</w:t>
      </w:r>
      <w:r>
        <w:t>het under hård kontroll genom det omfattande kontrollprogram som avses byggas upp. Utskottet anser därför att gränskontrollerna bör bibehållas. U</w:t>
      </w:r>
      <w:r>
        <w:t>t</w:t>
      </w:r>
      <w:r>
        <w:t>skottet anser inte heller att flykting- och invandringspolitiken skall föras över till gemenskapspolitik. Vad utskottet anfört bör med bifall till motion U29 yrkandena  45 (delvis) och 46 ges regeringen till känna.</w:t>
      </w:r>
    </w:p>
    <w:p w:rsidR="00AB7119" w:rsidRDefault="00AB7119">
      <w:pPr>
        <w:spacing w:before="0"/>
      </w:pPr>
      <w:bookmarkStart w:id="9" w:name="Nästa_Reservation"/>
      <w:bookmarkEnd w:id="9"/>
      <w:r>
        <w:t>5. Rose-Marie Frebran (kds) anser att den del av utskottets yttrande som börjar med ”Den ökade” och slutar med ”bör avstyrkas.” bort ha följande lydelse:</w:t>
      </w:r>
    </w:p>
    <w:p w:rsidR="00AB7119" w:rsidRDefault="00AB7119">
      <w:pPr>
        <w:pStyle w:val="Normaltindrag"/>
        <w:spacing w:before="0"/>
      </w:pPr>
      <w:r>
        <w:t xml:space="preserve">Utskottet är övertygat om att asyl-, viserings- och invandringspolitik samt gränskontroller är de delar av det juridiska och inrikespolitiska samarbetet som kräver en harmonisering och en integrering in i gemenskapspelaren. Detta skulle också innebära att dessa områden placerades under parlamentets politiska kontroll och domstolens juridiska kontroll. Det får emellertid inte innebära att medlemsländernas legitima rätt att värna territoriell suveränitet och integritet samt medborgarnas säkerhet hindras. Vad </w:t>
      </w:r>
      <w:r>
        <w:t xml:space="preserve">utskottet anfört bör med bifall till motion U21 yrkande 37 (delvis) ges regeringen till känna. </w:t>
      </w: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p>
    <w:p w:rsidR="00AB7119" w:rsidRDefault="00AB7119">
      <w:pPr>
        <w:pStyle w:val="Tryckort"/>
        <w:spacing w:before="0"/>
      </w:pPr>
      <w:r>
        <w:t>Gotab, Stockholm  1996</w:t>
      </w:r>
    </w:p>
    <w:sectPr w:rsidR="00AB7119">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3969" w:right="5103" w:bottom="1106" w:left="907" w:header="57" w:footer="57"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7119" w:rsidRDefault="00AB7119">
      <w:pPr>
        <w:spacing w:before="0" w:line="240" w:lineRule="auto"/>
      </w:pPr>
      <w:r>
        <w:separator/>
      </w:r>
    </w:p>
  </w:endnote>
  <w:endnote w:type="continuationSeparator" w:id="0">
    <w:p w:rsidR="00AB7119" w:rsidRDefault="00AB7119">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119" w:rsidRDefault="00AB7119">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119" w:rsidRDefault="00AB7119">
    <w:pPr>
      <w:pStyle w:val="SidfotH"/>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119" w:rsidRDefault="00AB7119">
    <w:pPr>
      <w:pStyle w:val="SidfotH"/>
      <w:framePr w:wrap="notBeside" w:xAlign="outside"/>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7119" w:rsidRDefault="00AB7119">
      <w:pPr>
        <w:spacing w:before="0" w:line="240" w:lineRule="auto"/>
      </w:pPr>
      <w:r>
        <w:separator/>
      </w:r>
    </w:p>
  </w:footnote>
  <w:footnote w:type="continuationSeparator" w:id="0">
    <w:p w:rsidR="00AB7119" w:rsidRDefault="00AB7119">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119" w:rsidRDefault="00AB7119">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1995/96:SfU3y</w:t>
    </w:r>
    <w:r>
      <w:fldChar w:fldCharType="end"/>
    </w:r>
  </w:p>
  <w:p w:rsidR="00AB7119" w:rsidRDefault="00AB7119">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AB7119" w:rsidRDefault="00AB7119">
    <w:pPr>
      <w:pStyle w:val="SidhuvudV"/>
      <w:framePr w:w="2302" w:h="1928" w:hRule="exact" w:wrap="notBeside"/>
    </w:pPr>
    <w:r>
      <w:fldChar w:fldCharType="end"/>
    </w:r>
  </w:p>
  <w:p w:rsidR="00AB7119" w:rsidRDefault="00AB711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119" w:rsidRDefault="00AB7119">
    <w:pPr>
      <w:pStyle w:val="SidhuvudKant"/>
      <w:framePr w:wrap="notBeside"/>
    </w:pPr>
    <w:r>
      <w:rPr>
        <w:sz w:val="21"/>
      </w:rPr>
      <w:t>1995/96:SfU3y</w:t>
    </w:r>
  </w:p>
  <w:p w:rsidR="00AB7119" w:rsidRDefault="00AB7119">
    <w:pPr>
      <w:pStyle w:val="SidhuvudKant"/>
      <w:framePr w:wrap="notBeside"/>
      <w:rPr>
        <w:vanish/>
      </w:rPr>
    </w:pPr>
    <w:r>
      <w:rPr>
        <w:vanish/>
      </w:rPr>
      <w:t>&gt;B</w:t>
    </w:r>
  </w:p>
  <w:p w:rsidR="00AB7119" w:rsidRDefault="00AB7119">
    <w:pPr>
      <w:pStyle w:val="SidhuvudKant"/>
      <w:framePr w:wrap="notBeside"/>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7119" w:rsidRDefault="00AB7119">
    <w:pPr>
      <w:framePr w:w="1701" w:hSpace="284" w:wrap="notBeside" w:vAnchor="page" w:hAnchor="page" w:x="6969" w:y="3460"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66" r:id="rId2"/>
      </w:object>
    </w:r>
  </w:p>
  <w:p w:rsidR="00AB7119" w:rsidRDefault="00AB7119">
    <w:pPr>
      <w:pStyle w:val="SidhuvudFVapen"/>
      <w:framePr w:wrap="notBeside" w:x="6969" w:y="3460"/>
      <w:spacing w:line="230" w:lineRule="auto"/>
    </w:pPr>
    <w:bookmarkStart w:id="10" w:name="BnrVapen"/>
    <w:r>
      <w:t>1995/96</w:t>
    </w:r>
  </w:p>
  <w:p w:rsidR="00AB7119" w:rsidRDefault="00AB7119">
    <w:pPr>
      <w:pStyle w:val="SidhuvudFVapen"/>
      <w:framePr w:wrap="notBeside" w:x="6969" w:y="3460"/>
      <w:spacing w:line="230" w:lineRule="auto"/>
    </w:pPr>
    <w:r>
      <w:t xml:space="preserve">SfU3y </w:t>
    </w:r>
    <w:bookmarkEnd w:id="10"/>
    <w:r w:rsidR="00B12E3C">
      <w:rPr>
        <w:noProof/>
      </w:rPr>
      <mc:AlternateContent>
        <mc:Choice Requires="wps">
          <w:drawing>
            <wp:anchor distT="0" distB="0" distL="114300" distR="114300" simplePos="0" relativeHeight="251657728" behindDoc="0" locked="0" layoutInCell="0" allowOverlap="1">
              <wp:simplePos x="0" y="0"/>
              <wp:positionH relativeFrom="page">
                <wp:posOffset>575945</wp:posOffset>
              </wp:positionH>
              <wp:positionV relativeFrom="page">
                <wp:posOffset>3816350</wp:posOffset>
              </wp:positionV>
              <wp:extent cx="4788535" cy="635"/>
              <wp:effectExtent l="0" t="0" r="0" b="0"/>
              <wp:wrapNone/>
              <wp:docPr id="669258098"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546945E"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5.35pt,300.5pt" to="422.4pt,3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" o:allowincell="f" strokeweight=".5pt">
              <v:stroke startarrowwidth="narrow" startarrowlength="short" endarrowwidth="narrow" endarrowlength="short"/>
              <w10:wrap anchorx="page" anchory="page"/>
            </v:line>
          </w:pict>
        </mc:Fallback>
      </mc:AlternateContent>
    </w:r>
  </w:p>
  <w:p w:rsidR="00AB7119" w:rsidRDefault="00AB7119">
    <w:pPr>
      <w:pStyle w:val="SidhuvudFText"/>
      <w:framePr w:w="5727" w:h="2722" w:hRule="exact" w:wrap="notBeside" w:hAnchor="page" w:x="852" w:y="3834"/>
      <w:suppressAutoHyphens/>
      <w:spacing w:line="400" w:lineRule="exact"/>
      <w:ind w:right="629"/>
      <w:rPr>
        <w:sz w:val="36"/>
      </w:rPr>
    </w:pPr>
    <w:bookmarkStart w:id="11" w:name="DokumentTyp"/>
    <w:r>
      <w:rPr>
        <w:sz w:val="36"/>
      </w:rPr>
      <w:t xml:space="preserve">Socialförsäkringsutskottets yttrande </w:t>
    </w:r>
    <w:bookmarkEnd w:id="11"/>
  </w:p>
  <w:p w:rsidR="00AB7119" w:rsidRDefault="00AB7119">
    <w:pPr>
      <w:pStyle w:val="SidhuvudFText"/>
      <w:framePr w:w="5727" w:h="2722" w:hRule="exact" w:wrap="notBeside" w:hAnchor="page" w:x="852" w:y="3834"/>
      <w:spacing w:line="400" w:lineRule="exact"/>
      <w:ind w:right="629"/>
      <w:rPr>
        <w:sz w:val="36"/>
      </w:rPr>
    </w:pPr>
    <w:bookmarkStart w:id="12" w:name="Betänkandenummer"/>
    <w:r>
      <w:rPr>
        <w:sz w:val="36"/>
      </w:rPr>
      <w:t xml:space="preserve">1995/96:SfU3y </w:t>
    </w:r>
    <w:bookmarkEnd w:id="12"/>
    <w:r>
      <w:rPr>
        <w:sz w:val="36"/>
      </w:rPr>
      <w:t xml:space="preserve">       </w:t>
    </w:r>
    <w:bookmarkStart w:id="13" w:name="Utkast"/>
    <w:r>
      <w:rPr>
        <w:sz w:val="36"/>
      </w:rPr>
      <w:t xml:space="preserve"> </w:t>
    </w:r>
  </w:p>
  <w:p w:rsidR="00AB7119" w:rsidRDefault="00AB7119">
    <w:pPr>
      <w:pStyle w:val="SidhuvudFText"/>
      <w:framePr w:w="5727" w:h="2722" w:hRule="exact" w:wrap="notBeside" w:hAnchor="page" w:x="852" w:y="3834"/>
      <w:spacing w:before="40" w:after="900" w:line="280" w:lineRule="exact"/>
      <w:ind w:right="629"/>
      <w:rPr>
        <w:sz w:val="26"/>
      </w:rPr>
    </w:pPr>
    <w:bookmarkStart w:id="14" w:name="Rubrik"/>
    <w:bookmarkEnd w:id="13"/>
    <w:r>
      <w:rPr>
        <w:sz w:val="26"/>
      </w:rPr>
      <w:t xml:space="preserve">EU:s regeringskonferens 1996 </w:t>
    </w:r>
    <w:bookmarkEnd w:id="14"/>
    <w:r>
      <w:rPr>
        <w:sz w:val="26"/>
      </w:rPr>
      <w:t xml:space="preserve"> </w:t>
    </w:r>
  </w:p>
  <w:p w:rsidR="00AB7119" w:rsidRDefault="00AB7119">
    <w:pPr>
      <w:pStyle w:val="SidhuvudFText"/>
      <w:framePr w:w="5727" w:h="2722" w:hRule="exact" w:wrap="notBeside" w:hAnchor="page" w:x="852" w:y="3834"/>
      <w:spacing w:line="460" w:lineRule="exact"/>
      <w:ind w:right="629"/>
      <w:rPr>
        <w:sz w:val="36"/>
      </w:rPr>
    </w:pPr>
  </w:p>
  <w:p w:rsidR="00AB7119" w:rsidRDefault="00AB7119">
    <w:pPr>
      <w:pStyle w:val="SidhuvudFText"/>
      <w:framePr w:w="5727" w:h="2722" w:hRule="exact" w:wrap="notBeside" w:hAnchor="page" w:x="852" w:y="3834"/>
      <w:spacing w:before="40" w:after="900" w:line="300" w:lineRule="exact"/>
      <w:ind w:right="629"/>
      <w:rPr>
        <w:sz w:val="26"/>
      </w:rPr>
    </w:pPr>
    <w:r>
      <w:rPr>
        <w:sz w:val="26"/>
      </w:rPr>
      <w:t xml:space="preserve"> </w:t>
    </w:r>
  </w:p>
  <w:p w:rsidR="00AB7119" w:rsidRDefault="00AB7119">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SfU3y"/>
    <w:docVar w:name="HelaNamnet" w:val="1995/96:SfU3y"/>
    <w:docVar w:name="NR" w:val="3y"/>
    <w:docVar w:name="RUBRIK" w:val="om regeringskonferensen 96"/>
    <w:docVar w:name="SkapVERSION" w:val="V 5.41, 951212"/>
    <w:docVar w:name="USK" w:val="SfU"/>
    <w:docVar w:name="USKKORT" w:val="SfU"/>
    <w:docVar w:name="USKNAMN" w:val="Socialförsäkringsutskottets"/>
    <w:docVar w:name="ÅR" w:val="1995/96"/>
  </w:docVars>
  <w:rsids>
    <w:rsidRoot w:val="00835B2D"/>
    <w:rsid w:val="00835B2D"/>
    <w:rsid w:val="00AB7119"/>
    <w:rsid w:val="00B12E3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2477771-8927-4D8E-A145-DBC5DF51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Normal"/>
    <w:next w:val="Normal"/>
    <w:semiHidden/>
    <w:pPr>
      <w:tabs>
        <w:tab w:val="right" w:leader="dot" w:pos="5896"/>
      </w:tabs>
      <w:spacing w:before="0"/>
      <w:ind w:left="227" w:right="737"/>
      <w:jc w:val="left"/>
    </w:pPr>
  </w:style>
  <w:style w:type="paragraph" w:styleId="Innehll3">
    <w:name w:val="toc 3"/>
    <w:basedOn w:val="Normal"/>
    <w:next w:val="Normal"/>
    <w:semiHidden/>
    <w:pPr>
      <w:tabs>
        <w:tab w:val="right" w:leader="dot" w:pos="5896"/>
      </w:tabs>
      <w:spacing w:before="0"/>
      <w:ind w:left="454" w:right="567"/>
      <w:jc w:val="left"/>
    </w:pPr>
  </w:style>
  <w:style w:type="paragraph" w:styleId="Sidfot">
    <w:name w:val="footer"/>
    <w:basedOn w:val="Normal"/>
    <w:semiHidden/>
    <w:pPr>
      <w:tabs>
        <w:tab w:val="center" w:pos="4703"/>
        <w:tab w:val="right" w:pos="9406"/>
      </w:tabs>
    </w:pPr>
  </w:style>
  <w:style w:type="paragraph" w:styleId="Innehll4">
    <w:name w:val="toc 4"/>
    <w:basedOn w:val="Normal"/>
    <w:next w:val="Normal"/>
    <w:semiHidden/>
    <w:pPr>
      <w:tabs>
        <w:tab w:val="right" w:leader="dot" w:pos="5896"/>
      </w:tabs>
      <w:spacing w:before="0"/>
      <w:ind w:left="680" w:right="567"/>
      <w:jc w:val="left"/>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397"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397" w:firstLine="284"/>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0"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hSpace="284" w:wrap="notBeside" w:vAnchor="page" w:hAnchor="page" w:x="7100"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BET5.DOT</Template>
  <TotalTime>0</TotalTime>
  <Pages>2</Pages>
  <Words>3445</Words>
  <Characters>21502</Characters>
  <Application>Microsoft Office Word</Application>
  <DocSecurity>4</DocSecurity>
  <Lines>405</Lines>
  <Paragraphs>72</Paragraphs>
  <ScaleCrop>false</ScaleCrop>
  <Company/>
  <LinksUpToDate>false</LinksUpToDate>
  <CharactersWithSpaces>24875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betänkande nr 3y</dc:title>
  <dc:subject>Socialförsäkringsutskottets betänkande nr 3y</dc:subject>
  <dc:creator>Riksdagen</dc:creator>
  <cp:keywords>Riksdagen</cp:keywords>
  <cp:lastModifiedBy>Lars Brink</cp:lastModifiedBy>
  <cp:revision>2</cp:revision>
  <cp:lastPrinted>1996-02-26T07:59:00Z</cp:lastPrinted>
  <dcterms:created xsi:type="dcterms:W3CDTF">2025-12-15T18:36:00Z</dcterms:created>
  <dcterms:modified xsi:type="dcterms:W3CDTF">2025-12-15T18:36:00Z</dcterms:modified>
</cp:coreProperties>
</file>