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C27" w:rsidRPr="00AF6C27" w:rsidRDefault="00AF6C27">
      <w:pPr>
        <w:pStyle w:val="Hemstlrubrik"/>
        <w:shd w:val="clear" w:color="000000" w:fill="auto"/>
      </w:pPr>
      <w:r w:rsidRPr="00AF6C27">
        <w:t>Förslag till riksdagsbeslut</w:t>
      </w:r>
    </w:p>
    <w:p w:rsidR="00AF6C27" w:rsidRPr="00AF6C27" w:rsidRDefault="00AF6C27">
      <w:pPr>
        <w:pStyle w:val="Hemstlatt"/>
        <w:shd w:val="clear" w:color="000000" w:fill="auto"/>
        <w:ind w:left="0"/>
      </w:pPr>
      <w:r w:rsidRPr="00AF6C27">
        <w:t>Riksdagen anvisar med följande ändringar i förhålla</w:t>
      </w:r>
      <w:r w:rsidRPr="00AF6C27">
        <w:t>n</w:t>
      </w:r>
      <w:r w:rsidRPr="00AF6C27">
        <w:t>de till regeringens förslag anslagen under utgiftsområde 21 Energi enligt uppställning:</w:t>
      </w:r>
    </w:p>
    <w:tbl>
      <w:tblPr>
        <w:tblW w:w="5954" w:type="dxa"/>
        <w:tblLayout w:type="fixed"/>
        <w:tblLook w:val="01E0" w:firstRow="1" w:lastRow="1" w:firstColumn="1" w:lastColumn="1" w:noHBand="0" w:noVBand="0"/>
      </w:tblPr>
      <w:tblGrid>
        <w:gridCol w:w="818"/>
        <w:gridCol w:w="2834"/>
        <w:gridCol w:w="1151"/>
        <w:gridCol w:w="1151"/>
      </w:tblGrid>
      <w:tr w:rsidR="00000000" w:rsidRPr="00AF6C27">
        <w:tc>
          <w:tcPr>
            <w:tcW w:w="818" w:type="dxa"/>
            <w:tcBorders>
              <w:top w:val="single" w:sz="4" w:space="0" w:color="auto"/>
              <w:bottom w:val="single" w:sz="4" w:space="0" w:color="auto"/>
            </w:tcBorders>
          </w:tcPr>
          <w:p w:rsidR="00AF6C27" w:rsidRPr="00AF6C27" w:rsidRDefault="00AF6C27">
            <w:pPr>
              <w:shd w:val="clear" w:color="000000" w:fill="auto"/>
              <w:spacing w:before="60" w:line="200" w:lineRule="exact"/>
              <w:ind w:left="-57" w:right="-57"/>
              <w:rPr>
                <w:b/>
                <w:sz w:val="16"/>
              </w:rPr>
            </w:pPr>
            <w:r w:rsidRPr="00AF6C27">
              <w:rPr>
                <w:b/>
                <w:sz w:val="16"/>
              </w:rPr>
              <w:t xml:space="preserve">Anslag </w:t>
            </w:r>
          </w:p>
        </w:tc>
        <w:tc>
          <w:tcPr>
            <w:tcW w:w="2834" w:type="dxa"/>
            <w:tcBorders>
              <w:top w:val="single" w:sz="4" w:space="0" w:color="auto"/>
              <w:bottom w:val="single" w:sz="4" w:space="0" w:color="auto"/>
            </w:tcBorders>
          </w:tcPr>
          <w:p w:rsidR="00AF6C27" w:rsidRPr="00AF6C27" w:rsidRDefault="00AF6C27">
            <w:pPr>
              <w:shd w:val="clear" w:color="000000" w:fill="auto"/>
              <w:spacing w:before="60" w:line="200" w:lineRule="exact"/>
              <w:rPr>
                <w:b/>
                <w:sz w:val="16"/>
              </w:rPr>
            </w:pPr>
            <w:r w:rsidRPr="00AF6C27">
              <w:rPr>
                <w:b/>
                <w:sz w:val="16"/>
              </w:rPr>
              <w:t>Energi</w:t>
            </w:r>
          </w:p>
        </w:tc>
        <w:tc>
          <w:tcPr>
            <w:tcW w:w="1151" w:type="dxa"/>
            <w:tcBorders>
              <w:top w:val="single" w:sz="4" w:space="0" w:color="auto"/>
              <w:bottom w:val="single" w:sz="4" w:space="0" w:color="auto"/>
            </w:tcBorders>
          </w:tcPr>
          <w:p w:rsidR="00AF6C27" w:rsidRPr="00AF6C27" w:rsidRDefault="00AF6C27">
            <w:pPr>
              <w:shd w:val="clear" w:color="000000" w:fill="auto"/>
              <w:spacing w:before="60" w:line="200" w:lineRule="exact"/>
              <w:jc w:val="right"/>
              <w:rPr>
                <w:b/>
                <w:sz w:val="16"/>
              </w:rPr>
            </w:pPr>
            <w:r w:rsidRPr="00AF6C27">
              <w:rPr>
                <w:b/>
                <w:sz w:val="16"/>
              </w:rPr>
              <w:t>Regeringens förslag tkr</w:t>
            </w:r>
          </w:p>
        </w:tc>
        <w:tc>
          <w:tcPr>
            <w:tcW w:w="1151" w:type="dxa"/>
            <w:tcBorders>
              <w:top w:val="single" w:sz="4" w:space="0" w:color="auto"/>
              <w:bottom w:val="single" w:sz="4" w:space="0" w:color="auto"/>
            </w:tcBorders>
          </w:tcPr>
          <w:p w:rsidR="00AF6C27" w:rsidRPr="00AF6C27" w:rsidRDefault="00AF6C27">
            <w:pPr>
              <w:shd w:val="clear" w:color="000000" w:fill="auto"/>
              <w:spacing w:before="60" w:line="200" w:lineRule="exact"/>
              <w:jc w:val="right"/>
              <w:rPr>
                <w:b/>
                <w:sz w:val="16"/>
              </w:rPr>
            </w:pPr>
            <w:r w:rsidRPr="00AF6C27">
              <w:rPr>
                <w:b/>
                <w:sz w:val="16"/>
              </w:rPr>
              <w:t xml:space="preserve">Förändring tkr </w:t>
            </w:r>
          </w:p>
        </w:tc>
      </w:tr>
      <w:tr w:rsidR="00000000" w:rsidRPr="00AF6C27">
        <w:tc>
          <w:tcPr>
            <w:tcW w:w="818" w:type="dxa"/>
            <w:tcBorders>
              <w:top w:val="single" w:sz="4" w:space="0" w:color="auto"/>
            </w:tcBorders>
          </w:tcPr>
          <w:p w:rsidR="00AF6C27" w:rsidRPr="00AF6C27" w:rsidRDefault="00AF6C27">
            <w:pPr>
              <w:shd w:val="clear" w:color="000000" w:fill="auto"/>
              <w:spacing w:before="60" w:line="200" w:lineRule="exact"/>
              <w:ind w:left="-57" w:right="-57"/>
              <w:rPr>
                <w:b/>
                <w:spacing w:val="-2"/>
                <w:sz w:val="16"/>
              </w:rPr>
            </w:pPr>
            <w:r w:rsidRPr="00AF6C27">
              <w:rPr>
                <w:spacing w:val="-2"/>
                <w:sz w:val="16"/>
              </w:rPr>
              <w:t>3.1.2  1:2</w:t>
            </w:r>
          </w:p>
        </w:tc>
        <w:tc>
          <w:tcPr>
            <w:tcW w:w="2834" w:type="dxa"/>
            <w:tcBorders>
              <w:top w:val="single" w:sz="4" w:space="0" w:color="auto"/>
            </w:tcBorders>
            <w:vAlign w:val="bottom"/>
          </w:tcPr>
          <w:p w:rsidR="00AF6C27" w:rsidRPr="00AF6C27" w:rsidRDefault="00AF6C27">
            <w:pPr>
              <w:shd w:val="clear" w:color="000000" w:fill="auto"/>
              <w:spacing w:before="60" w:line="200" w:lineRule="exact"/>
              <w:rPr>
                <w:b/>
                <w:sz w:val="16"/>
              </w:rPr>
            </w:pPr>
            <w:r w:rsidRPr="00AF6C27">
              <w:rPr>
                <w:sz w:val="16"/>
              </w:rPr>
              <w:t>Regionala och lokala insatser för energ</w:t>
            </w:r>
            <w:r w:rsidRPr="00AF6C27">
              <w:rPr>
                <w:sz w:val="16"/>
              </w:rPr>
              <w:t>i</w:t>
            </w:r>
            <w:r w:rsidRPr="00AF6C27">
              <w:rPr>
                <w:sz w:val="16"/>
              </w:rPr>
              <w:t>effektivisering</w:t>
            </w:r>
          </w:p>
        </w:tc>
        <w:tc>
          <w:tcPr>
            <w:tcW w:w="1151" w:type="dxa"/>
            <w:tcBorders>
              <w:top w:val="single" w:sz="4" w:space="0" w:color="auto"/>
            </w:tcBorders>
            <w:vAlign w:val="bottom"/>
          </w:tcPr>
          <w:p w:rsidR="00AF6C27" w:rsidRPr="00AF6C27" w:rsidRDefault="00AF6C27">
            <w:pPr>
              <w:shd w:val="clear" w:color="000000" w:fill="auto"/>
              <w:spacing w:before="60" w:line="200" w:lineRule="exact"/>
              <w:jc w:val="right"/>
              <w:rPr>
                <w:b/>
                <w:sz w:val="16"/>
              </w:rPr>
            </w:pPr>
            <w:r w:rsidRPr="00AF6C27">
              <w:rPr>
                <w:sz w:val="16"/>
              </w:rPr>
              <w:t>140 000</w:t>
            </w:r>
          </w:p>
        </w:tc>
        <w:tc>
          <w:tcPr>
            <w:tcW w:w="1151" w:type="dxa"/>
            <w:tcBorders>
              <w:top w:val="single" w:sz="4" w:space="0" w:color="auto"/>
            </w:tcBorders>
            <w:vAlign w:val="bottom"/>
          </w:tcPr>
          <w:p w:rsidR="00AF6C27" w:rsidRPr="00AF6C27" w:rsidRDefault="00AF6C27">
            <w:pPr>
              <w:shd w:val="clear" w:color="000000" w:fill="auto"/>
              <w:spacing w:before="60" w:line="200" w:lineRule="exact"/>
              <w:jc w:val="right"/>
              <w:rPr>
                <w:b/>
                <w:sz w:val="16"/>
              </w:rPr>
            </w:pPr>
            <w:r w:rsidRPr="00AF6C27">
              <w:rPr>
                <w:sz w:val="16"/>
              </w:rPr>
              <w:t>–140 000</w:t>
            </w:r>
          </w:p>
        </w:tc>
      </w:tr>
      <w:tr w:rsidR="00000000" w:rsidRPr="00AF6C27">
        <w:tc>
          <w:tcPr>
            <w:tcW w:w="818" w:type="dxa"/>
          </w:tcPr>
          <w:p w:rsidR="00AF6C27" w:rsidRPr="00AF6C27" w:rsidRDefault="00AF6C27">
            <w:pPr>
              <w:shd w:val="clear" w:color="000000" w:fill="auto"/>
              <w:spacing w:before="60" w:line="200" w:lineRule="exact"/>
              <w:ind w:left="-57" w:right="-57"/>
              <w:rPr>
                <w:b/>
                <w:spacing w:val="-2"/>
                <w:sz w:val="16"/>
              </w:rPr>
            </w:pPr>
            <w:r w:rsidRPr="00AF6C27">
              <w:rPr>
                <w:spacing w:val="-2"/>
                <w:sz w:val="16"/>
              </w:rPr>
              <w:t>3.1.8 1:8</w:t>
            </w:r>
          </w:p>
        </w:tc>
        <w:tc>
          <w:tcPr>
            <w:tcW w:w="2834" w:type="dxa"/>
            <w:vAlign w:val="bottom"/>
          </w:tcPr>
          <w:p w:rsidR="00AF6C27" w:rsidRPr="00AF6C27" w:rsidRDefault="00AF6C27">
            <w:pPr>
              <w:shd w:val="clear" w:color="000000" w:fill="auto"/>
              <w:spacing w:before="60" w:line="200" w:lineRule="exact"/>
              <w:rPr>
                <w:b/>
                <w:sz w:val="16"/>
              </w:rPr>
            </w:pPr>
            <w:r w:rsidRPr="00AF6C27">
              <w:rPr>
                <w:sz w:val="16"/>
              </w:rPr>
              <w:t>Stöd för energieffektiviseringar i offen</w:t>
            </w:r>
            <w:r w:rsidRPr="00AF6C27">
              <w:rPr>
                <w:sz w:val="16"/>
              </w:rPr>
              <w:t>t</w:t>
            </w:r>
            <w:r w:rsidRPr="00AF6C27">
              <w:rPr>
                <w:sz w:val="16"/>
              </w:rPr>
              <w:t>liga lokaler</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300 000</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–300 000</w:t>
            </w:r>
          </w:p>
        </w:tc>
      </w:tr>
      <w:tr w:rsidR="00000000" w:rsidRPr="00AF6C27">
        <w:tc>
          <w:tcPr>
            <w:tcW w:w="818" w:type="dxa"/>
          </w:tcPr>
          <w:p w:rsidR="00AF6C27" w:rsidRPr="00AF6C27" w:rsidRDefault="00AF6C27">
            <w:pPr>
              <w:shd w:val="clear" w:color="000000" w:fill="auto"/>
              <w:spacing w:before="60" w:line="200" w:lineRule="exact"/>
              <w:ind w:left="-57" w:right="-57"/>
              <w:rPr>
                <w:b/>
                <w:spacing w:val="-2"/>
                <w:sz w:val="16"/>
              </w:rPr>
            </w:pPr>
            <w:r w:rsidRPr="00AF6C27">
              <w:rPr>
                <w:spacing w:val="-2"/>
                <w:sz w:val="16"/>
              </w:rPr>
              <w:t>3.1.9 1:9</w:t>
            </w:r>
          </w:p>
        </w:tc>
        <w:tc>
          <w:tcPr>
            <w:tcW w:w="2834" w:type="dxa"/>
            <w:vAlign w:val="bottom"/>
          </w:tcPr>
          <w:p w:rsidR="00AF6C27" w:rsidRPr="00AF6C27" w:rsidRDefault="00AF6C27">
            <w:pPr>
              <w:shd w:val="clear" w:color="000000" w:fill="auto"/>
              <w:spacing w:before="60" w:line="200" w:lineRule="exact"/>
              <w:rPr>
                <w:b/>
                <w:sz w:val="16"/>
              </w:rPr>
            </w:pPr>
            <w:r w:rsidRPr="00AF6C27">
              <w:rPr>
                <w:sz w:val="16"/>
              </w:rPr>
              <w:t>Stöd för konvertering från direktverka</w:t>
            </w:r>
            <w:r w:rsidRPr="00AF6C27">
              <w:rPr>
                <w:sz w:val="16"/>
              </w:rPr>
              <w:t>n</w:t>
            </w:r>
            <w:r w:rsidRPr="00AF6C27">
              <w:rPr>
                <w:sz w:val="16"/>
              </w:rPr>
              <w:t>de elvärme m.m.</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330 500</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–330 500</w:t>
            </w:r>
          </w:p>
        </w:tc>
      </w:tr>
      <w:tr w:rsidR="00000000" w:rsidRPr="00AF6C27">
        <w:tc>
          <w:tcPr>
            <w:tcW w:w="818" w:type="dxa"/>
            <w:vAlign w:val="bottom"/>
          </w:tcPr>
          <w:p w:rsidR="00AF6C27" w:rsidRPr="00AF6C27" w:rsidRDefault="00AF6C27">
            <w:pPr>
              <w:shd w:val="clear" w:color="000000" w:fill="auto"/>
              <w:spacing w:before="60" w:line="200" w:lineRule="exact"/>
              <w:ind w:left="-57" w:right="-57"/>
              <w:rPr>
                <w:b/>
                <w:spacing w:val="-4"/>
                <w:sz w:val="16"/>
              </w:rPr>
            </w:pPr>
            <w:r w:rsidRPr="00AF6C27">
              <w:rPr>
                <w:spacing w:val="-4"/>
                <w:sz w:val="16"/>
              </w:rPr>
              <w:t>3.1.10 1:10</w:t>
            </w:r>
          </w:p>
        </w:tc>
        <w:tc>
          <w:tcPr>
            <w:tcW w:w="2834" w:type="dxa"/>
            <w:vAlign w:val="bottom"/>
          </w:tcPr>
          <w:p w:rsidR="00AF6C27" w:rsidRPr="00AF6C27" w:rsidRDefault="00AF6C27">
            <w:pPr>
              <w:shd w:val="clear" w:color="000000" w:fill="auto"/>
              <w:spacing w:before="60" w:line="200" w:lineRule="exact"/>
              <w:rPr>
                <w:b/>
                <w:sz w:val="16"/>
              </w:rPr>
            </w:pPr>
            <w:r w:rsidRPr="00AF6C27">
              <w:rPr>
                <w:sz w:val="16"/>
              </w:rPr>
              <w:t>Stöd för installation av solvärme</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24 000</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–24 000</w:t>
            </w:r>
          </w:p>
        </w:tc>
      </w:tr>
      <w:tr w:rsidR="00000000" w:rsidRPr="00AF6C27">
        <w:tc>
          <w:tcPr>
            <w:tcW w:w="818" w:type="dxa"/>
          </w:tcPr>
          <w:p w:rsidR="00AF6C27" w:rsidRPr="00AF6C27" w:rsidRDefault="00AF6C27">
            <w:pPr>
              <w:shd w:val="clear" w:color="000000" w:fill="auto"/>
              <w:spacing w:before="60" w:line="200" w:lineRule="exact"/>
              <w:ind w:left="-57" w:right="-57"/>
              <w:rPr>
                <w:b/>
                <w:spacing w:val="-2"/>
                <w:sz w:val="16"/>
              </w:rPr>
            </w:pPr>
            <w:r w:rsidRPr="00AF6C27">
              <w:rPr>
                <w:spacing w:val="-2"/>
                <w:sz w:val="16"/>
              </w:rPr>
              <w:t>3.1.11 1:11</w:t>
            </w:r>
          </w:p>
        </w:tc>
        <w:tc>
          <w:tcPr>
            <w:tcW w:w="2834" w:type="dxa"/>
            <w:vAlign w:val="bottom"/>
          </w:tcPr>
          <w:p w:rsidR="00AF6C27" w:rsidRPr="00AF6C27" w:rsidRDefault="00AF6C27">
            <w:pPr>
              <w:shd w:val="clear" w:color="000000" w:fill="auto"/>
              <w:spacing w:before="60" w:line="200" w:lineRule="exact"/>
              <w:rPr>
                <w:b/>
                <w:sz w:val="16"/>
              </w:rPr>
            </w:pPr>
            <w:r w:rsidRPr="00AF6C27">
              <w:rPr>
                <w:sz w:val="16"/>
              </w:rPr>
              <w:t>Stöd för installation av energieffektiva fönster m.m.</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80 000</w:t>
            </w:r>
          </w:p>
        </w:tc>
        <w:tc>
          <w:tcPr>
            <w:tcW w:w="1151" w:type="dxa"/>
            <w:vAlign w:val="bottom"/>
          </w:tcPr>
          <w:p w:rsidR="00AF6C27" w:rsidRPr="00AF6C27" w:rsidRDefault="00AF6C27">
            <w:pPr>
              <w:shd w:val="clear" w:color="000000" w:fill="auto"/>
              <w:spacing w:before="60" w:line="200" w:lineRule="exact"/>
              <w:jc w:val="right"/>
              <w:rPr>
                <w:b/>
                <w:sz w:val="16"/>
              </w:rPr>
            </w:pPr>
            <w:r w:rsidRPr="00AF6C27">
              <w:rPr>
                <w:sz w:val="16"/>
              </w:rPr>
              <w:t>–80 000</w:t>
            </w:r>
          </w:p>
        </w:tc>
      </w:tr>
      <w:tr w:rsidR="00000000" w:rsidRPr="00AF6C27">
        <w:tc>
          <w:tcPr>
            <w:tcW w:w="818" w:type="dxa"/>
            <w:vAlign w:val="bottom"/>
          </w:tcPr>
          <w:p w:rsidR="00AF6C27" w:rsidRPr="00AF6C27" w:rsidRDefault="00AF6C27">
            <w:pPr>
              <w:shd w:val="clear" w:color="000000" w:fill="auto"/>
              <w:spacing w:before="60" w:line="200" w:lineRule="exact"/>
              <w:ind w:left="-57" w:right="-57"/>
              <w:rPr>
                <w:spacing w:val="-2"/>
                <w:sz w:val="16"/>
              </w:rPr>
            </w:pPr>
            <w:r w:rsidRPr="00AF6C27">
              <w:rPr>
                <w:spacing w:val="-2"/>
                <w:sz w:val="16"/>
              </w:rPr>
              <w:t>Nytt anslag</w:t>
            </w:r>
          </w:p>
        </w:tc>
        <w:tc>
          <w:tcPr>
            <w:tcW w:w="2834" w:type="dxa"/>
            <w:vAlign w:val="bottom"/>
          </w:tcPr>
          <w:p w:rsidR="00AF6C27" w:rsidRPr="00AF6C27" w:rsidRDefault="00AF6C27">
            <w:pPr>
              <w:shd w:val="clear" w:color="000000" w:fill="auto"/>
              <w:spacing w:before="60" w:line="200" w:lineRule="exact"/>
              <w:rPr>
                <w:sz w:val="16"/>
              </w:rPr>
            </w:pPr>
            <w:r w:rsidRPr="00AF6C27">
              <w:rPr>
                <w:sz w:val="16"/>
              </w:rPr>
              <w:t>Centrum för energieffektivisering</w:t>
            </w:r>
          </w:p>
        </w:tc>
        <w:tc>
          <w:tcPr>
            <w:tcW w:w="1151" w:type="dxa"/>
            <w:vAlign w:val="bottom"/>
          </w:tcPr>
          <w:p w:rsidR="00AF6C27" w:rsidRPr="00AF6C27" w:rsidRDefault="00AF6C27">
            <w:pPr>
              <w:shd w:val="clear" w:color="000000" w:fill="auto"/>
              <w:spacing w:before="60" w:line="200" w:lineRule="exact"/>
              <w:jc w:val="right"/>
              <w:rPr>
                <w:sz w:val="16"/>
              </w:rPr>
            </w:pPr>
            <w:r w:rsidRPr="00AF6C27">
              <w:rPr>
                <w:sz w:val="16"/>
              </w:rPr>
              <w:t>1 174 500</w:t>
            </w:r>
          </w:p>
        </w:tc>
        <w:tc>
          <w:tcPr>
            <w:tcW w:w="1151" w:type="dxa"/>
            <w:vAlign w:val="bottom"/>
          </w:tcPr>
          <w:p w:rsidR="00AF6C27" w:rsidRPr="00AF6C27" w:rsidRDefault="00AF6C27">
            <w:pPr>
              <w:shd w:val="clear" w:color="000000" w:fill="auto"/>
              <w:spacing w:before="60" w:line="200" w:lineRule="exact"/>
              <w:jc w:val="right"/>
              <w:rPr>
                <w:sz w:val="16"/>
              </w:rPr>
            </w:pPr>
          </w:p>
        </w:tc>
      </w:tr>
      <w:tr w:rsidR="00000000" w:rsidRPr="00AF6C27">
        <w:tc>
          <w:tcPr>
            <w:tcW w:w="818" w:type="dxa"/>
            <w:vAlign w:val="bottom"/>
          </w:tcPr>
          <w:p w:rsidR="00AF6C27" w:rsidRPr="00AF6C27" w:rsidRDefault="00AF6C27">
            <w:pPr>
              <w:shd w:val="clear" w:color="000000" w:fill="auto"/>
              <w:spacing w:before="60" w:line="200" w:lineRule="exact"/>
              <w:ind w:left="-57" w:right="-57"/>
              <w:rPr>
                <w:spacing w:val="-2"/>
                <w:sz w:val="16"/>
              </w:rPr>
            </w:pPr>
            <w:r w:rsidRPr="00AF6C27">
              <w:rPr>
                <w:spacing w:val="-2"/>
                <w:sz w:val="16"/>
              </w:rPr>
              <w:t>3.1.13 1:13</w:t>
            </w:r>
          </w:p>
        </w:tc>
        <w:tc>
          <w:tcPr>
            <w:tcW w:w="2834" w:type="dxa"/>
            <w:vAlign w:val="bottom"/>
          </w:tcPr>
          <w:p w:rsidR="00AF6C27" w:rsidRPr="00AF6C27" w:rsidRDefault="00AF6C27">
            <w:pPr>
              <w:shd w:val="clear" w:color="000000" w:fill="auto"/>
              <w:spacing w:before="60" w:line="200" w:lineRule="exact"/>
              <w:rPr>
                <w:sz w:val="16"/>
              </w:rPr>
            </w:pPr>
            <w:r w:rsidRPr="00AF6C27">
              <w:rPr>
                <w:sz w:val="16"/>
              </w:rPr>
              <w:t>Energiteknik</w:t>
            </w:r>
          </w:p>
        </w:tc>
        <w:tc>
          <w:tcPr>
            <w:tcW w:w="1151" w:type="dxa"/>
            <w:vAlign w:val="bottom"/>
          </w:tcPr>
          <w:p w:rsidR="00AF6C27" w:rsidRPr="00AF6C27" w:rsidRDefault="00AF6C27">
            <w:pPr>
              <w:shd w:val="clear" w:color="000000" w:fill="auto"/>
              <w:spacing w:before="60" w:line="200" w:lineRule="exact"/>
              <w:jc w:val="right"/>
              <w:rPr>
                <w:sz w:val="16"/>
              </w:rPr>
            </w:pPr>
            <w:r w:rsidRPr="00AF6C27">
              <w:rPr>
                <w:sz w:val="16"/>
              </w:rPr>
              <w:t>100 000</w:t>
            </w:r>
          </w:p>
        </w:tc>
        <w:tc>
          <w:tcPr>
            <w:tcW w:w="1151" w:type="dxa"/>
            <w:vAlign w:val="bottom"/>
          </w:tcPr>
          <w:p w:rsidR="00AF6C27" w:rsidRPr="00AF6C27" w:rsidRDefault="00AF6C27">
            <w:pPr>
              <w:shd w:val="clear" w:color="000000" w:fill="auto"/>
              <w:spacing w:before="60" w:line="200" w:lineRule="exact"/>
              <w:jc w:val="right"/>
              <w:rPr>
                <w:sz w:val="16"/>
              </w:rPr>
            </w:pPr>
            <w:r w:rsidRPr="00AF6C27">
              <w:rPr>
                <w:sz w:val="16"/>
              </w:rPr>
              <w:t>–100 000</w:t>
            </w:r>
          </w:p>
        </w:tc>
      </w:tr>
      <w:tr w:rsidR="00000000" w:rsidRPr="00AF6C27">
        <w:tc>
          <w:tcPr>
            <w:tcW w:w="818" w:type="dxa"/>
            <w:tcBorders>
              <w:bottom w:val="nil"/>
            </w:tcBorders>
            <w:vAlign w:val="bottom"/>
          </w:tcPr>
          <w:p w:rsidR="00AF6C27" w:rsidRPr="00AF6C27" w:rsidRDefault="00AF6C27">
            <w:pPr>
              <w:shd w:val="clear" w:color="000000" w:fill="auto"/>
              <w:spacing w:before="60" w:line="200" w:lineRule="exact"/>
              <w:ind w:left="-57" w:right="-57"/>
              <w:rPr>
                <w:spacing w:val="-2"/>
                <w:sz w:val="16"/>
              </w:rPr>
            </w:pPr>
            <w:r w:rsidRPr="00AF6C27">
              <w:rPr>
                <w:spacing w:val="-2"/>
                <w:sz w:val="16"/>
              </w:rPr>
              <w:t>Nytt anslag</w:t>
            </w:r>
          </w:p>
        </w:tc>
        <w:tc>
          <w:tcPr>
            <w:tcW w:w="2834" w:type="dxa"/>
            <w:tcBorders>
              <w:bottom w:val="nil"/>
            </w:tcBorders>
            <w:vAlign w:val="bottom"/>
          </w:tcPr>
          <w:p w:rsidR="00AF6C27" w:rsidRPr="00AF6C27" w:rsidRDefault="00AF6C27">
            <w:pPr>
              <w:shd w:val="clear" w:color="000000" w:fill="auto"/>
              <w:spacing w:before="60" w:line="200" w:lineRule="exact"/>
              <w:rPr>
                <w:sz w:val="16"/>
              </w:rPr>
            </w:pPr>
            <w:r w:rsidRPr="00AF6C27">
              <w:rPr>
                <w:sz w:val="16"/>
              </w:rPr>
              <w:t>Miljöteknik</w:t>
            </w:r>
          </w:p>
        </w:tc>
        <w:tc>
          <w:tcPr>
            <w:tcW w:w="1151" w:type="dxa"/>
            <w:tcBorders>
              <w:bottom w:val="nil"/>
            </w:tcBorders>
            <w:vAlign w:val="bottom"/>
          </w:tcPr>
          <w:p w:rsidR="00AF6C27" w:rsidRPr="00AF6C27" w:rsidRDefault="00AF6C27">
            <w:pPr>
              <w:shd w:val="clear" w:color="000000" w:fill="auto"/>
              <w:spacing w:before="60" w:line="200" w:lineRule="exact"/>
              <w:jc w:val="right"/>
              <w:rPr>
                <w:sz w:val="16"/>
              </w:rPr>
            </w:pPr>
          </w:p>
        </w:tc>
        <w:tc>
          <w:tcPr>
            <w:tcW w:w="1151" w:type="dxa"/>
            <w:tcBorders>
              <w:bottom w:val="nil"/>
            </w:tcBorders>
            <w:vAlign w:val="bottom"/>
          </w:tcPr>
          <w:p w:rsidR="00AF6C27" w:rsidRPr="00AF6C27" w:rsidRDefault="00AF6C27">
            <w:pPr>
              <w:shd w:val="clear" w:color="000000" w:fill="auto"/>
              <w:spacing w:before="60" w:line="200" w:lineRule="exact"/>
              <w:jc w:val="right"/>
              <w:rPr>
                <w:sz w:val="16"/>
              </w:rPr>
            </w:pPr>
          </w:p>
        </w:tc>
      </w:tr>
      <w:tr w:rsidR="00000000" w:rsidRPr="00AF6C27">
        <w:tc>
          <w:tcPr>
            <w:tcW w:w="818" w:type="dxa"/>
            <w:tcBorders>
              <w:top w:val="nil"/>
              <w:bottom w:val="single" w:sz="4" w:space="0" w:color="auto"/>
            </w:tcBorders>
            <w:vAlign w:val="bottom"/>
          </w:tcPr>
          <w:p w:rsidR="00AF6C27" w:rsidRPr="00AF6C27" w:rsidRDefault="00AF6C27">
            <w:pPr>
              <w:shd w:val="clear" w:color="000000" w:fill="auto"/>
              <w:spacing w:before="60" w:line="200" w:lineRule="exact"/>
              <w:ind w:left="-57" w:right="-57"/>
              <w:rPr>
                <w:spacing w:val="-2"/>
                <w:sz w:val="16"/>
              </w:rPr>
            </w:pPr>
            <w:r w:rsidRPr="00AF6C27">
              <w:rPr>
                <w:b/>
                <w:spacing w:val="-2"/>
                <w:sz w:val="16"/>
              </w:rPr>
              <w:t>Summa</w:t>
            </w:r>
          </w:p>
        </w:tc>
        <w:tc>
          <w:tcPr>
            <w:tcW w:w="2834" w:type="dxa"/>
            <w:tcBorders>
              <w:top w:val="nil"/>
              <w:bottom w:val="single" w:sz="4" w:space="0" w:color="auto"/>
            </w:tcBorders>
            <w:vAlign w:val="bottom"/>
          </w:tcPr>
          <w:p w:rsidR="00AF6C27" w:rsidRPr="00AF6C27" w:rsidRDefault="00AF6C27">
            <w:pPr>
              <w:shd w:val="clear" w:color="000000" w:fill="auto"/>
              <w:spacing w:before="60" w:line="200" w:lineRule="exact"/>
              <w:rPr>
                <w:sz w:val="16"/>
              </w:rPr>
            </w:pPr>
          </w:p>
        </w:tc>
        <w:tc>
          <w:tcPr>
            <w:tcW w:w="1151" w:type="dxa"/>
            <w:tcBorders>
              <w:top w:val="nil"/>
              <w:bottom w:val="single" w:sz="4" w:space="0" w:color="auto"/>
            </w:tcBorders>
            <w:vAlign w:val="bottom"/>
          </w:tcPr>
          <w:p w:rsidR="00AF6C27" w:rsidRPr="00AF6C27" w:rsidRDefault="00AF6C27">
            <w:pPr>
              <w:shd w:val="clear" w:color="000000" w:fill="auto"/>
              <w:spacing w:before="60" w:line="200" w:lineRule="exact"/>
              <w:jc w:val="right"/>
              <w:rPr>
                <w:sz w:val="16"/>
              </w:rPr>
            </w:pPr>
            <w:r w:rsidRPr="00AF6C27">
              <w:rPr>
                <w:sz w:val="16"/>
              </w:rPr>
              <w:t>350 000</w:t>
            </w:r>
          </w:p>
        </w:tc>
        <w:tc>
          <w:tcPr>
            <w:tcW w:w="1151" w:type="dxa"/>
            <w:tcBorders>
              <w:top w:val="nil"/>
              <w:bottom w:val="single" w:sz="4" w:space="0" w:color="auto"/>
            </w:tcBorders>
            <w:vAlign w:val="bottom"/>
          </w:tcPr>
          <w:p w:rsidR="00AF6C27" w:rsidRPr="00AF6C27" w:rsidRDefault="00AF6C27">
            <w:pPr>
              <w:shd w:val="clear" w:color="000000" w:fill="auto"/>
              <w:spacing w:before="60" w:line="200" w:lineRule="exact"/>
              <w:jc w:val="right"/>
              <w:rPr>
                <w:sz w:val="16"/>
              </w:rPr>
            </w:pPr>
            <w:r w:rsidRPr="00AF6C27">
              <w:rPr>
                <w:b/>
                <w:sz w:val="16"/>
              </w:rPr>
              <w:t>550 000</w:t>
            </w:r>
          </w:p>
        </w:tc>
      </w:tr>
    </w:tbl>
    <w:p w:rsidR="00AF6C27" w:rsidRPr="00AF6C27" w:rsidRDefault="00AF6C27">
      <w:pPr>
        <w:shd w:val="clear" w:color="000000" w:fill="auto"/>
      </w:pPr>
    </w:p>
    <w:p w:rsidR="00AF6C27" w:rsidRPr="00AF6C27" w:rsidRDefault="00AF6C27">
      <w:pPr>
        <w:pStyle w:val="Rubrik1"/>
        <w:shd w:val="clear" w:color="000000" w:fill="auto"/>
      </w:pPr>
      <w:r w:rsidRPr="00AF6C27">
        <w:t>Bakgrund</w:t>
      </w:r>
    </w:p>
    <w:p w:rsidR="00AF6C27" w:rsidRPr="00AF6C27" w:rsidRDefault="00AF6C27">
      <w:pPr>
        <w:shd w:val="clear" w:color="000000" w:fill="auto"/>
      </w:pPr>
      <w:r w:rsidRPr="00AF6C27">
        <w:t>Ingen klimatpolitik utan energipolitik. Det är beklagligt att konstatera att regeringen än en gång lyckas prestera en energipolitik som inte tar fasta på den verkliga utmaningen, nämligen att en effektivare användning av energi är nödvändig för att minska klimatpåverkan. Vänsterpartiet anser att energipol</w:t>
      </w:r>
      <w:r w:rsidRPr="00AF6C27">
        <w:t>i</w:t>
      </w:r>
      <w:r w:rsidRPr="00AF6C27">
        <w:t xml:space="preserve">tiken måste vara målinriktad och genomförbar. Energikostnaderna har ökat betydligt snabbare än konsumentprisindex och har för vanliga familjer blivit en betungande utgiftspost. </w:t>
      </w:r>
    </w:p>
    <w:p w:rsidR="00AF6C27" w:rsidRPr="00AF6C27" w:rsidRDefault="00AF6C27">
      <w:pPr>
        <w:pStyle w:val="Normaltindrag"/>
        <w:shd w:val="clear" w:color="000000" w:fill="auto"/>
      </w:pPr>
      <w:r w:rsidRPr="00AF6C27">
        <w:lastRenderedPageBreak/>
        <w:t>Bostäder, lokaler och service står för ca 40 % av Sveriges energianvän</w:t>
      </w:r>
      <w:r w:rsidRPr="00AF6C27">
        <w:t>d</w:t>
      </w:r>
      <w:r w:rsidRPr="00AF6C27">
        <w:t xml:space="preserve">ning. Under 1970 till 1990 minskade oljeförbrukningen för uppvärmning med 90 %. Denna minskning ersattes av kärnkraftsel för uppvärmning och en ökad biobränsleanvändning i fjärrvärmeverk. El blev den dominerande värmekällan i svenska bostäder och lokaler. Den höga elförbrukningen, särskilt under vinterhalvåret, medför betydande ledningsförluster. I samband med oljekrisen på 1970-talet genomfördes många energibesparande åtgärder med statligt stöd. </w:t>
      </w:r>
    </w:p>
    <w:p w:rsidR="00AF6C27" w:rsidRPr="00AF6C27" w:rsidRDefault="00AF6C27">
      <w:pPr>
        <w:pStyle w:val="Rubrik1"/>
        <w:shd w:val="clear" w:color="000000" w:fill="auto"/>
      </w:pPr>
      <w:r w:rsidRPr="00AF6C27">
        <w:t>Centrum för energieffektivisering</w:t>
      </w:r>
    </w:p>
    <w:p w:rsidR="00AF6C27" w:rsidRPr="00AF6C27" w:rsidRDefault="00AF6C27">
      <w:pPr>
        <w:shd w:val="clear" w:color="000000" w:fill="auto"/>
      </w:pPr>
      <w:r w:rsidRPr="00AF6C27">
        <w:t>All energiproduktion påverkar vår omgivning på ett negativt sätt. Den värd</w:t>
      </w:r>
      <w:r w:rsidRPr="00AF6C27">
        <w:t>e</w:t>
      </w:r>
      <w:r w:rsidRPr="00AF6C27">
        <w:t xml:space="preserve">fullaste kWh är därför alltid en </w:t>
      </w:r>
      <w:r w:rsidRPr="00AF6C27">
        <w:rPr>
          <w:iCs/>
        </w:rPr>
        <w:t xml:space="preserve">negawattimme, </w:t>
      </w:r>
      <w:r w:rsidRPr="00AF6C27">
        <w:t xml:space="preserve">dvs. en </w:t>
      </w:r>
      <w:r w:rsidRPr="00AF6C27">
        <w:rPr>
          <w:iCs/>
        </w:rPr>
        <w:t>sparad kW – d</w:t>
      </w:r>
      <w:r w:rsidRPr="00AF6C27">
        <w:t>en kWh som aldrig behöver tillverkas. Så länge kostnaden för en sparad kWh är lägre än att producera en ny kWh bör effektiviseringsåtgärder genomföras. I dag fördelas ansvaret för energieffektivisering på flera olika statliga myndigheter. Denna uppdelning på flera olika myndigheter har gjort att ansvaret för up</w:t>
      </w:r>
      <w:r w:rsidRPr="00AF6C27">
        <w:t>p</w:t>
      </w:r>
      <w:r w:rsidRPr="00AF6C27">
        <w:t xml:space="preserve">följning av mål och insatser fallit mellan stolarna. Vänsterpartiet delar </w:t>
      </w:r>
      <w:r w:rsidRPr="00AF6C27">
        <w:rPr>
          <w:color w:val="231F20"/>
        </w:rPr>
        <w:t>Ko</w:t>
      </w:r>
      <w:r w:rsidRPr="00AF6C27">
        <w:rPr>
          <w:color w:val="231F20"/>
        </w:rPr>
        <w:t>m</w:t>
      </w:r>
      <w:r w:rsidRPr="00AF6C27">
        <w:rPr>
          <w:color w:val="231F20"/>
        </w:rPr>
        <w:t xml:space="preserve">missionen mot oljeberoendes uppfattning </w:t>
      </w:r>
      <w:r w:rsidRPr="00AF6C27">
        <w:t xml:space="preserve">och föreslår </w:t>
      </w:r>
      <w:r w:rsidRPr="00AF6C27">
        <w:t>att en programmyndi</w:t>
      </w:r>
      <w:r w:rsidRPr="00AF6C27">
        <w:t>g</w:t>
      </w:r>
      <w:r w:rsidRPr="00AF6C27">
        <w:t>het inrättas, ”C</w:t>
      </w:r>
      <w:r w:rsidRPr="00AF6C27">
        <w:rPr>
          <w:bCs/>
        </w:rPr>
        <w:t>entrum för energieffektivisering”,</w:t>
      </w:r>
      <w:r w:rsidRPr="00AF6C27">
        <w:t xml:space="preserve"> i samverkan med berörda myndigheter. Dess uppgift föreslås vara att inom bostads- och lokalsektorn minska bruket av fossila bränslen med 35 % och att minska elförbrukningen med 30 % till år 2020 utifrån dagens nivå. Centret bör också ha uppdraget att följa energieffektiviseringen inom denna och andra sektorer, samt årligen lämna en redovisning av hur målen uppnåtts och ge förslag till åtgärder för fortlöpande höjda målsättningar till rik</w:t>
      </w:r>
      <w:r w:rsidRPr="00AF6C27">
        <w:t>sdag och regering. Stödet för energii</w:t>
      </w:r>
      <w:r w:rsidRPr="00AF6C27">
        <w:t>n</w:t>
      </w:r>
      <w:r w:rsidRPr="00AF6C27">
        <w:t>vesteringar i offentliga lokaler utgår från ett helhetsperspektiv. Dagens stöd för konvertering från direktverkande el, stöd för solvärme och energieffektiva fönster är punktvisa insatser och ger begränsade incitament för att tillvarata en fastighets hela spar- och energieffektiviseringspotential.</w:t>
      </w:r>
    </w:p>
    <w:p w:rsidR="00AF6C27" w:rsidRPr="00AF6C27" w:rsidRDefault="00AF6C27">
      <w:pPr>
        <w:pStyle w:val="Normaltindrag"/>
        <w:shd w:val="clear" w:color="000000" w:fill="auto"/>
      </w:pPr>
      <w:r w:rsidRPr="00AF6C27">
        <w:t>Ett sätt att kanske förbättra incitamenten till genomgripande energieffekt</w:t>
      </w:r>
      <w:r w:rsidRPr="00AF6C27">
        <w:t>i</w:t>
      </w:r>
      <w:r w:rsidRPr="00AF6C27">
        <w:t>viseringsåtgärder kan vara långsiktiga lån med låg ränta. Ett annat är att delar av kostnaderna återbetalas i form av bidrag. C</w:t>
      </w:r>
      <w:r w:rsidRPr="00AF6C27">
        <w:rPr>
          <w:bCs/>
        </w:rPr>
        <w:t>entrum för energieffektivisering</w:t>
      </w:r>
      <w:r w:rsidRPr="00AF6C27">
        <w:t xml:space="preserve"> bör utarbeta lämpliga och kostnadseffektiva åtgärder, som en utveckling av nuvarande stödinsatser. </w:t>
      </w:r>
    </w:p>
    <w:p w:rsidR="00AF6C27" w:rsidRPr="00AF6C27" w:rsidRDefault="00AF6C27">
      <w:pPr>
        <w:pStyle w:val="Rubrik1"/>
        <w:shd w:val="clear" w:color="000000" w:fill="auto"/>
      </w:pPr>
      <w:r w:rsidRPr="00AF6C27">
        <w:t>Kärnkraften</w:t>
      </w:r>
    </w:p>
    <w:p w:rsidR="00AF6C27" w:rsidRPr="00AF6C27" w:rsidRDefault="00AF6C27">
      <w:pPr>
        <w:shd w:val="clear" w:color="000000" w:fill="auto"/>
      </w:pPr>
      <w:r w:rsidRPr="00AF6C27">
        <w:t>Att inte fortsätta kärnkraftsavvecklingen i enlighet med det beslut Vänsterpa</w:t>
      </w:r>
      <w:r w:rsidRPr="00AF6C27">
        <w:t>r</w:t>
      </w:r>
      <w:r w:rsidRPr="00AF6C27">
        <w:t>tiet, Centerpartiet och Socialdemokraterna tog 1997 är inte bara ett formid</w:t>
      </w:r>
      <w:r w:rsidRPr="00AF6C27">
        <w:t>a</w:t>
      </w:r>
      <w:r w:rsidRPr="00AF6C27">
        <w:t xml:space="preserve">belt risktagande utan även ett hinder för nödvändiga framtidsinvesteringar. Regeringen avser att tillåta en effekthöjning av reaktorer och en fördubbling av deras livslängd till 60 år. </w:t>
      </w:r>
    </w:p>
    <w:p w:rsidR="00AF6C27" w:rsidRPr="00AF6C27" w:rsidRDefault="00AF6C27">
      <w:pPr>
        <w:pStyle w:val="Normaltindrag"/>
        <w:shd w:val="clear" w:color="000000" w:fill="auto"/>
      </w:pPr>
      <w:r w:rsidRPr="00AF6C27">
        <w:t>Vänsterpartiet anser att regeringens kärnkraftsvänliga politik med effek</w:t>
      </w:r>
      <w:r w:rsidRPr="00AF6C27">
        <w:t>t</w:t>
      </w:r>
      <w:r w:rsidRPr="00AF6C27">
        <w:t>höjningar, ökad livslängd och på sikt nya reaktorer inte bara ökar riskerna för en allvarlig reaktorolycka, där kanske miljoner människor förgiftas av radi</w:t>
      </w:r>
      <w:r w:rsidRPr="00AF6C27">
        <w:t>o</w:t>
      </w:r>
      <w:r w:rsidRPr="00AF6C27">
        <w:t>aktivitet och tvingas att flytta, utan också avviker starkt från regeringens kl</w:t>
      </w:r>
      <w:r w:rsidRPr="00AF6C27">
        <w:t>i</w:t>
      </w:r>
      <w:r w:rsidRPr="00AF6C27">
        <w:t xml:space="preserve">matpolitik. Avfallsfrågan är inte löst. Till det kommer de ökade risker för plutoniumspridning med allt fler kärnkraftverk i världen och därmed en ökad säkerhetsrisk. Med det elöverskott som uppstår genom alternativen skapas möjligheten att avveckla kärnkraften. </w:t>
      </w:r>
    </w:p>
    <w:p w:rsidR="00AF6C27" w:rsidRPr="00AF6C27" w:rsidRDefault="00AF6C27">
      <w:pPr>
        <w:pStyle w:val="Rubrik1"/>
        <w:shd w:val="clear" w:color="000000" w:fill="auto"/>
      </w:pPr>
      <w:r w:rsidRPr="00AF6C27">
        <w:t>Miljöteknik</w:t>
      </w:r>
      <w:r w:rsidRPr="00AF6C27">
        <w:t>satsning</w:t>
      </w:r>
    </w:p>
    <w:p w:rsidR="00AF6C27" w:rsidRPr="00AF6C27" w:rsidRDefault="00AF6C27">
      <w:pPr>
        <w:shd w:val="clear" w:color="000000" w:fill="auto"/>
      </w:pPr>
      <w:r w:rsidRPr="00AF6C27">
        <w:t>Regeringen anslår 100 miljoner kronor till anslaget Energiteknik. Vi menar att insnävningen till enbart energi och anslagets storlek inte är den signal som nya tekniker på miljö- och energiområdet efterfrågar. Därför anslår Vänste</w:t>
      </w:r>
      <w:r w:rsidRPr="00AF6C27">
        <w:t>r</w:t>
      </w:r>
      <w:r w:rsidRPr="00AF6C27">
        <w:t xml:space="preserve">partiet 250 miljoner kronor per år i tre år för att motverka den eftersläpning som finns inom skapandet av miljö- och energiteknikföretagandet i Sverige. </w:t>
      </w:r>
    </w:p>
    <w:p w:rsidR="00AF6C27" w:rsidRPr="00AF6C27" w:rsidRDefault="00AF6C27">
      <w:pPr>
        <w:pStyle w:val="Rubrik1"/>
        <w:shd w:val="clear" w:color="000000" w:fill="auto"/>
      </w:pPr>
      <w:r w:rsidRPr="00AF6C27">
        <w:t>Elcertifikaten</w:t>
      </w:r>
    </w:p>
    <w:p w:rsidR="00AF6C27" w:rsidRPr="00AF6C27" w:rsidRDefault="00AF6C27">
      <w:pPr>
        <w:shd w:val="clear" w:color="000000" w:fill="auto"/>
      </w:pPr>
      <w:r w:rsidRPr="00AF6C27">
        <w:t>En översyn av elcertifikatsystemets storlek och nedtrappning måste göras för att skapa möjlighet för alternativ som vindkraft, solkraft och vågkraft att få plats. Översynen av nedtrappningen bör göras för att inte kol- eller gasa</w:t>
      </w:r>
      <w:r w:rsidRPr="00AF6C27">
        <w:t>n</w:t>
      </w:r>
      <w:r w:rsidRPr="00AF6C27">
        <w:t>vändningen skall öka. Ökade ansträngningar för att få in nya länder i systemet bör göras.</w:t>
      </w:r>
    </w:p>
    <w:p w:rsidR="00AF6C27" w:rsidRPr="00AF6C27" w:rsidRDefault="00AF6C27">
      <w:pPr>
        <w:pStyle w:val="Rubrik1"/>
        <w:shd w:val="clear" w:color="000000" w:fill="auto"/>
      </w:pPr>
      <w:r w:rsidRPr="00AF6C27">
        <w:t xml:space="preserve">Torvens skattefrihet   </w:t>
      </w:r>
    </w:p>
    <w:p w:rsidR="00AF6C27" w:rsidRPr="00AF6C27" w:rsidRDefault="00AF6C27">
      <w:pPr>
        <w:pStyle w:val="Normaltindrag"/>
        <w:shd w:val="clear" w:color="000000" w:fill="auto"/>
        <w:ind w:firstLine="0"/>
      </w:pPr>
      <w:r w:rsidRPr="00AF6C27">
        <w:t>Med tanke på de skador som uppkommer och de utsläpp som görs från tor</w:t>
      </w:r>
      <w:r w:rsidRPr="00AF6C27">
        <w:t>v</w:t>
      </w:r>
      <w:r w:rsidRPr="00AF6C27">
        <w:t>brytningen bör torvens skattebefrielse på koldioxidområdet upphöra.</w:t>
      </w:r>
    </w:p>
    <w:p w:rsidR="00AF6C27" w:rsidRPr="00AF6C27" w:rsidRDefault="00AF6C27">
      <w:pPr>
        <w:pStyle w:val="Rubrik1"/>
        <w:shd w:val="clear" w:color="000000" w:fill="auto"/>
      </w:pPr>
      <w:r w:rsidRPr="00AF6C27">
        <w:t>Jämställdhet i energisektorn</w:t>
      </w:r>
    </w:p>
    <w:p w:rsidR="00AF6C27" w:rsidRPr="00AF6C27" w:rsidRDefault="00AF6C27">
      <w:pPr>
        <w:shd w:val="clear" w:color="000000" w:fill="auto"/>
      </w:pPr>
      <w:r w:rsidRPr="00AF6C27">
        <w:t>Genusperspektiv har anlagts i liten omfattning inom energisektorn. Detta arbete måste öka och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C27">
        <w:trPr>
          <w:cantSplit/>
        </w:trPr>
        <w:tc>
          <w:tcPr>
            <w:tcW w:w="3046" w:type="dxa"/>
          </w:tcPr>
          <w:p w:rsidR="00AF6C27" w:rsidRPr="00AF6C27" w:rsidRDefault="00AF6C27">
            <w:pPr>
              <w:pStyle w:val="UnderskriftDatum"/>
              <w:shd w:val="clear" w:color="000000" w:fill="auto"/>
              <w:spacing w:before="240"/>
            </w:pPr>
            <w:r w:rsidRPr="00AF6C27">
              <w:t>Stockholm den 2 oktober 2008</w:t>
            </w:r>
          </w:p>
        </w:tc>
        <w:tc>
          <w:tcPr>
            <w:tcW w:w="3047" w:type="dxa"/>
          </w:tcPr>
          <w:p w:rsidR="00AF6C27" w:rsidRPr="00AF6C27" w:rsidRDefault="00AF6C27">
            <w:pPr>
              <w:pStyle w:val="Underskrifter"/>
              <w:shd w:val="clear" w:color="000000" w:fill="auto"/>
              <w:spacing w:before="240"/>
            </w:pPr>
          </w:p>
        </w:tc>
      </w:tr>
      <w:tr w:rsidR="00000000" w:rsidRPr="00AF6C27">
        <w:trPr>
          <w:cantSplit/>
        </w:trPr>
        <w:tc>
          <w:tcPr>
            <w:tcW w:w="3046" w:type="dxa"/>
          </w:tcPr>
          <w:p w:rsidR="00AF6C27" w:rsidRPr="00AF6C27" w:rsidRDefault="00AF6C27">
            <w:pPr>
              <w:pStyle w:val="Underskrifter"/>
              <w:shd w:val="clear" w:color="000000" w:fill="auto"/>
            </w:pPr>
            <w:r w:rsidRPr="00AF6C27">
              <w:t>Lars Ohly (v)</w:t>
            </w:r>
          </w:p>
        </w:tc>
        <w:tc>
          <w:tcPr>
            <w:tcW w:w="3046" w:type="dxa"/>
          </w:tcPr>
          <w:p w:rsidR="00AF6C27" w:rsidRPr="00AF6C27" w:rsidRDefault="00AF6C27">
            <w:pPr>
              <w:pStyle w:val="Underskrifter"/>
              <w:shd w:val="clear" w:color="000000" w:fill="auto"/>
            </w:pPr>
          </w:p>
        </w:tc>
      </w:tr>
      <w:tr w:rsidR="00000000" w:rsidRPr="00AF6C27">
        <w:trPr>
          <w:cantSplit/>
        </w:trPr>
        <w:tc>
          <w:tcPr>
            <w:tcW w:w="3046" w:type="dxa"/>
          </w:tcPr>
          <w:p w:rsidR="00AF6C27" w:rsidRPr="00AF6C27" w:rsidRDefault="00AF6C27">
            <w:pPr>
              <w:pStyle w:val="Underskrifter"/>
              <w:shd w:val="clear" w:color="000000" w:fill="auto"/>
            </w:pPr>
            <w:r w:rsidRPr="00AF6C27">
              <w:t>Marianne Berg (v)</w:t>
            </w:r>
          </w:p>
        </w:tc>
        <w:tc>
          <w:tcPr>
            <w:tcW w:w="3046" w:type="dxa"/>
          </w:tcPr>
          <w:p w:rsidR="00AF6C27" w:rsidRPr="00AF6C27" w:rsidRDefault="00AF6C27">
            <w:pPr>
              <w:pStyle w:val="Underskrifter"/>
              <w:shd w:val="clear" w:color="000000" w:fill="auto"/>
            </w:pPr>
            <w:r w:rsidRPr="00AF6C27">
              <w:t>Jacob Johnson (v)</w:t>
            </w:r>
          </w:p>
        </w:tc>
      </w:tr>
      <w:tr w:rsidR="00000000" w:rsidRPr="00AF6C27">
        <w:trPr>
          <w:cantSplit/>
        </w:trPr>
        <w:tc>
          <w:tcPr>
            <w:tcW w:w="3046" w:type="dxa"/>
          </w:tcPr>
          <w:p w:rsidR="00AF6C27" w:rsidRPr="00AF6C27" w:rsidRDefault="00AF6C27">
            <w:pPr>
              <w:pStyle w:val="Underskrifter"/>
              <w:shd w:val="clear" w:color="000000" w:fill="auto"/>
            </w:pPr>
            <w:r w:rsidRPr="00AF6C27">
              <w:t>Hans Linde (v)</w:t>
            </w:r>
          </w:p>
        </w:tc>
        <w:tc>
          <w:tcPr>
            <w:tcW w:w="3046" w:type="dxa"/>
          </w:tcPr>
          <w:p w:rsidR="00AF6C27" w:rsidRPr="00AF6C27" w:rsidRDefault="00AF6C27">
            <w:pPr>
              <w:pStyle w:val="Underskrifter"/>
              <w:shd w:val="clear" w:color="000000" w:fill="auto"/>
            </w:pPr>
            <w:r w:rsidRPr="00AF6C27">
              <w:t>Elina Linna (v)</w:t>
            </w:r>
          </w:p>
        </w:tc>
      </w:tr>
      <w:tr w:rsidR="00000000" w:rsidRPr="00AF6C27">
        <w:trPr>
          <w:cantSplit/>
        </w:trPr>
        <w:tc>
          <w:tcPr>
            <w:tcW w:w="3046" w:type="dxa"/>
          </w:tcPr>
          <w:p w:rsidR="00AF6C27" w:rsidRPr="00AF6C27" w:rsidRDefault="00AF6C27">
            <w:pPr>
              <w:pStyle w:val="Underskrifter"/>
              <w:shd w:val="clear" w:color="000000" w:fill="auto"/>
            </w:pPr>
            <w:r w:rsidRPr="00AF6C27">
              <w:t>Gunilla Wahlén (v)</w:t>
            </w:r>
          </w:p>
        </w:tc>
        <w:tc>
          <w:tcPr>
            <w:tcW w:w="3046" w:type="dxa"/>
          </w:tcPr>
          <w:p w:rsidR="00AF6C27" w:rsidRPr="00AF6C27" w:rsidRDefault="00AF6C27">
            <w:pPr>
              <w:pStyle w:val="Underskrifter"/>
              <w:shd w:val="clear" w:color="000000" w:fill="auto"/>
            </w:pPr>
            <w:r w:rsidRPr="00AF6C27">
              <w:t>Alice Åström (v)</w:t>
            </w:r>
          </w:p>
        </w:tc>
      </w:tr>
      <w:tr w:rsidR="00000000" w:rsidRPr="00AF6C27">
        <w:trPr>
          <w:cantSplit/>
        </w:trPr>
        <w:tc>
          <w:tcPr>
            <w:tcW w:w="3046" w:type="dxa"/>
          </w:tcPr>
          <w:p w:rsidR="00AF6C27" w:rsidRPr="00AF6C27" w:rsidRDefault="00AF6C27">
            <w:pPr>
              <w:pStyle w:val="Underskrifter"/>
              <w:shd w:val="clear" w:color="000000" w:fill="auto"/>
            </w:pPr>
            <w:r w:rsidRPr="00AF6C27">
              <w:t>Kent Persson (v)</w:t>
            </w:r>
          </w:p>
        </w:tc>
        <w:tc>
          <w:tcPr>
            <w:tcW w:w="3046" w:type="dxa"/>
          </w:tcPr>
          <w:p w:rsidR="00AF6C27" w:rsidRPr="00AF6C27" w:rsidRDefault="00AF6C27">
            <w:pPr>
              <w:pStyle w:val="Underskrifter"/>
              <w:shd w:val="clear" w:color="000000" w:fill="auto"/>
            </w:pPr>
          </w:p>
        </w:tc>
      </w:tr>
    </w:tbl>
    <w:p w:rsidR="00AF6C27" w:rsidRPr="00AF6C27" w:rsidRDefault="00AF6C27">
      <w:pPr>
        <w:pStyle w:val="Normaltindrag"/>
        <w:shd w:val="clear" w:color="000000" w:fill="auto"/>
      </w:pPr>
    </w:p>
    <w:sectPr w:rsidR="00000000" w:rsidRPr="00AF6C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C27" w:rsidRPr="00AF6C27" w:rsidRDefault="00AF6C27">
      <w:r w:rsidRPr="00AF6C27">
        <w:separator/>
      </w:r>
    </w:p>
  </w:endnote>
  <w:endnote w:type="continuationSeparator" w:id="0">
    <w:p w:rsidR="00AF6C27" w:rsidRPr="00AF6C27" w:rsidRDefault="00AF6C27">
      <w:r w:rsidRPr="00AF6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27" w:rsidRPr="00AF6C27" w:rsidRDefault="00AF6C27">
    <w:pPr>
      <w:pStyle w:val="Sidfot"/>
    </w:pPr>
    <w:r w:rsidRPr="00AF6C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412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C27" w:rsidRDefault="00AF6C2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C27" w:rsidRDefault="00AF6C2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27" w:rsidRPr="00AF6C27" w:rsidRDefault="00AF6C27">
    <w:pPr>
      <w:pStyle w:val="Sidfot"/>
    </w:pPr>
    <w:r w:rsidRPr="00AF6C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642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C27" w:rsidRDefault="00AF6C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C27" w:rsidRDefault="00AF6C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27" w:rsidRPr="00AF6C27" w:rsidRDefault="00AF6C27">
    <w:pPr>
      <w:pStyle w:val="Sidfot"/>
    </w:pPr>
    <w:r w:rsidRPr="00AF6C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756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C27" w:rsidRDefault="00AF6C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C27" w:rsidRDefault="00AF6C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C27" w:rsidRPr="00AF6C27" w:rsidRDefault="00AF6C27">
      <w:r w:rsidRPr="00AF6C27">
        <w:separator/>
      </w:r>
    </w:p>
  </w:footnote>
  <w:footnote w:type="continuationSeparator" w:id="0">
    <w:p w:rsidR="00AF6C27" w:rsidRPr="00AF6C27" w:rsidRDefault="00AF6C27">
      <w:r w:rsidRPr="00AF6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27" w:rsidRPr="00AF6C27" w:rsidRDefault="00AF6C27">
    <w:pPr>
      <w:pStyle w:val="Sidhuvud"/>
    </w:pPr>
    <w:r w:rsidRPr="00AF6C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733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C27" w:rsidRDefault="00AF6C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C27" w:rsidRDefault="00AF6C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27" w:rsidRPr="00AF6C27" w:rsidRDefault="00AF6C27">
    <w:pPr>
      <w:pStyle w:val="Sidhuvud"/>
    </w:pPr>
    <w:r w:rsidRPr="00AF6C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958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C27" w:rsidRDefault="00AF6C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C27" w:rsidRDefault="00AF6C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27" w:rsidRPr="00AF6C27" w:rsidRDefault="00AF6C27">
    <w:pPr>
      <w:pStyle w:val="FSHNormal"/>
      <w:tabs>
        <w:tab w:val="right" w:pos="5840"/>
      </w:tabs>
    </w:pPr>
    <w:r w:rsidRPr="00AF6C27">
      <w:br/>
    </w:r>
    <w:r w:rsidRPr="00AF6C27">
      <w:fldChar w:fldCharType="begin" w:fldLock="1"/>
    </w:r>
    <w:r w:rsidRPr="00AF6C27">
      <w:instrText xml:space="preserve"> DOCPROPERTY</w:instrText>
    </w:r>
    <w:r w:rsidRPr="00AF6C27">
      <w:rPr>
        <w:sz w:val="18"/>
      </w:rPr>
      <w:instrText xml:space="preserve"> "YearUser" *\charformat </w:instrText>
    </w:r>
    <w:r w:rsidRPr="00AF6C27">
      <w:fldChar w:fldCharType="separate"/>
    </w:r>
    <w:r w:rsidRPr="00AF6C27">
      <w:t>2008/09</w:t>
    </w:r>
    <w:r w:rsidRPr="00AF6C27">
      <w:fldChar w:fldCharType="end"/>
    </w:r>
    <w:r w:rsidRPr="00AF6C27">
      <w:t xml:space="preserve"> </w:t>
    </w:r>
    <w:r w:rsidRPr="00AF6C27">
      <w:tab/>
      <w:t xml:space="preserve">mnr: </w:t>
    </w:r>
    <w:r w:rsidRPr="00AF6C27">
      <w:fldChar w:fldCharType="begin" w:fldLock="1"/>
    </w:r>
    <w:r w:rsidRPr="00AF6C27">
      <w:instrText xml:space="preserve"> DOCPROPERTY</w:instrText>
    </w:r>
    <w:r w:rsidRPr="00AF6C27">
      <w:rPr>
        <w:sz w:val="18"/>
      </w:rPr>
      <w:instrText xml:space="preserve"> "Motionsnummer" *\charformat </w:instrText>
    </w:r>
    <w:r w:rsidRPr="00AF6C27">
      <w:fldChar w:fldCharType="separate"/>
    </w:r>
    <w:r w:rsidRPr="00AF6C27">
      <w:t>N338</w:t>
    </w:r>
    <w:r w:rsidRPr="00AF6C27">
      <w:fldChar w:fldCharType="end"/>
    </w:r>
    <w:r w:rsidRPr="00AF6C27">
      <w:br/>
    </w:r>
    <w:r w:rsidRPr="00AF6C27">
      <w:fldChar w:fldCharType="begin" w:fldLock="1"/>
    </w:r>
    <w:r w:rsidRPr="00AF6C27">
      <w:instrText xml:space="preserve"> DOCPROPERTY</w:instrText>
    </w:r>
    <w:r w:rsidRPr="00AF6C27">
      <w:rPr>
        <w:sz w:val="18"/>
      </w:rPr>
      <w:instrText xml:space="preserve"> "Samling" *\charformat </w:instrText>
    </w:r>
    <w:r w:rsidRPr="00AF6C27">
      <w:fldChar w:fldCharType="end"/>
    </w:r>
    <w:r w:rsidRPr="00AF6C27">
      <w:tab/>
      <w:t xml:space="preserve">pnr: </w:t>
    </w:r>
    <w:r w:rsidRPr="00AF6C27">
      <w:fldChar w:fldCharType="begin" w:fldLock="1"/>
    </w:r>
    <w:r w:rsidRPr="00AF6C27">
      <w:instrText xml:space="preserve"> DOCPROPERTY</w:instrText>
    </w:r>
    <w:r w:rsidRPr="00AF6C27">
      <w:rPr>
        <w:sz w:val="18"/>
      </w:rPr>
      <w:instrText xml:space="preserve"> "Partinummer" *\charformat </w:instrText>
    </w:r>
    <w:r w:rsidRPr="00AF6C27">
      <w:fldChar w:fldCharType="separate"/>
    </w:r>
    <w:r w:rsidRPr="00AF6C27">
      <w:t>v682</w:t>
    </w:r>
    <w:r w:rsidRPr="00AF6C27">
      <w:fldChar w:fldCharType="end"/>
    </w:r>
  </w:p>
  <w:p w:rsidR="00AF6C27" w:rsidRPr="00AF6C27" w:rsidRDefault="00AF6C27">
    <w:pPr>
      <w:pStyle w:val="FSHRub1"/>
    </w:pPr>
    <w:r w:rsidRPr="00AF6C27">
      <w:t>Motion till riksdagen</w:t>
    </w:r>
    <w:r w:rsidRPr="00AF6C27">
      <w:br/>
    </w:r>
    <w:r w:rsidRPr="00AF6C27">
      <w:fldChar w:fldCharType="begin" w:fldLock="1"/>
    </w:r>
    <w:r w:rsidRPr="00AF6C27">
      <w:instrText xml:space="preserve"> DOCPROPERTY "YearUser" *\charformat </w:instrText>
    </w:r>
    <w:r w:rsidRPr="00AF6C27">
      <w:fldChar w:fldCharType="separate"/>
    </w:r>
    <w:r w:rsidRPr="00AF6C27">
      <w:t>2008/09</w:t>
    </w:r>
    <w:r w:rsidRPr="00AF6C27">
      <w:fldChar w:fldCharType="end"/>
    </w:r>
    <w:r w:rsidRPr="00AF6C27">
      <w:t>:</w:t>
    </w:r>
    <w:r w:rsidRPr="00AF6C27">
      <w:fldChar w:fldCharType="begin" w:fldLock="1"/>
    </w:r>
    <w:r w:rsidRPr="00AF6C27">
      <w:instrText xml:space="preserve"> DOCPROPERTY "Motionsnummer" *\charformat </w:instrText>
    </w:r>
    <w:r w:rsidRPr="00AF6C27">
      <w:fldChar w:fldCharType="separate"/>
    </w:r>
    <w:r w:rsidRPr="00AF6C27">
      <w:t>N338</w:t>
    </w:r>
    <w:r w:rsidRPr="00AF6C27">
      <w:fldChar w:fldCharType="end"/>
    </w:r>
  </w:p>
  <w:p w:rsidR="00AF6C27" w:rsidRPr="00AF6C27" w:rsidRDefault="00AF6C27">
    <w:pPr>
      <w:pStyle w:val="FSHNormalS5"/>
    </w:pPr>
    <w:r w:rsidRPr="00AF6C27">
      <w:fldChar w:fldCharType="begin" w:fldLock="1"/>
    </w:r>
    <w:r w:rsidRPr="00AF6C27">
      <w:instrText xml:space="preserve"> DOCPROPERTY "MotionarText" *\charformat </w:instrText>
    </w:r>
    <w:r w:rsidRPr="00AF6C27">
      <w:fldChar w:fldCharType="separate"/>
    </w:r>
    <w:r w:rsidRPr="00AF6C27">
      <w:t>av Lars Ohly m.fl. (v)</w:t>
    </w:r>
    <w:r w:rsidRPr="00AF6C27">
      <w:fldChar w:fldCharType="end"/>
    </w:r>
    <w:r w:rsidRPr="00AF6C27">
      <w:br/>
    </w:r>
    <w:r w:rsidRPr="00AF6C27">
      <w:fldChar w:fldCharType="begin" w:fldLock="1"/>
    </w:r>
    <w:r w:rsidRPr="00AF6C27">
      <w:instrText xml:space="preserve"> DOCPROPERTY "SvarFrasKort" *\charformat </w:instrText>
    </w:r>
    <w:r w:rsidRPr="00AF6C27">
      <w:fldChar w:fldCharType="end"/>
    </w:r>
  </w:p>
  <w:p w:rsidR="00AF6C27" w:rsidRPr="00AF6C27" w:rsidRDefault="00AF6C27">
    <w:pPr>
      <w:pStyle w:val="FSHTitel"/>
    </w:pPr>
    <w:r w:rsidRPr="00AF6C27">
      <w:fldChar w:fldCharType="begin" w:fldLock="1"/>
    </w:r>
    <w:r w:rsidRPr="00AF6C27">
      <w:instrText xml:space="preserve"> DOCPROPERTY</w:instrText>
    </w:r>
    <w:r w:rsidRPr="00AF6C27">
      <w:rPr>
        <w:sz w:val="18"/>
      </w:rPr>
      <w:instrText xml:space="preserve"> "RubrikSvar" *\charformat </w:instrText>
    </w:r>
    <w:r w:rsidRPr="00AF6C27">
      <w:fldChar w:fldCharType="separate"/>
    </w:r>
    <w:r w:rsidRPr="00AF6C27">
      <w:t>Utgiftsområde 21 Energi</w:t>
    </w:r>
    <w:r w:rsidRPr="00AF6C27">
      <w:fldChar w:fldCharType="end"/>
    </w:r>
  </w:p>
  <w:p w:rsidR="00AF6C27" w:rsidRPr="00AF6C27" w:rsidRDefault="00AF6C27">
    <w:pPr>
      <w:pStyle w:val="Normal00"/>
    </w:pPr>
  </w:p>
  <w:p w:rsidR="00AF6C27" w:rsidRPr="00AF6C27" w:rsidRDefault="00AF6C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3B5257"/>
    <w:multiLevelType w:val="multilevel"/>
    <w:tmpl w:val="1610C1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0195031">
    <w:abstractNumId w:val="8"/>
  </w:num>
  <w:num w:numId="2" w16cid:durableId="693506336">
    <w:abstractNumId w:val="9"/>
  </w:num>
  <w:num w:numId="3" w16cid:durableId="843009605">
    <w:abstractNumId w:val="8"/>
  </w:num>
  <w:num w:numId="4" w16cid:durableId="1855873329">
    <w:abstractNumId w:val="9"/>
  </w:num>
  <w:num w:numId="5" w16cid:durableId="1777671495">
    <w:abstractNumId w:val="14"/>
  </w:num>
  <w:num w:numId="6" w16cid:durableId="1985742536">
    <w:abstractNumId w:val="10"/>
  </w:num>
  <w:num w:numId="7" w16cid:durableId="1512523787">
    <w:abstractNumId w:val="12"/>
  </w:num>
  <w:num w:numId="8" w16cid:durableId="108745025">
    <w:abstractNumId w:val="13"/>
  </w:num>
  <w:num w:numId="9" w16cid:durableId="1709261205">
    <w:abstractNumId w:val="8"/>
  </w:num>
  <w:num w:numId="10" w16cid:durableId="879561376">
    <w:abstractNumId w:val="3"/>
  </w:num>
  <w:num w:numId="11" w16cid:durableId="1250459050">
    <w:abstractNumId w:val="2"/>
  </w:num>
  <w:num w:numId="12" w16cid:durableId="1187211121">
    <w:abstractNumId w:val="1"/>
  </w:num>
  <w:num w:numId="13" w16cid:durableId="451100259">
    <w:abstractNumId w:val="0"/>
  </w:num>
  <w:num w:numId="14" w16cid:durableId="438987872">
    <w:abstractNumId w:val="9"/>
  </w:num>
  <w:num w:numId="15" w16cid:durableId="1442948">
    <w:abstractNumId w:val="7"/>
  </w:num>
  <w:num w:numId="16" w16cid:durableId="1498230466">
    <w:abstractNumId w:val="6"/>
  </w:num>
  <w:num w:numId="17" w16cid:durableId="2013019896">
    <w:abstractNumId w:val="5"/>
  </w:num>
  <w:num w:numId="18" w16cid:durableId="1996840802">
    <w:abstractNumId w:val="4"/>
  </w:num>
  <w:num w:numId="19" w16cid:durableId="1898588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1A2565D-4D2F-4887-9B1D-3D7BE825DA8C},{25384487-954A-4B3D-A759-FB67661DCC6F},{70ED92E7-062B-44F5-98C0-1732E6D079B7},{88576935-7337-4AFA-923F-6E59D33EEBED},{8B923F15-4996-4696-A089-6A5BE8BF8E1B},{233588E7-F7BD-4F60-BEE5-22A19EE80FB2},{7E0BF71E-CD03-4DBF-9F51-3B5B798F2741},{CBCE2632-605E-484A-97AC-47C334EA7100}"/>
  </w:docVars>
  <w:rsids>
    <w:rsidRoot w:val="00A01593"/>
    <w:rsid w:val="00A01593"/>
    <w:rsid w:val="00AF6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6BA1C2A-FAC0-4A6F-97B3-930D4201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4935</Characters>
  <Application>Microsoft Office Word</Application>
  <DocSecurity>4</DocSecurity>
  <Lines>137</Lines>
  <Paragraphs>74</Paragraphs>
  <ScaleCrop>false</ScaleCrop>
  <HeadingPairs>
    <vt:vector size="2" baseType="variant">
      <vt:variant>
        <vt:lpstr>Rubrik</vt:lpstr>
      </vt:variant>
      <vt:variant>
        <vt:i4>1</vt:i4>
      </vt:variant>
    </vt:vector>
  </HeadingPairs>
  <TitlesOfParts>
    <vt:vector size="1" baseType="lpstr">
      <vt:lpstr>v682</vt:lpstr>
    </vt:vector>
  </TitlesOfParts>
  <Company>Riksdagen</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v682</dc:title>
  <dc:subject>v682</dc:subject>
  <dc:creator>Riksdagen</dc:creator>
  <cp:keywords>Riksdagen</cp:keywords>
  <dc:description>TKG-ktrl, MSMQ4mb, PersReg-Distribution mm b-&gt;ny fplogga c-&gt;nygamla s-rosen</dc:description>
  <cp:lastModifiedBy>Lars Brink</cp:lastModifiedBy>
  <cp:revision>2</cp:revision>
  <cp:lastPrinted>2009-02-27T09:57:00Z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20082009000000000118000006820080</vt:lpwstr>
  </property>
  <property fmtid="{D5CDD505-2E9C-101B-9397-08002B2CF9AE}" pid="47" name="datum">
    <vt:lpwstr>081002</vt:lpwstr>
  </property>
  <property fmtid="{D5CDD505-2E9C-101B-9397-08002B2CF9AE}" pid="48" name="avsändar-e-post">
    <vt:lpwstr>maya.ek@riksdagen.se</vt:lpwstr>
  </property>
  <property fmtid="{D5CDD505-2E9C-101B-9397-08002B2CF9AE}" pid="49" name="id">
    <vt:lpwstr>20082009000000000118000006820080</vt:lpwstr>
  </property>
  <property fmtid="{D5CDD505-2E9C-101B-9397-08002B2CF9AE}" pid="50" name="nummer">
    <vt:lpwstr>338</vt:lpwstr>
  </property>
  <property fmtid="{D5CDD505-2E9C-101B-9397-08002B2CF9AE}" pid="51" name="utskottsbeteckning">
    <vt:lpwstr>N</vt:lpwstr>
  </property>
  <property fmtid="{D5CDD505-2E9C-101B-9397-08002B2CF9AE}" pid="52" name="GlobalUID">
    <vt:lpwstr>{EB178DED-82DB-4F36-9D49-0FF274B60B8C}</vt:lpwstr>
  </property>
  <property fmtid="{D5CDD505-2E9C-101B-9397-08002B2CF9AE}" pid="53" name="Överföringar">
    <vt:i4>0</vt:i4>
  </property>
  <property fmtid="{D5CDD505-2E9C-101B-9397-08002B2CF9AE}" pid="54" name="Checksum">
    <vt:lpwstr>*1006377318938*</vt:lpwstr>
  </property>
  <property fmtid="{D5CDD505-2E9C-101B-9397-08002B2CF9AE}" pid="55" name="skuggnummer">
    <vt:lpwstr>2018</vt:lpwstr>
  </property>
  <property fmtid="{D5CDD505-2E9C-101B-9397-08002B2CF9AE}" pid="56" name="urixVersion">
    <vt:lpwstr>3.2.0.8</vt:lpwstr>
  </property>
  <property fmtid="{D5CDD505-2E9C-101B-9397-08002B2CF9AE}" pid="57" name="urixOrigin">
    <vt:lpwstr>090402 14:30:29.590</vt:lpwstr>
  </property>
  <property fmtid="{D5CDD505-2E9C-101B-9397-08002B2CF9AE}" pid="58" name="urixGuid">
    <vt:lpwstr>{77D06E1B-5766-42EF-958E-6ED68349CB56}</vt:lpwstr>
  </property>
</Properties>
</file>