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272411">
        <w:tblPrEx>
          <w:tblCellMar>
            <w:top w:w="0" w:type="dxa"/>
            <w:bottom w:w="0" w:type="dxa"/>
          </w:tblCellMar>
        </w:tblPrEx>
        <w:tc>
          <w:tcPr>
            <w:tcW w:w="2268" w:type="dxa"/>
          </w:tcPr>
          <w:p w:rsidR="003242B4" w:rsidRPr="00272411" w:rsidRDefault="00B97EB1">
            <w:pPr>
              <w:framePr w:w="4400" w:h="1644" w:wrap="notBeside" w:vAnchor="page" w:hAnchor="page" w:x="6573" w:y="721"/>
              <w:rPr>
                <w:rFonts w:ascii="TradeGothic" w:hAnsi="TradeGothic"/>
                <w:i/>
                <w:sz w:val="18"/>
              </w:rPr>
            </w:pPr>
            <w:r w:rsidRPr="00272411">
              <w:rPr>
                <w:rFonts w:ascii="TradeGothic" w:hAnsi="TradeGothic"/>
                <w:i/>
                <w:sz w:val="18"/>
              </w:rPr>
              <w:t>Slutlig</w:t>
            </w:r>
          </w:p>
        </w:tc>
        <w:tc>
          <w:tcPr>
            <w:tcW w:w="2347" w:type="dxa"/>
            <w:gridSpan w:val="2"/>
          </w:tcPr>
          <w:p w:rsidR="003242B4" w:rsidRPr="00272411" w:rsidRDefault="003242B4">
            <w:pPr>
              <w:framePr w:w="4400" w:h="1644" w:wrap="notBeside" w:vAnchor="page" w:hAnchor="page" w:x="6573" w:y="721"/>
              <w:rPr>
                <w:rFonts w:ascii="TradeGothic" w:hAnsi="TradeGothic"/>
                <w:i/>
                <w:sz w:val="18"/>
              </w:rPr>
            </w:pPr>
          </w:p>
        </w:tc>
      </w:tr>
      <w:tr w:rsidR="003242B4" w:rsidRPr="00272411">
        <w:tblPrEx>
          <w:tblCellMar>
            <w:top w:w="0" w:type="dxa"/>
            <w:bottom w:w="0" w:type="dxa"/>
          </w:tblCellMar>
        </w:tblPrEx>
        <w:tc>
          <w:tcPr>
            <w:tcW w:w="2268" w:type="dxa"/>
          </w:tcPr>
          <w:p w:rsidR="003242B4" w:rsidRPr="00272411" w:rsidRDefault="003242B4">
            <w:pPr>
              <w:framePr w:w="4400" w:h="1644" w:wrap="notBeside" w:vAnchor="page" w:hAnchor="page" w:x="6573" w:y="721"/>
              <w:rPr>
                <w:rFonts w:ascii="TradeGothic" w:hAnsi="TradeGothic"/>
                <w:b/>
                <w:sz w:val="22"/>
              </w:rPr>
            </w:pPr>
            <w:r w:rsidRPr="00272411">
              <w:rPr>
                <w:rFonts w:ascii="TradeGothic" w:hAnsi="TradeGothic"/>
                <w:b/>
                <w:sz w:val="22"/>
              </w:rPr>
              <w:t xml:space="preserve">Kommenterad dagordning </w:t>
            </w:r>
          </w:p>
        </w:tc>
        <w:tc>
          <w:tcPr>
            <w:tcW w:w="2347" w:type="dxa"/>
            <w:gridSpan w:val="2"/>
          </w:tcPr>
          <w:p w:rsidR="003242B4" w:rsidRPr="00272411" w:rsidRDefault="003242B4">
            <w:pPr>
              <w:framePr w:w="4400" w:h="1644" w:wrap="notBeside" w:vAnchor="page" w:hAnchor="page" w:x="6573" w:y="721"/>
              <w:rPr>
                <w:rFonts w:ascii="TradeGothic" w:hAnsi="TradeGothic"/>
                <w:b/>
                <w:sz w:val="22"/>
              </w:rPr>
            </w:pPr>
          </w:p>
        </w:tc>
      </w:tr>
      <w:tr w:rsidR="003242B4" w:rsidRPr="00272411">
        <w:tblPrEx>
          <w:tblCellMar>
            <w:top w:w="0" w:type="dxa"/>
            <w:bottom w:w="0" w:type="dxa"/>
          </w:tblCellMar>
        </w:tblPrEx>
        <w:tc>
          <w:tcPr>
            <w:tcW w:w="3402" w:type="dxa"/>
            <w:gridSpan w:val="2"/>
          </w:tcPr>
          <w:p w:rsidR="003242B4" w:rsidRPr="00272411" w:rsidRDefault="003242B4">
            <w:pPr>
              <w:framePr w:w="4400" w:h="1644" w:wrap="notBeside" w:vAnchor="page" w:hAnchor="page" w:x="6573" w:y="721"/>
            </w:pPr>
          </w:p>
          <w:p w:rsidR="003242B4" w:rsidRPr="00272411" w:rsidRDefault="00B97EB1">
            <w:pPr>
              <w:framePr w:w="4400" w:h="1644" w:wrap="notBeside" w:vAnchor="page" w:hAnchor="page" w:x="6573" w:y="721"/>
            </w:pPr>
            <w:r w:rsidRPr="00272411">
              <w:t>2006-12-08</w:t>
            </w:r>
          </w:p>
          <w:p w:rsidR="003242B4" w:rsidRPr="00272411" w:rsidRDefault="003242B4">
            <w:pPr>
              <w:framePr w:w="4400" w:h="1644" w:wrap="notBeside" w:vAnchor="page" w:hAnchor="page" w:x="6573" w:y="721"/>
            </w:pPr>
          </w:p>
        </w:tc>
        <w:tc>
          <w:tcPr>
            <w:tcW w:w="1213" w:type="dxa"/>
          </w:tcPr>
          <w:p w:rsidR="003242B4" w:rsidRPr="00272411" w:rsidRDefault="003242B4">
            <w:pPr>
              <w:framePr w:w="4400" w:h="1644" w:wrap="notBeside" w:vAnchor="page" w:hAnchor="page" w:x="6573" w:y="721"/>
            </w:pPr>
          </w:p>
        </w:tc>
      </w:tr>
      <w:tr w:rsidR="003242B4" w:rsidRPr="00272411">
        <w:tblPrEx>
          <w:tblCellMar>
            <w:top w:w="0" w:type="dxa"/>
            <w:bottom w:w="0" w:type="dxa"/>
          </w:tblCellMar>
        </w:tblPrEx>
        <w:tc>
          <w:tcPr>
            <w:tcW w:w="2268" w:type="dxa"/>
          </w:tcPr>
          <w:p w:rsidR="003242B4" w:rsidRPr="00272411" w:rsidRDefault="003242B4">
            <w:pPr>
              <w:framePr w:w="4400" w:h="1644" w:wrap="notBeside" w:vAnchor="page" w:hAnchor="page" w:x="6573" w:y="721"/>
            </w:pPr>
          </w:p>
        </w:tc>
        <w:tc>
          <w:tcPr>
            <w:tcW w:w="2347" w:type="dxa"/>
            <w:gridSpan w:val="2"/>
          </w:tcPr>
          <w:p w:rsidR="003242B4" w:rsidRPr="00272411" w:rsidRDefault="003242B4">
            <w:pPr>
              <w:framePr w:w="4400" w:h="1644" w:wrap="notBeside" w:vAnchor="page" w:hAnchor="page" w:x="6573" w:y="721"/>
            </w:pPr>
          </w:p>
        </w:tc>
      </w:tr>
      <w:tr w:rsidR="003242B4" w:rsidRPr="00272411">
        <w:tblPrEx>
          <w:tblCellMar>
            <w:top w:w="0" w:type="dxa"/>
            <w:bottom w:w="0" w:type="dxa"/>
          </w:tblCellMar>
        </w:tblPrEx>
        <w:tc>
          <w:tcPr>
            <w:tcW w:w="2268" w:type="dxa"/>
          </w:tcPr>
          <w:p w:rsidR="003242B4" w:rsidRPr="00272411" w:rsidRDefault="003242B4">
            <w:pPr>
              <w:framePr w:w="4400" w:h="1644" w:wrap="notBeside" w:vAnchor="page" w:hAnchor="page" w:x="6573" w:y="721"/>
            </w:pPr>
          </w:p>
        </w:tc>
        <w:tc>
          <w:tcPr>
            <w:tcW w:w="2347" w:type="dxa"/>
            <w:gridSpan w:val="2"/>
          </w:tcPr>
          <w:p w:rsidR="003242B4" w:rsidRPr="00272411"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272411">
        <w:tblPrEx>
          <w:tblCellMar>
            <w:top w:w="0" w:type="dxa"/>
            <w:bottom w:w="0" w:type="dxa"/>
          </w:tblCellMar>
        </w:tblPrEx>
        <w:trPr>
          <w:trHeight w:val="284"/>
        </w:trPr>
        <w:tc>
          <w:tcPr>
            <w:tcW w:w="4911" w:type="dxa"/>
          </w:tcPr>
          <w:p w:rsidR="003242B4" w:rsidRPr="00272411" w:rsidRDefault="003242B4">
            <w:pPr>
              <w:pStyle w:val="Avsndare"/>
              <w:framePr w:h="2483" w:wrap="notBeside" w:x="1504"/>
              <w:rPr>
                <w:b/>
                <w:i w:val="0"/>
                <w:sz w:val="22"/>
              </w:rPr>
            </w:pPr>
            <w:r w:rsidRPr="00272411">
              <w:rPr>
                <w:b/>
                <w:i w:val="0"/>
                <w:sz w:val="22"/>
              </w:rPr>
              <w:t>Jordbruksdepartementet</w:t>
            </w:r>
          </w:p>
        </w:tc>
      </w:tr>
      <w:tr w:rsidR="003242B4" w:rsidRPr="00272411">
        <w:tblPrEx>
          <w:tblCellMar>
            <w:top w:w="0" w:type="dxa"/>
            <w:bottom w:w="0" w:type="dxa"/>
          </w:tblCellMar>
        </w:tblPrEx>
        <w:trPr>
          <w:trHeight w:val="284"/>
        </w:trPr>
        <w:tc>
          <w:tcPr>
            <w:tcW w:w="4911" w:type="dxa"/>
          </w:tcPr>
          <w:p w:rsidR="003242B4" w:rsidRPr="00272411" w:rsidRDefault="003242B4">
            <w:pPr>
              <w:pStyle w:val="Avsndare"/>
              <w:framePr w:h="2483" w:wrap="notBeside" w:x="1504"/>
              <w:rPr>
                <w:bCs/>
                <w:iCs/>
              </w:rPr>
            </w:pPr>
          </w:p>
        </w:tc>
      </w:tr>
      <w:tr w:rsidR="003242B4" w:rsidRPr="00272411">
        <w:tblPrEx>
          <w:tblCellMar>
            <w:top w:w="0" w:type="dxa"/>
            <w:bottom w:w="0" w:type="dxa"/>
          </w:tblCellMar>
        </w:tblPrEx>
        <w:trPr>
          <w:trHeight w:val="284"/>
        </w:trPr>
        <w:tc>
          <w:tcPr>
            <w:tcW w:w="4911" w:type="dxa"/>
          </w:tcPr>
          <w:p w:rsidR="003242B4" w:rsidRPr="00272411" w:rsidRDefault="003242B4">
            <w:pPr>
              <w:pStyle w:val="Avsndare"/>
              <w:framePr w:h="2483" w:wrap="notBeside" w:x="1504"/>
              <w:rPr>
                <w:bCs/>
                <w:iCs/>
              </w:rPr>
            </w:pPr>
          </w:p>
        </w:tc>
      </w:tr>
    </w:tbl>
    <w:p w:rsidR="003242B4" w:rsidRPr="00272411" w:rsidRDefault="003242B4">
      <w:pPr>
        <w:framePr w:w="4400" w:h="2523" w:wrap="notBeside" w:vAnchor="page" w:hAnchor="page" w:x="6453" w:y="2445"/>
      </w:pPr>
    </w:p>
    <w:p w:rsidR="003242B4" w:rsidRPr="00272411" w:rsidRDefault="003242B4">
      <w:pPr>
        <w:framePr w:w="4400" w:h="2523" w:wrap="notBeside" w:vAnchor="page" w:hAnchor="page" w:x="6453" w:y="2445"/>
      </w:pPr>
      <w:r w:rsidRPr="00272411">
        <w:t>EU-nämnden</w:t>
      </w:r>
    </w:p>
    <w:p w:rsidR="003242B4" w:rsidRPr="00272411" w:rsidRDefault="003242B4">
      <w:pPr>
        <w:framePr w:w="4400" w:h="2523" w:wrap="notBeside" w:vAnchor="page" w:hAnchor="page" w:x="6453" w:y="2445"/>
      </w:pPr>
      <w:r w:rsidRPr="00272411">
        <w:t>Miljö- och jordbruksutskottet</w:t>
      </w:r>
    </w:p>
    <w:p w:rsidR="003242B4" w:rsidRPr="00272411" w:rsidRDefault="003242B4">
      <w:pPr>
        <w:framePr w:w="4400" w:h="2523" w:wrap="notBeside" w:vAnchor="page" w:hAnchor="page" w:x="6453" w:y="2445"/>
      </w:pPr>
      <w:r w:rsidRPr="00272411">
        <w:t>Kopia:</w:t>
      </w:r>
      <w:r w:rsidRPr="00272411">
        <w:tab/>
        <w:t>SB EU-kansliet</w:t>
      </w:r>
    </w:p>
    <w:p w:rsidR="003242B4" w:rsidRPr="00272411" w:rsidRDefault="003242B4">
      <w:pPr>
        <w:framePr w:w="4400" w:h="2523" w:wrap="notBeside" w:vAnchor="page" w:hAnchor="page" w:x="6453" w:y="2445"/>
        <w:ind w:firstLine="720"/>
      </w:pPr>
      <w:r w:rsidRPr="00272411">
        <w:t>Riksdagens Kammarkansli</w:t>
      </w:r>
    </w:p>
    <w:p w:rsidR="003242B4" w:rsidRPr="00272411" w:rsidRDefault="003242B4">
      <w:pPr>
        <w:framePr w:w="4400" w:h="2523" w:wrap="notBeside" w:vAnchor="page" w:hAnchor="page" w:x="6453" w:y="2445"/>
        <w:ind w:left="142"/>
      </w:pPr>
    </w:p>
    <w:p w:rsidR="003242B4" w:rsidRPr="00272411" w:rsidRDefault="003242B4">
      <w:pPr>
        <w:pStyle w:val="RKrubrik"/>
        <w:pBdr>
          <w:bottom w:val="single" w:sz="4" w:space="1" w:color="000000"/>
        </w:pBdr>
        <w:spacing w:before="0" w:after="0"/>
      </w:pPr>
      <w:r w:rsidRPr="00272411">
        <w:t>Kommenterad dagordning inför Jordbruks- och fiskerådet den 19-21 december 2006</w:t>
      </w:r>
    </w:p>
    <w:p w:rsidR="003242B4" w:rsidRPr="00272411" w:rsidRDefault="003242B4">
      <w:pPr>
        <w:pStyle w:val="RKnormal"/>
      </w:pPr>
    </w:p>
    <w:p w:rsidR="003242B4" w:rsidRPr="00272411" w:rsidRDefault="003242B4">
      <w:pPr>
        <w:pStyle w:val="RKrubrik"/>
      </w:pPr>
      <w:r w:rsidRPr="00272411">
        <w:t>1. Godkännande av dagordningen</w:t>
      </w:r>
    </w:p>
    <w:p w:rsidR="003242B4" w:rsidRPr="00272411" w:rsidRDefault="003242B4">
      <w:pPr>
        <w:pStyle w:val="RKnormal"/>
        <w:rPr>
          <w:rFonts w:ascii="TradeGothic" w:hAnsi="TradeGothic"/>
        </w:rPr>
      </w:pPr>
    </w:p>
    <w:p w:rsidR="003242B4" w:rsidRPr="00272411" w:rsidRDefault="003242B4">
      <w:pPr>
        <w:pStyle w:val="RKrubrik"/>
      </w:pPr>
      <w:r w:rsidRPr="00272411">
        <w:t>2. Godkännande av A-punktslistan</w:t>
      </w:r>
    </w:p>
    <w:p w:rsidR="003242B4" w:rsidRPr="00272411" w:rsidRDefault="003242B4">
      <w:pPr>
        <w:pStyle w:val="RKnormal"/>
      </w:pPr>
    </w:p>
    <w:p w:rsidR="003242B4" w:rsidRPr="00272411" w:rsidRDefault="003242B4">
      <w:pPr>
        <w:pStyle w:val="RKrubrik"/>
        <w:spacing w:before="120"/>
      </w:pPr>
      <w:r w:rsidRPr="00272411">
        <w:t xml:space="preserve">3. Ekologisk produktion: </w:t>
      </w:r>
    </w:p>
    <w:p w:rsidR="003242B4" w:rsidRPr="00272411" w:rsidRDefault="003242B4">
      <w:pPr>
        <w:pStyle w:val="RKrubrik"/>
      </w:pPr>
      <w:r w:rsidRPr="00272411">
        <w:t>3a) Förslag till rådets förordningar om ekologisk produktion och märkning av ekologiska produkter</w:t>
      </w:r>
    </w:p>
    <w:p w:rsidR="003242B4" w:rsidRPr="00272411" w:rsidRDefault="003242B4">
      <w:pPr>
        <w:pStyle w:val="RKnormal"/>
        <w:rPr>
          <w:b/>
          <w:bCs/>
          <w:i/>
          <w:iCs/>
        </w:rPr>
      </w:pPr>
      <w:r w:rsidRPr="00272411">
        <w:rPr>
          <w:b/>
          <w:bCs/>
          <w:i/>
          <w:iCs/>
        </w:rPr>
        <w:t>- allmän inriktning</w:t>
      </w:r>
    </w:p>
    <w:p w:rsidR="003242B4" w:rsidRPr="00272411" w:rsidRDefault="003242B4">
      <w:pPr>
        <w:pStyle w:val="RKnormal"/>
        <w:rPr>
          <w:b/>
          <w:bCs/>
          <w:i/>
          <w:iCs/>
        </w:rPr>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5101/06 AGRILEG 5</w:t>
      </w:r>
    </w:p>
    <w:p w:rsidR="003242B4" w:rsidRPr="00272411" w:rsidRDefault="003242B4">
      <w:pPr>
        <w:pStyle w:val="RKnormal"/>
        <w:rPr>
          <w:i/>
          <w:iCs/>
        </w:rPr>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37 i EG-fördraget. Beslut fattas av rådet med kvalificerad majoritet efter att ha inhämtat Europaparlamentets yttrande.</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 xml:space="preserve">Kommissionen antog den 21 december 2005 ett förslag till en ny förordning om ekologisk produktion. Förslaget skall ersätta den nuvarande förordningen </w:t>
      </w:r>
      <w:r w:rsidRPr="00272411">
        <w:rPr>
          <w:szCs w:val="19"/>
        </w:rPr>
        <w:t>(EEG) nr 2092/91</w:t>
      </w:r>
      <w:r w:rsidRPr="00272411">
        <w:t xml:space="preserve"> </w:t>
      </w:r>
      <w:r w:rsidRPr="00272411">
        <w:rPr>
          <w:szCs w:val="19"/>
        </w:rPr>
        <w:t>om ekologisk produktion av jordbruksprodukter och uppgifter därom på jordbruksprodukter och</w:t>
      </w:r>
      <w:r w:rsidRPr="00272411">
        <w:t xml:space="preserve"> </w:t>
      </w:r>
      <w:r w:rsidRPr="00272411">
        <w:rPr>
          <w:szCs w:val="19"/>
        </w:rPr>
        <w:t>livsmedel</w:t>
      </w:r>
      <w:r w:rsidRPr="00272411">
        <w:t xml:space="preserve"> för ekologisk produktion. Förordningen reglerar produktion, förädling, märkning, marknadsföring, kontroll och import av ekologiska livsmedel. Förslaget är ett svar på rådets slutsatser från oktober 2004 om handlingsplanen för ekologiska livsmedel och ekologiskt jordbruk som kommissionen presenterade i juni 2004. Förslaget innehåller dels en omarbetning av det nuvarande regelverket dels förslag till förändringar på vissa områ</w:t>
      </w:r>
      <w:r w:rsidR="00533612" w:rsidRPr="00272411">
        <w:t xml:space="preserve">den. Förordningen bemyndigar </w:t>
      </w:r>
      <w:r w:rsidRPr="00272411">
        <w:t>kommissionen att inom ramen för kommittologin besluta om detaljregler till förordningen. Förordningen skall enligt förslaget träda i kraft från 2009.</w:t>
      </w:r>
    </w:p>
    <w:p w:rsidR="00647637" w:rsidRPr="00272411" w:rsidRDefault="00647637" w:rsidP="00647637">
      <w:pPr>
        <w:pStyle w:val="RKnormal"/>
        <w:rPr>
          <w:iCs/>
        </w:rPr>
      </w:pPr>
    </w:p>
    <w:p w:rsidR="00647637" w:rsidRPr="00272411" w:rsidRDefault="00647637" w:rsidP="00647637">
      <w:pPr>
        <w:pStyle w:val="RKnormal"/>
        <w:rPr>
          <w:iCs/>
        </w:rPr>
      </w:pPr>
      <w:r w:rsidRPr="00272411">
        <w:rPr>
          <w:iCs/>
        </w:rPr>
        <w:lastRenderedPageBreak/>
        <w:t>För mer information, se bilaga 1.</w:t>
      </w:r>
    </w:p>
    <w:p w:rsidR="003242B4" w:rsidRPr="00272411" w:rsidRDefault="003242B4">
      <w:pPr>
        <w:pStyle w:val="RKnormal"/>
        <w:rPr>
          <w:i/>
          <w:iCs/>
        </w:rPr>
      </w:pPr>
    </w:p>
    <w:p w:rsidR="00647637" w:rsidRPr="00272411" w:rsidRDefault="00647637">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 xml:space="preserve">Sverige </w:t>
      </w:r>
      <w:r w:rsidR="00990C94" w:rsidRPr="00272411">
        <w:t xml:space="preserve">välkomnar </w:t>
      </w:r>
      <w:r w:rsidRPr="00272411">
        <w:t xml:space="preserve">kommissionens förslag och är generellt positiv till de revideringar som nu gjorts inför rådet. Därför kan Sverige också ställa sig bakom </w:t>
      </w:r>
      <w:r w:rsidR="00352B38" w:rsidRPr="00272411">
        <w:t xml:space="preserve">en allmän inriktning </w:t>
      </w:r>
      <w:r w:rsidR="00EC7FD1" w:rsidRPr="00272411">
        <w:t>om</w:t>
      </w:r>
      <w:r w:rsidR="00352B38" w:rsidRPr="00272411">
        <w:t xml:space="preserve"> </w:t>
      </w:r>
      <w:r w:rsidRPr="00272411">
        <w:t xml:space="preserve">förslaget. </w:t>
      </w:r>
    </w:p>
    <w:p w:rsidR="003242B4" w:rsidRPr="00272411" w:rsidRDefault="003242B4">
      <w:pPr>
        <w:pStyle w:val="RKnormal"/>
      </w:pPr>
    </w:p>
    <w:p w:rsidR="000B29D4" w:rsidRPr="00272411" w:rsidRDefault="003242B4" w:rsidP="0084346F">
      <w:pPr>
        <w:overflowPunct/>
        <w:spacing w:line="240" w:lineRule="atLeast"/>
        <w:textAlignment w:val="auto"/>
        <w:rPr>
          <w:rFonts w:cs="OrigGarmnd BT"/>
          <w:color w:val="000000"/>
          <w:szCs w:val="24"/>
          <w:lang w:eastAsia="sv-SE"/>
        </w:rPr>
      </w:pPr>
      <w:r w:rsidRPr="00272411">
        <w:t>Sverige anser att det är positivt att regelverket blir bättre strukturerat och bygger på tydliga principer vilket ger förutsättningar för ett förenklat och mer förutsägbart regelverk. Sverige är generellt positiv till de principer och regler som föreslås för växtodling och djurhållning och stödjer förslag</w:t>
      </w:r>
      <w:r w:rsidR="00533612" w:rsidRPr="00272411">
        <w:t>et</w:t>
      </w:r>
      <w:r w:rsidRPr="00272411">
        <w:t xml:space="preserve"> om att ett riskbaserat angreppssätt skall gälla för kontrollen av ekologisk produktion. </w:t>
      </w:r>
      <w:r w:rsidR="009403D5" w:rsidRPr="00272411">
        <w:rPr>
          <w:rFonts w:cs="OrigGarmnd BT"/>
          <w:color w:val="000000"/>
          <w:szCs w:val="24"/>
          <w:lang w:eastAsia="sv-SE"/>
        </w:rPr>
        <w:t xml:space="preserve">När det gäller utformningen av förbudet mot GMO och införandet av ett system med krav på särskilda intyg från försäljare om GMO-frihet anser Sverige att det är svårt att förutse konsekvenserna för den ekologiska sektorn och för möjligheten att kontrollera förbudet. Därför anser Sverige att reglerna bör ses över en rimlig tid efter att de trätt i kraft. </w:t>
      </w:r>
    </w:p>
    <w:p w:rsidR="003242B4" w:rsidRPr="00272411" w:rsidRDefault="000B29D4" w:rsidP="0084346F">
      <w:pPr>
        <w:overflowPunct/>
        <w:spacing w:line="240" w:lineRule="atLeast"/>
        <w:textAlignment w:val="auto"/>
      </w:pPr>
      <w:r w:rsidRPr="00272411">
        <w:rPr>
          <w:rFonts w:cs="OrigGarmnd BT"/>
          <w:color w:val="000000"/>
          <w:szCs w:val="24"/>
          <w:lang w:eastAsia="sv-SE"/>
        </w:rPr>
        <w:t>D</w:t>
      </w:r>
      <w:r w:rsidR="003242B4" w:rsidRPr="00272411">
        <w:t xml:space="preserve">et är positivt att förordningen tillåter s.k. ingrediensmärkning men </w:t>
      </w:r>
      <w:r w:rsidRPr="00272411">
        <w:t xml:space="preserve">Sverige </w:t>
      </w:r>
      <w:r w:rsidR="003242B4" w:rsidRPr="00272411">
        <w:t>anser att det kan behövas större flexibilitet. I motsats till förslaget förordar Sverige tills vidare frivillig märkning av ekologiska livsmedel med den s.k. EU-logon samt anser att förslaget till obligatorisk ursprungsmärkning och dess konsekvenser bör utredas vidare.</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var föremål för samråd i EU-nämnden inför jordbruks- och fiskerådet den 24-25 oktober 2006.</w:t>
      </w:r>
    </w:p>
    <w:p w:rsidR="003242B4" w:rsidRPr="00272411" w:rsidRDefault="003242B4">
      <w:pPr>
        <w:pStyle w:val="RKnormal"/>
      </w:pPr>
    </w:p>
    <w:p w:rsidR="003242B4" w:rsidRPr="00272411" w:rsidRDefault="003242B4">
      <w:pPr>
        <w:pStyle w:val="RKrubrik"/>
      </w:pPr>
      <w:r w:rsidRPr="00272411">
        <w:t>3b) Förslag om ändring av förordning (EEG) nr 2092/91 om ekologisk produktion av jordbruksprodukter om ekologisk produktion av jordbruksprodukter och uppgifter därom på jordbruksprodukter och livsmedel (importordning)</w:t>
      </w:r>
    </w:p>
    <w:p w:rsidR="003242B4" w:rsidRPr="00272411" w:rsidRDefault="003242B4">
      <w:pPr>
        <w:pStyle w:val="RKnormal"/>
        <w:rPr>
          <w:b/>
          <w:bCs/>
          <w:i/>
          <w:iCs/>
        </w:rPr>
      </w:pPr>
      <w:r w:rsidRPr="00272411">
        <w:rPr>
          <w:b/>
          <w:bCs/>
          <w:i/>
          <w:iCs/>
        </w:rPr>
        <w:t>- antagande (möjlig A-punkt)</w:t>
      </w:r>
    </w:p>
    <w:p w:rsidR="003242B4" w:rsidRPr="00272411" w:rsidRDefault="003242B4">
      <w:pPr>
        <w:pStyle w:val="RKnormal"/>
        <w:rPr>
          <w:b/>
          <w:bCs/>
          <w:i/>
          <w:iCs/>
        </w:rPr>
      </w:pPr>
    </w:p>
    <w:p w:rsidR="003242B4" w:rsidRPr="00272411" w:rsidRDefault="003242B4">
      <w:pPr>
        <w:pStyle w:val="RKnormal"/>
        <w:rPr>
          <w:i/>
          <w:iCs/>
        </w:rPr>
      </w:pPr>
      <w:r w:rsidRPr="00272411">
        <w:rPr>
          <w:i/>
          <w:iCs/>
        </w:rPr>
        <w:t>Dokumentbeteckning</w:t>
      </w:r>
    </w:p>
    <w:p w:rsidR="003242B4" w:rsidRPr="00272411" w:rsidRDefault="003242B4">
      <w:pPr>
        <w:pStyle w:val="RKnormal"/>
        <w:jc w:val="both"/>
        <w:rPr>
          <w:i/>
          <w:iCs/>
        </w:rPr>
      </w:pPr>
      <w:r w:rsidRPr="00272411">
        <w:rPr>
          <w:szCs w:val="24"/>
        </w:rPr>
        <w:t>5101/06 AGRILEG 5</w:t>
      </w:r>
    </w:p>
    <w:p w:rsidR="003242B4" w:rsidRPr="00272411" w:rsidRDefault="003242B4">
      <w:pPr>
        <w:pStyle w:val="RKnormal"/>
        <w:rPr>
          <w:i/>
          <w:iCs/>
        </w:rPr>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37 i EG-fördraget. Beslut fattas av rådet med kvalificerad majoritet efter att ha inhämtat Europaparlamentets yttrande.</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 xml:space="preserve">Förslaget som kommissionen antog den 21 december 2005 innehåller även ett förslag till </w:t>
      </w:r>
      <w:r w:rsidRPr="00272411">
        <w:rPr>
          <w:iCs/>
        </w:rPr>
        <w:t>ändring</w:t>
      </w:r>
      <w:r w:rsidRPr="00272411">
        <w:rPr>
          <w:i/>
          <w:iCs/>
        </w:rPr>
        <w:t xml:space="preserve"> </w:t>
      </w:r>
      <w:r w:rsidRPr="00272411">
        <w:t xml:space="preserve">av nuvarande förordning om ekologisk produktion </w:t>
      </w:r>
      <w:r w:rsidRPr="00272411">
        <w:rPr>
          <w:szCs w:val="19"/>
        </w:rPr>
        <w:t>(EEG) nr 2092/91</w:t>
      </w:r>
      <w:r w:rsidRPr="00272411">
        <w:t xml:space="preserve"> avseende reglerna för import av ekologiska livsmedel till EU från tredje land. Detta för att nuvarande regler för import av ekologiska livsmedel från tredje land i huvudsak grundar sig på ett tillfälligt undantag vilket löper ut den 31 december 2006. Förslaget innebär att nya permanenta system för import av ekologiska livsmedel införs och träder i kraft från den 1 januari 2007. Enligt förslaget får ekologiska livsmedel importeras till EU under två system. Det första systemet är import via s.k. </w:t>
      </w:r>
      <w:r w:rsidRPr="00272411">
        <w:rPr>
          <w:i/>
          <w:iCs/>
        </w:rPr>
        <w:t xml:space="preserve">direkt tillgång </w:t>
      </w:r>
      <w:r w:rsidRPr="00272411">
        <w:t xml:space="preserve">vilket får ske om produkten uppfyller samtliga regler i EU:s förordning. Det andra systemet är import genom att produkten uppfyller regler som bedömts vara </w:t>
      </w:r>
      <w:r w:rsidRPr="00272411">
        <w:rPr>
          <w:i/>
        </w:rPr>
        <w:t xml:space="preserve">likvärdiga </w:t>
      </w:r>
      <w:r w:rsidRPr="00272411">
        <w:rPr>
          <w:iCs/>
        </w:rPr>
        <w:t>med</w:t>
      </w:r>
      <w:r w:rsidRPr="00272411">
        <w:rPr>
          <w:i/>
        </w:rPr>
        <w:t xml:space="preserve"> </w:t>
      </w:r>
      <w:r w:rsidRPr="00272411">
        <w:t>EU:s regler.</w:t>
      </w:r>
    </w:p>
    <w:p w:rsidR="00647637" w:rsidRPr="00272411" w:rsidRDefault="00647637" w:rsidP="00647637">
      <w:pPr>
        <w:pStyle w:val="RKnormal"/>
        <w:rPr>
          <w:iCs/>
        </w:rPr>
      </w:pPr>
    </w:p>
    <w:p w:rsidR="00647637" w:rsidRPr="00272411" w:rsidRDefault="00647637" w:rsidP="00647637">
      <w:pPr>
        <w:pStyle w:val="RKnormal"/>
        <w:rPr>
          <w:iCs/>
        </w:rPr>
      </w:pPr>
      <w:r w:rsidRPr="00272411">
        <w:rPr>
          <w:iCs/>
        </w:rPr>
        <w:t>För mer information, se bilaga 1.</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 xml:space="preserve">Sverige stödjer inriktningen i förslaget och anser att det är angeläget att beslut fattas så snart som möjligt. Sverige fäster stor vikt vid förenklingar och att det nya regelverket är förenligt med WTO-regler. Mot bakgrund av detta är Sverige särskilt positiv till att man inför ett permanent system för import som kommer att öka förutsägbarheten för tredje länder som vill exportera till EU. Vidare är Sverige positiv till att </w:t>
      </w:r>
      <w:r w:rsidR="00D75520" w:rsidRPr="00272411">
        <w:t>det</w:t>
      </w:r>
      <w:r w:rsidRPr="00272411">
        <w:t xml:space="preserve"> inför</w:t>
      </w:r>
      <w:r w:rsidR="00D75520" w:rsidRPr="00272411">
        <w:t>s</w:t>
      </w:r>
      <w:r w:rsidRPr="00272411">
        <w:t xml:space="preserve"> en särskild möjlighet att importera via s.k. direkt tillgång om samtliga </w:t>
      </w:r>
      <w:r w:rsidR="00CA658A" w:rsidRPr="00272411">
        <w:t xml:space="preserve">av </w:t>
      </w:r>
      <w:r w:rsidRPr="00272411">
        <w:t>EU:s regler för ekologisk produktion</w:t>
      </w:r>
      <w:r w:rsidR="00D75520" w:rsidRPr="00272411">
        <w:t xml:space="preserve"> är uppfyllda</w:t>
      </w:r>
      <w:r w:rsidRPr="00272411">
        <w:t>. När det gäller möjligheten att importera via s.k. likvärdighets</w:t>
      </w:r>
      <w:r w:rsidRPr="00272411">
        <w:softHyphen/>
        <w:t>bedömningar anser Sverige emellertid att vissa av de tekniska krav som ställs på importörerna är för långtgående. Slutligen anser Sverige att man vid likvärdighets</w:t>
      </w:r>
      <w:r w:rsidRPr="00272411">
        <w:softHyphen/>
        <w:t>bedömningar i större utsträckning bör beakta andra internationellt accepterade standarder för ekologisk produktion.</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260CC1" w:rsidRPr="00272411" w:rsidRDefault="00260CC1" w:rsidP="00260CC1">
      <w:pPr>
        <w:pStyle w:val="RKnormal"/>
      </w:pPr>
      <w:r w:rsidRPr="00272411">
        <w:t>Frågan var föremål för samråd i EU-nämnden inför jordbruks- och fiskerådet den 24-25 oktober 2006.</w:t>
      </w:r>
    </w:p>
    <w:p w:rsidR="003242B4" w:rsidRPr="00272411" w:rsidRDefault="003242B4">
      <w:pPr>
        <w:pStyle w:val="RKnormal"/>
      </w:pPr>
    </w:p>
    <w:p w:rsidR="003242B4" w:rsidRPr="00272411" w:rsidRDefault="003242B4">
      <w:pPr>
        <w:pStyle w:val="RKrubrik"/>
      </w:pPr>
      <w:r w:rsidRPr="00272411">
        <w:t>4. Förslag till rådets förordning om ändring av förordningarna (EEG) nr 404/93, (EG) nr 1782/2003 och (EG) nr 247/2006 vad gäller banansektorn</w:t>
      </w:r>
    </w:p>
    <w:p w:rsidR="003242B4" w:rsidRPr="00272411" w:rsidRDefault="003242B4">
      <w:pPr>
        <w:pStyle w:val="RKnormal"/>
        <w:rPr>
          <w:i/>
          <w:iCs/>
        </w:rPr>
      </w:pPr>
      <w:r w:rsidRPr="00272411">
        <w:rPr>
          <w:b/>
          <w:bCs/>
          <w:i/>
          <w:iCs/>
        </w:rPr>
        <w:t>- antagande (möjlig A-punkt)</w:t>
      </w:r>
    </w:p>
    <w:p w:rsidR="003242B4" w:rsidRPr="00272411" w:rsidRDefault="003242B4">
      <w:pPr>
        <w:pStyle w:val="RKnormal"/>
        <w:rPr>
          <w:i/>
          <w:iCs/>
        </w:rPr>
      </w:pPr>
    </w:p>
    <w:p w:rsidR="003242B4" w:rsidRPr="00272411" w:rsidRDefault="003242B4">
      <w:pPr>
        <w:pStyle w:val="RKnormal"/>
        <w:rPr>
          <w:i/>
          <w:iCs/>
        </w:rPr>
      </w:pPr>
      <w:r w:rsidRPr="00272411">
        <w:rPr>
          <w:i/>
          <w:iCs/>
        </w:rPr>
        <w:t>Dokumentbeteckning</w:t>
      </w:r>
    </w:p>
    <w:p w:rsidR="003242B4" w:rsidRPr="00272411" w:rsidRDefault="003242B4">
      <w:pPr>
        <w:spacing w:line="240" w:lineRule="auto"/>
      </w:pPr>
      <w:r w:rsidRPr="00272411">
        <w:t>13000/06 AGRIORG 74 AGRIFIN 77 WTO 153 ACP 142</w:t>
      </w:r>
    </w:p>
    <w:p w:rsidR="003242B4" w:rsidRPr="00272411" w:rsidRDefault="003242B4">
      <w:pPr>
        <w:pStyle w:val="RKnormal"/>
        <w:jc w:val="both"/>
        <w:rPr>
          <w:i/>
          <w:iCs/>
        </w:rPr>
      </w:pPr>
      <w:r w:rsidRPr="00272411">
        <w:t>+ ADD 1</w:t>
      </w:r>
    </w:p>
    <w:p w:rsidR="003242B4" w:rsidRPr="00272411" w:rsidRDefault="003242B4">
      <w:pPr>
        <w:pStyle w:val="RKnormal"/>
        <w:jc w:val="both"/>
        <w:rPr>
          <w:i/>
          <w:iCs/>
        </w:rPr>
      </w:pPr>
    </w:p>
    <w:p w:rsidR="003242B4" w:rsidRPr="00272411" w:rsidRDefault="003242B4">
      <w:pPr>
        <w:pStyle w:val="RKnormal"/>
        <w:jc w:val="both"/>
        <w:rPr>
          <w:i/>
          <w:iCs/>
        </w:rPr>
      </w:pPr>
      <w:r w:rsidRPr="00272411">
        <w:rPr>
          <w:i/>
          <w:iCs/>
        </w:rPr>
        <w:t xml:space="preserve">Rättslig grund </w:t>
      </w:r>
    </w:p>
    <w:p w:rsidR="003242B4" w:rsidRPr="00272411" w:rsidRDefault="003242B4">
      <w:pPr>
        <w:pStyle w:val="RKnormal"/>
      </w:pPr>
      <w:r w:rsidRPr="00272411">
        <w:t>Artikel 37 i EG-fördraget. Beslut fattas av rådet med kvalificerad majoritet efter att ha inhämtat Europaparlamentets yttrande.</w:t>
      </w:r>
    </w:p>
    <w:p w:rsidR="003242B4" w:rsidRPr="00272411" w:rsidRDefault="003242B4">
      <w:pPr>
        <w:pStyle w:val="RKnormal"/>
        <w:rPr>
          <w:i/>
          <w:iCs/>
        </w:rPr>
      </w:pPr>
    </w:p>
    <w:p w:rsidR="003242B4" w:rsidRPr="00272411" w:rsidRDefault="003242B4">
      <w:pPr>
        <w:pStyle w:val="RKnormal"/>
      </w:pPr>
      <w:r w:rsidRPr="00272411">
        <w:t xml:space="preserve">Kommissionen presenterade den 6 oktober 2006 ett förslag till reform av marknadsordningen för bananer. </w:t>
      </w:r>
      <w:r w:rsidRPr="00272411">
        <w:rPr>
          <w:color w:val="000000"/>
          <w:szCs w:val="24"/>
        </w:rPr>
        <w:t>I och med införandet av en ny importregim för bananer den 1 januari 2006 berör reformen av marknadsordningen i princip endast det s.k. kompensationsstödet till EU:s bananproducenter. Kompensationss</w:t>
      </w:r>
      <w:r w:rsidRPr="00272411">
        <w:t xml:space="preserve">tödet har varierat med ett årligt fastställt </w:t>
      </w:r>
      <w:r w:rsidR="00632915" w:rsidRPr="00272411">
        <w:t xml:space="preserve">genomsnittligt </w:t>
      </w:r>
      <w:r w:rsidRPr="00272411">
        <w:t>försäljningspris och är därmed klassat som ett gult (handelsstörande) stöd enligt WTO:s kriterier. Den EU-produktion som berättigar till stöd är maximerad till 857 000 ton, dock finns idag inte något budgettak för stödet.</w:t>
      </w:r>
    </w:p>
    <w:p w:rsidR="003242B4" w:rsidRPr="00272411" w:rsidRDefault="003242B4">
      <w:pPr>
        <w:pStyle w:val="RKnormal"/>
      </w:pPr>
    </w:p>
    <w:p w:rsidR="003242B4" w:rsidRPr="00272411" w:rsidRDefault="003242B4">
      <w:pPr>
        <w:pStyle w:val="RKnormal"/>
      </w:pPr>
      <w:r w:rsidRPr="00272411">
        <w:t>Kommissionens förslag innebär i korthet att stora delar av marknadsordningen stryks och att kompensationsstödet tas bort. För EU:s ca 15 000 bananproducenter i de yttre randområdena (Kanarieöarna, Guadeloupe, Martinique, Madeira och Azorerna) överförs kompensationsstödet till POSEI</w:t>
      </w:r>
      <w:r w:rsidRPr="00272411">
        <w:rPr>
          <w:rStyle w:val="Fotnotsreferens"/>
        </w:rPr>
        <w:footnoteReference w:id="1"/>
      </w:r>
      <w:r w:rsidRPr="00272411">
        <w:t>. Stödet till bananproducenterna i resterande EU (Kreta, Algarve-kusten, samt Cypern), vilka står för ca två procent av EU-produktionen, frikopplas. Budgeten för förslaget på ca 280 miljoner euro baseras på genomsnittliga utgifter för kompensationsstödet åren 2000-2002, plus en säkerhetsmarginal på 8,5 % som ska kompensera för prisvariationer inom sektorn. Reformen innebär att ett budgettak för utgifterna införs men innebär samtidigt en budgetökning.</w:t>
      </w:r>
    </w:p>
    <w:p w:rsidR="003242B4" w:rsidRPr="00272411" w:rsidRDefault="003242B4">
      <w:pPr>
        <w:pStyle w:val="RKnormal"/>
      </w:pPr>
    </w:p>
    <w:p w:rsidR="003242B4" w:rsidRPr="00272411" w:rsidRDefault="003242B4">
      <w:pPr>
        <w:pStyle w:val="RKnormal"/>
      </w:pPr>
      <w:r w:rsidRPr="00272411">
        <w:t>På jordbruks- och fiskerådet i november uttalade sig ett antal länder kritiskt mot reformförslaget, dock utgör inte dessa länder en blockerande minoritet.</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 xml:space="preserve">Sverige avser att rösta emot kommissionens förslag av följande skäl; </w:t>
      </w:r>
    </w:p>
    <w:p w:rsidR="003242B4" w:rsidRPr="00272411" w:rsidRDefault="003242B4">
      <w:pPr>
        <w:pStyle w:val="RKnormal"/>
      </w:pPr>
      <w:r w:rsidRPr="00272411">
        <w:t>Ett viktigt steg mot ökad marknadsorientering inom EU:s jordbrukspolitik är att kvarvarande kopplade stöd frikopplas. Såsom förslaget är utformat i dag är risken stor att många länder väljer att behålla en hundraprocentig koppling av stödet till produktionen. När det gäller budgeten innebär reformen att ett tak för utgifterna införs och att kopplingen mellan stödnivå och försäljningspris därmed försvinner, vilket är positivt. Dock bör valet av referensperiod ligga närmre i tiden, vilket skulle minska budgetbasen liksom följa praxis i tidigare jordbruksreformer. Dessutom överskattar den föreslagna budgetbasen transportkostnaderna. Den säkerhetsmarginal</w:t>
      </w:r>
      <w:r w:rsidR="001B5438" w:rsidRPr="00272411">
        <w:t xml:space="preserve"> som föreslås</w:t>
      </w:r>
      <w:r w:rsidR="0039183C" w:rsidRPr="00272411">
        <w:t>,</w:t>
      </w:r>
      <w:r w:rsidR="001B5438" w:rsidRPr="00272411">
        <w:t xml:space="preserve"> och som </w:t>
      </w:r>
      <w:r w:rsidR="0062575D" w:rsidRPr="00272411">
        <w:t>innebär ökad</w:t>
      </w:r>
      <w:r w:rsidR="001B5438" w:rsidRPr="00272411">
        <w:t xml:space="preserve"> budget till sektorn</w:t>
      </w:r>
      <w:r w:rsidR="0039183C" w:rsidRPr="00272411">
        <w:t>,</w:t>
      </w:r>
      <w:r w:rsidRPr="00272411">
        <w:t xml:space="preserve"> har inte tillämpats i andra reformer och kan leda till prejudikat i kommande reformer av den gemensamma jordbrukspolitiken. Sverige anser att det snarare finns utrymme för budgetneddragningar, mot bakgrund av de höga stödnivåerna som redan ges till bananodlare i EU. Europeiska revisionsrätten har tidigare kritiserat de höga stödnivåerna för EU:s bananproduktion. </w:t>
      </w:r>
    </w:p>
    <w:p w:rsidR="003242B4" w:rsidRPr="00272411" w:rsidRDefault="003242B4">
      <w:pPr>
        <w:pStyle w:val="RKnormal"/>
        <w:rPr>
          <w:i/>
          <w:iCs/>
        </w:rPr>
      </w:pPr>
    </w:p>
    <w:p w:rsidR="003242B4" w:rsidRPr="00272411" w:rsidRDefault="003242B4">
      <w:pPr>
        <w:pStyle w:val="RKnormal"/>
        <w:rPr>
          <w:i/>
          <w:iCs/>
        </w:rPr>
      </w:pPr>
      <w:r w:rsidRPr="00272411">
        <w:rPr>
          <w:i/>
          <w:iCs/>
        </w:rPr>
        <w:t xml:space="preserve">EU-nämnden </w:t>
      </w:r>
    </w:p>
    <w:p w:rsidR="003242B4" w:rsidRPr="00272411" w:rsidRDefault="003242B4">
      <w:pPr>
        <w:pStyle w:val="RKnormal"/>
      </w:pPr>
      <w:r w:rsidRPr="00272411">
        <w:t>Frågan har varit föremål för samråd i EU-nämnden inför jordbruks- och fiskerådet den 20-21 november 2006.</w:t>
      </w:r>
    </w:p>
    <w:p w:rsidR="003242B4" w:rsidRPr="00272411" w:rsidRDefault="003242B4">
      <w:pPr>
        <w:pStyle w:val="RKnormal"/>
      </w:pPr>
    </w:p>
    <w:p w:rsidR="003242B4" w:rsidRPr="00272411" w:rsidRDefault="003242B4">
      <w:pPr>
        <w:pStyle w:val="RKrubrik"/>
      </w:pPr>
      <w:r w:rsidRPr="00272411">
        <w:t>5. Energigrödor:</w:t>
      </w:r>
    </w:p>
    <w:p w:rsidR="003242B4" w:rsidRPr="00272411" w:rsidRDefault="003242B4">
      <w:pPr>
        <w:pStyle w:val="RKrubrik"/>
      </w:pPr>
      <w:r w:rsidRPr="00272411">
        <w:t>Förslag till rådets förordning om ändring och rättelse av förordning (EG) nr 1782/2003 om upprättande av gemensamma bestämmelser för system för direktstöd inom den gemensamma jordbrukspolitiken och om upprättande av vissa stödsystem för jordbrukare och om ändring av förordning (EG) nr 1698/2005 om stöd för landsbygdsutveckling från Europeiska jordbruksfonden för landsbygdsutveckling (EJFLU)</w:t>
      </w:r>
    </w:p>
    <w:p w:rsidR="003242B4" w:rsidRPr="00272411" w:rsidRDefault="003242B4">
      <w:pPr>
        <w:pStyle w:val="RKnormal"/>
        <w:rPr>
          <w:b/>
          <w:bCs/>
          <w:i/>
          <w:iCs/>
        </w:rPr>
      </w:pPr>
      <w:r w:rsidRPr="00272411">
        <w:rPr>
          <w:b/>
          <w:bCs/>
          <w:i/>
          <w:iCs/>
        </w:rPr>
        <w:t>- antagande (möjlig A-punkt)</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spacing w:line="240" w:lineRule="auto"/>
        <w:rPr>
          <w:i/>
          <w:iCs/>
        </w:rPr>
      </w:pPr>
      <w:r w:rsidRPr="00272411">
        <w:t>13217/06 AGRI 297 AGRISTR 38 AGRIFIN 78 AGRIORG 76 ENV 491 ENER 21 + REV 1 (pt)</w:t>
      </w:r>
    </w:p>
    <w:p w:rsidR="003242B4" w:rsidRPr="00272411" w:rsidRDefault="003242B4">
      <w:pPr>
        <w:pStyle w:val="RKnormal"/>
        <w:jc w:val="both"/>
        <w:rPr>
          <w:i/>
          <w:iCs/>
        </w:rPr>
      </w:pPr>
    </w:p>
    <w:p w:rsidR="003242B4" w:rsidRPr="00272411" w:rsidRDefault="003242B4">
      <w:pPr>
        <w:pStyle w:val="RKnormal"/>
        <w:jc w:val="both"/>
        <w:rPr>
          <w:i/>
          <w:iCs/>
        </w:rPr>
      </w:pPr>
      <w:r w:rsidRPr="00272411">
        <w:rPr>
          <w:i/>
          <w:iCs/>
        </w:rPr>
        <w:t xml:space="preserve">Rättslig grund </w:t>
      </w:r>
    </w:p>
    <w:p w:rsidR="003242B4" w:rsidRPr="00272411" w:rsidRDefault="003242B4">
      <w:pPr>
        <w:pStyle w:val="RKnormal"/>
      </w:pPr>
      <w:r w:rsidRPr="00272411">
        <w:t>Rapporten -</w:t>
      </w:r>
    </w:p>
    <w:p w:rsidR="003242B4" w:rsidRPr="00272411" w:rsidRDefault="003242B4">
      <w:pPr>
        <w:pStyle w:val="RKnormal"/>
      </w:pPr>
      <w:r w:rsidRPr="00272411">
        <w:t>Förordningen: Artikel 36 och 37.2 i fördraget. Beslut fattas av rådet med kvalificerad majoritet efter att ha inhämtat Europaparlamentets yttrande.</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Rådsförordning (EG) nr 1782/2003 anger att kommissionen senast den 31 december 2006 ska överlämna en rapport till rådet om genomförandet av stödsystemet för energigrödor, vid behov åtföljd av förslag som tar hänsyn till genomförandet av EU:s biobränsleinitiativ</w:t>
      </w:r>
      <w:r w:rsidRPr="00272411">
        <w:rPr>
          <w:rStyle w:val="Fotnotsreferens"/>
        </w:rPr>
        <w:footnoteReference w:id="2"/>
      </w:r>
      <w:r w:rsidRPr="00272411">
        <w:t>.</w:t>
      </w:r>
    </w:p>
    <w:p w:rsidR="003242B4" w:rsidRPr="00272411" w:rsidRDefault="003242B4">
      <w:pPr>
        <w:pStyle w:val="RKnormal"/>
      </w:pPr>
    </w:p>
    <w:p w:rsidR="003242B4" w:rsidRPr="00272411" w:rsidRDefault="003242B4">
      <w:pPr>
        <w:pStyle w:val="RKnormal"/>
      </w:pPr>
      <w:r w:rsidRPr="00272411">
        <w:t>I samband med rapport</w:t>
      </w:r>
      <w:r w:rsidR="00D61648" w:rsidRPr="00272411">
        <w:t>en</w:t>
      </w:r>
      <w:r w:rsidRPr="00272411">
        <w:t xml:space="preserve"> som presenterades i september föreslår kommissionen att energigrödpremien görs tillgänglig även för de nya medlemsstaterna som tillämpar systemet med enhetlig arealersättning (SAPS). Kommissionen föreslår därför att den maximala stödberättigade arealen inom EU (MGA) utökas med 500 000 ha till 2 miljoner ha. Förslaget innebär en ökad budgetkostnad på 22,5 miljoner euro.</w:t>
      </w:r>
    </w:p>
    <w:p w:rsidR="003242B4" w:rsidRPr="00272411" w:rsidRDefault="003242B4">
      <w:pPr>
        <w:pStyle w:val="RKnormal"/>
      </w:pPr>
    </w:p>
    <w:p w:rsidR="003242B4" w:rsidRPr="00272411" w:rsidRDefault="003242B4">
      <w:pPr>
        <w:pStyle w:val="RKnormal"/>
      </w:pPr>
      <w:r w:rsidRPr="00272411">
        <w:t>Möjligheten att lämna nationellt stöd för anläggning av permanenta energigrödor, som till exempel salix</w:t>
      </w:r>
      <w:r w:rsidRPr="00272411">
        <w:rPr>
          <w:rStyle w:val="Fotnotsreferens"/>
        </w:rPr>
        <w:footnoteReference w:id="3"/>
      </w:r>
      <w:r w:rsidRPr="00272411">
        <w:t>, föreslås utökas till att omfatta arealer även utanför trädan, under förutsättning att lantbrukaren samtidigt ansöker om energigrödpremien.</w:t>
      </w:r>
    </w:p>
    <w:p w:rsidR="003242B4" w:rsidRPr="00272411" w:rsidRDefault="003242B4">
      <w:pPr>
        <w:pStyle w:val="RKnormal"/>
      </w:pPr>
    </w:p>
    <w:p w:rsidR="003242B4" w:rsidRPr="00272411" w:rsidRDefault="003242B4">
      <w:pPr>
        <w:pStyle w:val="RKnormal"/>
      </w:pPr>
      <w:r w:rsidRPr="00272411">
        <w:t xml:space="preserve">Utöver ändringar inom ramen för stödsystemet för energigrödor föreslår kommissionen även ett antal ytterligare ändringar i rådsförordning 1782/2003. Bland annat föreslås att möjligheten att tillämpa SAPS förlängs till utgången av 2010. Undantaget från tillämpning av tvärvillkoren ska dock inte förlängas efter utgången av 2008. </w:t>
      </w:r>
    </w:p>
    <w:p w:rsidR="003242B4" w:rsidRPr="00272411" w:rsidRDefault="003242B4">
      <w:pPr>
        <w:pStyle w:val="RKnormal"/>
      </w:pPr>
    </w:p>
    <w:p w:rsidR="003242B4" w:rsidRPr="00272411" w:rsidRDefault="003242B4">
      <w:pPr>
        <w:pStyle w:val="RKnormal"/>
      </w:pPr>
    </w:p>
    <w:p w:rsidR="003242B4" w:rsidRPr="00272411" w:rsidRDefault="003242B4">
      <w:pPr>
        <w:pStyle w:val="RKnormal"/>
        <w:rPr>
          <w:i/>
          <w:iCs/>
        </w:rPr>
      </w:pPr>
      <w:r w:rsidRPr="00272411">
        <w:rPr>
          <w:i/>
          <w:iCs/>
        </w:rPr>
        <w:t>Förslag till svensk ståndpunkt</w:t>
      </w:r>
    </w:p>
    <w:p w:rsidR="002475E2" w:rsidRPr="00272411" w:rsidRDefault="007267DD" w:rsidP="002475E2">
      <w:pPr>
        <w:pStyle w:val="RKnormal"/>
        <w:rPr>
          <w:rFonts w:cs="OrigGarmnd BT"/>
          <w:color w:val="000000"/>
          <w:szCs w:val="24"/>
          <w:lang w:eastAsia="sv-SE"/>
        </w:rPr>
      </w:pPr>
      <w:r w:rsidRPr="00272411">
        <w:rPr>
          <w:rFonts w:cs="OrigGarmnd BT"/>
          <w:color w:val="000000"/>
          <w:szCs w:val="24"/>
          <w:lang w:eastAsia="sv-SE"/>
        </w:rPr>
        <w:t>Sverige anser att det är rimligt att systemet med energi</w:t>
      </w:r>
      <w:r w:rsidR="001D1BDE" w:rsidRPr="00272411">
        <w:rPr>
          <w:rFonts w:cs="OrigGarmnd BT"/>
          <w:color w:val="000000"/>
          <w:szCs w:val="24"/>
          <w:lang w:eastAsia="sv-SE"/>
        </w:rPr>
        <w:t xml:space="preserve">grödpremien öppnas även för NMS och att </w:t>
      </w:r>
      <w:r w:rsidRPr="00272411">
        <w:rPr>
          <w:rFonts w:cs="OrigGarmnd BT"/>
          <w:color w:val="000000"/>
          <w:szCs w:val="24"/>
          <w:lang w:eastAsia="sv-SE"/>
        </w:rPr>
        <w:t>kommissionens argument för en kvothöjning med anledning av det är motiverad</w:t>
      </w:r>
      <w:r w:rsidR="001D1BDE" w:rsidRPr="00272411">
        <w:rPr>
          <w:rFonts w:cs="OrigGarmnd BT"/>
          <w:color w:val="000000"/>
          <w:szCs w:val="24"/>
          <w:lang w:eastAsia="sv-SE"/>
        </w:rPr>
        <w:t>. Sverige</w:t>
      </w:r>
      <w:r w:rsidRPr="00272411">
        <w:rPr>
          <w:rFonts w:cs="OrigGarmnd BT"/>
          <w:color w:val="000000"/>
          <w:szCs w:val="24"/>
          <w:lang w:eastAsia="sv-SE"/>
        </w:rPr>
        <w:t xml:space="preserve"> kan acceptera förslaget </w:t>
      </w:r>
      <w:r w:rsidR="001D1BDE" w:rsidRPr="00272411">
        <w:rPr>
          <w:rFonts w:cs="OrigGarmnd BT"/>
          <w:color w:val="000000"/>
          <w:szCs w:val="24"/>
          <w:lang w:eastAsia="sv-SE"/>
        </w:rPr>
        <w:t xml:space="preserve">men </w:t>
      </w:r>
      <w:r w:rsidRPr="00272411">
        <w:rPr>
          <w:rFonts w:cs="OrigGarmnd BT"/>
          <w:color w:val="000000"/>
          <w:szCs w:val="24"/>
          <w:lang w:eastAsia="sv-SE"/>
        </w:rPr>
        <w:t>ser fram emot en ytterligare översyn i samband med hälsokontrollen. Sveriges långsiktiga målsättning är att all odling på åkermark, oavsett slutanvändning ska behandlas lika.</w:t>
      </w:r>
    </w:p>
    <w:p w:rsidR="007267DD" w:rsidRPr="00272411" w:rsidRDefault="007267DD" w:rsidP="002475E2">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har varit föremål för samråd med EU-nämnden inför jordbruks- och fiskerådet i november 2006.</w:t>
      </w:r>
    </w:p>
    <w:p w:rsidR="003242B4" w:rsidRPr="00272411" w:rsidRDefault="003242B4">
      <w:pPr>
        <w:pStyle w:val="RKnormal"/>
      </w:pPr>
    </w:p>
    <w:p w:rsidR="003242B4" w:rsidRPr="00272411" w:rsidRDefault="003242B4">
      <w:pPr>
        <w:pStyle w:val="RKrubrik"/>
      </w:pPr>
      <w:r w:rsidRPr="00272411">
        <w:t>6. Förslag till rådets förordning om anpassning av förordning (EG) nr 1782/2003 om upprättande av gemensamma bestämmelser för system för direktstöd inom den gemensamma jordbrukspolitiken och om upprättande av vissa stödsystem för jordbrukare, förordning (EG) nr 318/2006 om den gemensamma organisationen av marknaden för socker och förordning (EG) nr 320/2006 om inrättande av en tillfällig ordning för omstrukturering av sockerindustrin i gemenskapen, till följd av Bulgariens och Rumäniens anslutning till Europeiska unionen</w:t>
      </w:r>
    </w:p>
    <w:p w:rsidR="003242B4" w:rsidRPr="00272411" w:rsidRDefault="003242B4">
      <w:pPr>
        <w:pStyle w:val="RKnormal"/>
        <w:rPr>
          <w:b/>
          <w:bCs/>
          <w:i/>
          <w:iCs/>
        </w:rPr>
      </w:pPr>
      <w:r w:rsidRPr="00272411">
        <w:rPr>
          <w:b/>
          <w:bCs/>
          <w:i/>
          <w:iCs/>
        </w:rPr>
        <w:t>- antagande (möjlig A-punkt)</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jc w:val="both"/>
        <w:rPr>
          <w:i/>
          <w:iCs/>
        </w:rPr>
      </w:pPr>
      <w:r w:rsidRPr="00272411">
        <w:rPr>
          <w:color w:val="000000"/>
          <w:szCs w:val="24"/>
        </w:rPr>
        <w:t>14867/06 AGRIORG 89 AGRIFIN 97 ELARG 161</w:t>
      </w:r>
    </w:p>
    <w:p w:rsidR="003242B4" w:rsidRPr="00272411" w:rsidRDefault="003242B4">
      <w:pPr>
        <w:pStyle w:val="RKnormal"/>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4.3 i anslutningsfördraget för Bulgarien och Rumänien.</w:t>
      </w:r>
    </w:p>
    <w:p w:rsidR="003242B4" w:rsidRPr="00272411" w:rsidRDefault="003242B4">
      <w:pPr>
        <w:pStyle w:val="RKnormal"/>
      </w:pPr>
      <w:r w:rsidRPr="00272411">
        <w:t>Bilaga IV artikel 20 i anslutningsakten för Bulgarien och Rumänien.</w:t>
      </w:r>
    </w:p>
    <w:p w:rsidR="003242B4" w:rsidRPr="00272411" w:rsidRDefault="003242B4">
      <w:pPr>
        <w:pStyle w:val="RKnormal"/>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Rådet antog i februari 2006 nya förordningar om den gemensamma marknaden för socker. Dessa förordningar tar inte hänsyn till resultaten av Rumäniens och Bulgariens anslutningsförhandlingar och bör därför anpassas.</w:t>
      </w:r>
    </w:p>
    <w:p w:rsidR="003242B4" w:rsidRPr="00272411" w:rsidRDefault="003242B4">
      <w:pPr>
        <w:pStyle w:val="RKnormal"/>
      </w:pPr>
    </w:p>
    <w:p w:rsidR="003242B4" w:rsidRPr="00272411" w:rsidRDefault="003242B4">
      <w:pPr>
        <w:pStyle w:val="RKnormal"/>
      </w:pPr>
      <w:r w:rsidRPr="00272411">
        <w:t>Förslaget innebär framför allt att Rumänien och Bulgarien förs in i förteckningen över de länder som omfattas av kvotsystemet för socker, isoglukos och inulinsirap samt traditionella behov av socker för raffinering, att bestämmelserna om direktstöd införs för Rumänien och Bulgarien och att vissa datum i sockerförordningarna anpassas så att Rumänien och Bulgarien kan delta i den gemensamma organisationen av sockermarknaden.</w:t>
      </w:r>
    </w:p>
    <w:p w:rsidR="003242B4" w:rsidRPr="00272411" w:rsidRDefault="003242B4">
      <w:pPr>
        <w:pStyle w:val="RKnormal"/>
      </w:pPr>
      <w:r w:rsidRPr="00272411">
        <w:t xml:space="preserve">      </w:t>
      </w:r>
    </w:p>
    <w:p w:rsidR="001B1B91" w:rsidRPr="00272411" w:rsidRDefault="003242B4" w:rsidP="001B1B91">
      <w:pPr>
        <w:pStyle w:val="RKnormal"/>
      </w:pPr>
      <w:r w:rsidRPr="00272411">
        <w:t xml:space="preserve">Direktstöden för socker kommer att fasas in Rumänien och Bulgarien enligt samma modell som för övriga direktstöd, d.v.s. från år 2007 med 25 % av nivån i övriga EU. För att fastställa beloppet för direktstöd för socker har samma beräkningsmetod använts som för EU-25. Rumänien och Bulgarien får även samma möjlighet att tillämpa det separata sockerstöd som de nya medlemsstaterna som tillämpar systemet för enhetlig arealersättning (SAPS) erbjuds. </w:t>
      </w:r>
    </w:p>
    <w:p w:rsidR="001B1B91" w:rsidRPr="00272411" w:rsidRDefault="001B1B91">
      <w:pPr>
        <w:pStyle w:val="RKnormal"/>
      </w:pPr>
    </w:p>
    <w:p w:rsidR="001B1B91" w:rsidRPr="00272411" w:rsidRDefault="001B1B91" w:rsidP="001B1B91">
      <w:pPr>
        <w:pStyle w:val="RKnormal"/>
        <w:rPr>
          <w:i/>
          <w:iCs/>
        </w:rPr>
      </w:pPr>
      <w:r w:rsidRPr="00272411">
        <w:rPr>
          <w:i/>
          <w:iCs/>
        </w:rPr>
        <w:t>Förslag till svensk ståndpunkt</w:t>
      </w:r>
    </w:p>
    <w:p w:rsidR="001B1B91" w:rsidRPr="00272411" w:rsidRDefault="001B1B91" w:rsidP="001B1B91">
      <w:pPr>
        <w:pStyle w:val="RKnormal"/>
      </w:pPr>
      <w:r w:rsidRPr="00272411">
        <w:rPr>
          <w:color w:val="000000"/>
          <w:szCs w:val="24"/>
        </w:rPr>
        <w:t xml:space="preserve">Sverige kan stödja kommissionens förslag. Det är </w:t>
      </w:r>
      <w:r w:rsidR="00AD7F76" w:rsidRPr="00272411">
        <w:rPr>
          <w:color w:val="000000"/>
          <w:szCs w:val="24"/>
        </w:rPr>
        <w:t xml:space="preserve">viktigt att förordningarna anpassas och att </w:t>
      </w:r>
      <w:r w:rsidRPr="00272411">
        <w:rPr>
          <w:color w:val="000000"/>
          <w:szCs w:val="24"/>
        </w:rPr>
        <w:t>Rumänien och Bulgarien omfattas av de regler som ingår i marknadsordningen för socker. Det är även rimligt att direktstöd</w:t>
      </w:r>
      <w:r w:rsidR="00AD7F76" w:rsidRPr="00272411">
        <w:rPr>
          <w:color w:val="000000"/>
          <w:szCs w:val="24"/>
        </w:rPr>
        <w:t>en</w:t>
      </w:r>
      <w:r w:rsidRPr="00272411">
        <w:rPr>
          <w:color w:val="000000"/>
          <w:szCs w:val="24"/>
        </w:rPr>
        <w:t xml:space="preserve"> för socker fasas in </w:t>
      </w:r>
      <w:r w:rsidR="005D6AFB" w:rsidRPr="00272411">
        <w:rPr>
          <w:color w:val="000000"/>
          <w:szCs w:val="24"/>
        </w:rPr>
        <w:t xml:space="preserve">i Rumänien och Bulgarien </w:t>
      </w:r>
      <w:r w:rsidRPr="00272411">
        <w:rPr>
          <w:color w:val="000000"/>
          <w:szCs w:val="24"/>
        </w:rPr>
        <w:t>enligt föreslagen modell. Likaså stödjer Sverige att Rumänien och Bulgarien ges möjlighet att tillämpa det separata sockerstöd som övriga medlemsstater som tillämpar SAPS erbjuds.</w:t>
      </w:r>
    </w:p>
    <w:p w:rsidR="00D867CF" w:rsidRPr="00272411" w:rsidRDefault="00D867CF">
      <w:pPr>
        <w:pStyle w:val="RKnormal"/>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Förslaget har inte varit föremål för samråd i EU-nämnden.</w:t>
      </w:r>
    </w:p>
    <w:p w:rsidR="003242B4" w:rsidRPr="00272411" w:rsidRDefault="003242B4">
      <w:pPr>
        <w:pStyle w:val="RKnormal"/>
      </w:pPr>
    </w:p>
    <w:p w:rsidR="003242B4" w:rsidRPr="00272411" w:rsidRDefault="003242B4">
      <w:pPr>
        <w:pStyle w:val="RKrubrik"/>
      </w:pPr>
      <w:r w:rsidRPr="00272411">
        <w:t>7. Förslag till Europaparlamentets och rådets förordning om ändring av rådets förordning (EEG) nr 571/88 om uppläggningen av gemenskapsundersökningar om företagsstrukturen i jordbruket, när det gäller finansieringsramen för perioden 2007–2009 och det maximala gemenskapsstödet till Bulgarien och Rumänien</w:t>
      </w:r>
    </w:p>
    <w:p w:rsidR="003242B4" w:rsidRPr="00272411" w:rsidRDefault="003242B4">
      <w:pPr>
        <w:pStyle w:val="RKnormal"/>
        <w:rPr>
          <w:b/>
          <w:bCs/>
          <w:i/>
          <w:iCs/>
        </w:rPr>
      </w:pPr>
      <w:r w:rsidRPr="00272411">
        <w:rPr>
          <w:b/>
          <w:bCs/>
          <w:i/>
          <w:iCs/>
        </w:rPr>
        <w:t>- antagande (möjlig A-punkt)</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spacing w:line="240" w:lineRule="auto"/>
        <w:rPr>
          <w:szCs w:val="24"/>
        </w:rPr>
      </w:pPr>
      <w:r w:rsidRPr="00272411">
        <w:rPr>
          <w:szCs w:val="24"/>
        </w:rPr>
        <w:t>11242/06 STATIS 51 AGRISTR 27 AGRIFIN 47 ELARG 81 CODEC 714</w:t>
      </w:r>
    </w:p>
    <w:p w:rsidR="003242B4" w:rsidRPr="00272411" w:rsidRDefault="003242B4">
      <w:pPr>
        <w:pStyle w:val="RKnormal"/>
        <w:jc w:val="both"/>
        <w:rPr>
          <w:i/>
          <w:iCs/>
        </w:rPr>
      </w:pPr>
    </w:p>
    <w:p w:rsidR="003242B4" w:rsidRPr="00272411" w:rsidRDefault="003242B4">
      <w:pPr>
        <w:pStyle w:val="RKnormal"/>
        <w:jc w:val="both"/>
        <w:rPr>
          <w:i/>
          <w:iCs/>
        </w:rPr>
      </w:pPr>
      <w:r w:rsidRPr="00272411">
        <w:rPr>
          <w:i/>
          <w:iCs/>
        </w:rPr>
        <w:t xml:space="preserve">Rättslig grund </w:t>
      </w:r>
    </w:p>
    <w:p w:rsidR="003242B4" w:rsidRPr="00272411" w:rsidRDefault="003242B4">
      <w:pPr>
        <w:pStyle w:val="RKnormal"/>
        <w:rPr>
          <w:i/>
          <w:iCs/>
        </w:rPr>
      </w:pPr>
      <w:r w:rsidRPr="00272411">
        <w:rPr>
          <w:szCs w:val="24"/>
          <w:lang w:eastAsia="fi-FI"/>
        </w:rPr>
        <w:t>Artikel 285.1 i EG-fördraget, artikel 56 i anslutningsakten för Bulgarien och Rumänien samt artikel 251 i EG-fördraget</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A909B8" w:rsidRPr="00272411" w:rsidRDefault="00A909B8">
      <w:pPr>
        <w:pStyle w:val="RKnormal"/>
      </w:pPr>
      <w:r w:rsidRPr="00272411">
        <w:t xml:space="preserve">Enligt rådets förordning (EEG) nr 571/88 skall medlemsstaterna genomföra statistiska undersökningar av företagsstrukturen i jordbruket. </w:t>
      </w:r>
      <w:r w:rsidR="003242B4" w:rsidRPr="00272411">
        <w:t>Strukturstatistiken utgör en viktig del av jordbruksstatistiken</w:t>
      </w:r>
      <w:r w:rsidRPr="00272411">
        <w:t xml:space="preserve"> och</w:t>
      </w:r>
      <w:r w:rsidR="003242B4" w:rsidRPr="00272411">
        <w:t xml:space="preserve"> ger en stor mängd uppgifter om de viktigaste strukturella särdragen i gemenskapens jordbruk.  Statistiken är aktuell för </w:t>
      </w:r>
      <w:r w:rsidR="00975330" w:rsidRPr="00272411">
        <w:t>flera</w:t>
      </w:r>
      <w:r w:rsidR="003242B4" w:rsidRPr="00272411">
        <w:t xml:space="preserve"> politikområden och används </w:t>
      </w:r>
      <w:r w:rsidR="00975330" w:rsidRPr="00272411">
        <w:t>även</w:t>
      </w:r>
      <w:r w:rsidR="003242B4" w:rsidRPr="00272411">
        <w:t xml:space="preserve"> för att genomföra andra statistiska undersökningar inom jordbruket. </w:t>
      </w:r>
    </w:p>
    <w:p w:rsidR="00A909B8" w:rsidRPr="00272411" w:rsidRDefault="00A909B8">
      <w:pPr>
        <w:pStyle w:val="RKnormal"/>
      </w:pPr>
    </w:p>
    <w:p w:rsidR="003242B4" w:rsidRPr="00272411" w:rsidRDefault="003242B4">
      <w:pPr>
        <w:pStyle w:val="RKnormal"/>
      </w:pPr>
      <w:r w:rsidRPr="00272411">
        <w:t>De EU-reglerade strukturundersökningarna i medlemsländerna medfinansieras av EU.</w:t>
      </w:r>
      <w:r w:rsidR="00A909B8" w:rsidRPr="00272411">
        <w:t xml:space="preserve"> </w:t>
      </w:r>
      <w:r w:rsidRPr="00272411">
        <w:t xml:space="preserve">Kommissionen har föreslagit en finansieringsram som uppgår till 20,4 miljoner euro för perioden 2007-2009. </w:t>
      </w:r>
      <w:r w:rsidR="00975330" w:rsidRPr="00272411">
        <w:t xml:space="preserve">Av detta får </w:t>
      </w:r>
      <w:r w:rsidR="00A909B8" w:rsidRPr="00272411">
        <w:t xml:space="preserve">Rumänien och Bulgarien en ersättning på 20 euro per företag upp till ett högsta belopp på 2 miljoner euro vardera. </w:t>
      </w:r>
    </w:p>
    <w:p w:rsidR="00A909B8" w:rsidRPr="00272411" w:rsidRDefault="00A909B8">
      <w:pPr>
        <w:pStyle w:val="RKnormal"/>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Sverige kan stödja förslaget till finansieringsram då det följer tidigare ramar för liknande undersökningar. Med tanke på den företagsstruktur som råder i Bulgarien och Rumänien, med relativt många småskaliga företag, finns inte heller något skäl att invända mot den maximala ersättningen till dessa länder.</w:t>
      </w:r>
    </w:p>
    <w:p w:rsidR="003242B4" w:rsidRPr="00272411" w:rsidRDefault="003242B4">
      <w:pPr>
        <w:pStyle w:val="RKnormal"/>
        <w:rPr>
          <w:i/>
          <w:iCs/>
        </w:rPr>
      </w:pPr>
    </w:p>
    <w:p w:rsidR="003242B4" w:rsidRPr="00272411" w:rsidRDefault="003242B4">
      <w:pPr>
        <w:pStyle w:val="RKnormal"/>
      </w:pPr>
      <w:r w:rsidRPr="00272411">
        <w:rPr>
          <w:i/>
          <w:iCs/>
        </w:rPr>
        <w:t>EU-nämnden</w:t>
      </w:r>
    </w:p>
    <w:p w:rsidR="003242B4" w:rsidRPr="00272411" w:rsidRDefault="003242B4">
      <w:pPr>
        <w:pStyle w:val="RKnormal"/>
      </w:pPr>
      <w:r w:rsidRPr="00272411">
        <w:t>Frågan har inte tidigare varit föremål för samråd med EU-nämnden.</w:t>
      </w:r>
    </w:p>
    <w:p w:rsidR="003242B4" w:rsidRPr="00272411" w:rsidRDefault="003242B4">
      <w:pPr>
        <w:pStyle w:val="RKnormal"/>
      </w:pPr>
    </w:p>
    <w:p w:rsidR="003242B4" w:rsidRPr="00272411" w:rsidRDefault="003242B4">
      <w:pPr>
        <w:pStyle w:val="RKrubrik"/>
      </w:pPr>
      <w:r w:rsidRPr="00272411">
        <w:t>8. Gemenskapens djurhälsopolitik 2007-2013</w:t>
      </w:r>
    </w:p>
    <w:p w:rsidR="003242B4" w:rsidRPr="00272411" w:rsidRDefault="003242B4">
      <w:pPr>
        <w:pStyle w:val="RKnormal"/>
        <w:rPr>
          <w:b/>
          <w:bCs/>
          <w:i/>
          <w:iCs/>
        </w:rPr>
      </w:pPr>
      <w:r w:rsidRPr="00272411">
        <w:rPr>
          <w:b/>
          <w:bCs/>
          <w:i/>
          <w:iCs/>
        </w:rPr>
        <w:t>-  Informationsrapport från ordförandeskapet (eventuell A-punkt)</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w:t>
      </w:r>
    </w:p>
    <w:p w:rsidR="003242B4" w:rsidRPr="00272411" w:rsidRDefault="003242B4">
      <w:pPr>
        <w:pStyle w:val="RKnormal"/>
        <w:jc w:val="both"/>
        <w:rPr>
          <w:i/>
          <w:iCs/>
        </w:rPr>
      </w:pPr>
    </w:p>
    <w:p w:rsidR="003242B4" w:rsidRPr="00272411" w:rsidRDefault="003242B4">
      <w:pPr>
        <w:pStyle w:val="RKnormal"/>
        <w:jc w:val="both"/>
        <w:rPr>
          <w:i/>
          <w:iCs/>
        </w:rPr>
      </w:pPr>
      <w:r w:rsidRPr="00272411">
        <w:rPr>
          <w:i/>
          <w:iCs/>
        </w:rPr>
        <w:t xml:space="preserve">Rättslig grund </w:t>
      </w:r>
    </w:p>
    <w:p w:rsidR="003242B4" w:rsidRPr="00272411" w:rsidRDefault="003242B4">
      <w:pPr>
        <w:pStyle w:val="RKnormal"/>
        <w:rPr>
          <w:i/>
          <w:iCs/>
        </w:rPr>
      </w:pPr>
      <w:r w:rsidRPr="00272411">
        <w:rPr>
          <w:i/>
          <w:iCs/>
        </w:rPr>
        <w:t>-</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Ordförandeskapet har presenterat ett utkast till ordförandeskapsslutsa</w:t>
      </w:r>
      <w:r w:rsidRPr="00272411">
        <w:t>t</w:t>
      </w:r>
      <w:r w:rsidRPr="00272411">
        <w:t xml:space="preserve">ser med anledning av pågående översyn av gemenskapens djurhälsopolitik. </w:t>
      </w:r>
    </w:p>
    <w:p w:rsidR="003242B4" w:rsidRPr="00272411" w:rsidRDefault="003242B4">
      <w:pPr>
        <w:pStyle w:val="RKnormal"/>
      </w:pPr>
    </w:p>
    <w:p w:rsidR="003242B4" w:rsidRPr="00272411" w:rsidRDefault="003242B4">
      <w:pPr>
        <w:pStyle w:val="RKnormal"/>
      </w:pPr>
      <w:r w:rsidRPr="00272411">
        <w:t>Översynen initierades av kommissionen under 2005, med syftet att bl.a. försäkra att ekonomiska resurser används på bästa sättet samt att förenkla lagstiftningen. En fristående konsultgrupp har på kommissi</w:t>
      </w:r>
      <w:r w:rsidRPr="00272411">
        <w:t>o</w:t>
      </w:r>
      <w:r w:rsidRPr="00272411">
        <w:t>nens uppdrag utvärderat nuvarande politik och lämnat rekommendati</w:t>
      </w:r>
      <w:r w:rsidRPr="00272411">
        <w:t>o</w:t>
      </w:r>
      <w:r w:rsidRPr="00272411">
        <w:t>ner inför framtiden. Rekommendationerna diskuterades vid en konf</w:t>
      </w:r>
      <w:r w:rsidRPr="00272411">
        <w:t>e</w:t>
      </w:r>
      <w:r w:rsidRPr="00272411">
        <w:t>rens som anordnades i samarbete mellan ordförandeskapet och kommi</w:t>
      </w:r>
      <w:r w:rsidRPr="00272411">
        <w:t>s</w:t>
      </w:r>
      <w:r w:rsidRPr="00272411">
        <w:t>sionen i början av november 2006. Ordförandeskapets slutsatser baseras på utvärderingen och konferensen. I slutsatserna konstateras bl.a. att f</w:t>
      </w:r>
      <w:r w:rsidRPr="00272411">
        <w:t>o</w:t>
      </w:r>
      <w:r w:rsidRPr="00272411">
        <w:t>kus bör flyttas från bekämpningsåtgärder vid utbrott till förebyggande åtgärder.</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rPr>
          <w:i/>
          <w:iCs/>
        </w:rPr>
      </w:pPr>
      <w:r w:rsidRPr="00272411">
        <w:t xml:space="preserve">Sverige anser att det är angeläget att djurhälsopolitiken ses över </w:t>
      </w:r>
      <w:bookmarkStart w:id="0" w:name="Text12"/>
      <w:r w:rsidRPr="00272411">
        <w:t xml:space="preserve">och har inga invändningar mot </w:t>
      </w:r>
      <w:bookmarkEnd w:id="0"/>
      <w:r w:rsidRPr="00272411">
        <w:t>ordförandeskapets förslag till slutsa</w:t>
      </w:r>
      <w:r w:rsidRPr="00272411">
        <w:t>t</w:t>
      </w:r>
      <w:r w:rsidRPr="00272411">
        <w:t>ser.</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har inte tidigare varit föremål för samråd med EU-nämnden.</w:t>
      </w:r>
    </w:p>
    <w:p w:rsidR="003242B4" w:rsidRPr="00272411" w:rsidRDefault="003242B4">
      <w:pPr>
        <w:pStyle w:val="RKnormal"/>
      </w:pPr>
    </w:p>
    <w:p w:rsidR="003242B4" w:rsidRPr="00272411" w:rsidRDefault="003242B4">
      <w:pPr>
        <w:pStyle w:val="RKrubrik"/>
      </w:pPr>
      <w:r w:rsidRPr="00272411">
        <w:t>9. (ev.) Förslag till rådets direktiv om fastställande av minimiregler för skydd av slaktkycklingar</w:t>
      </w:r>
    </w:p>
    <w:p w:rsidR="003242B4" w:rsidRPr="00272411" w:rsidRDefault="003242B4">
      <w:pPr>
        <w:pStyle w:val="RKnormal"/>
        <w:rPr>
          <w:b/>
          <w:bCs/>
          <w:i/>
          <w:iCs/>
        </w:rPr>
      </w:pPr>
      <w:r w:rsidRPr="00272411">
        <w:rPr>
          <w:b/>
          <w:bCs/>
          <w:i/>
          <w:iCs/>
        </w:rPr>
        <w:t>- Politisk överenskommelse / riktlinjedebatt</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9606/05 AGRILEG 80</w:t>
      </w:r>
    </w:p>
    <w:p w:rsidR="003242B4" w:rsidRPr="00272411" w:rsidRDefault="003242B4">
      <w:pPr>
        <w:pStyle w:val="RKnormal"/>
        <w:rPr>
          <w:i/>
          <w:iCs/>
        </w:rPr>
      </w:pPr>
    </w:p>
    <w:p w:rsidR="003242B4" w:rsidRPr="00272411" w:rsidRDefault="003242B4">
      <w:pPr>
        <w:pStyle w:val="RKnormal"/>
        <w:rPr>
          <w:i/>
          <w:iCs/>
        </w:rPr>
      </w:pPr>
      <w:r w:rsidRPr="00272411">
        <w:rPr>
          <w:i/>
          <w:iCs/>
        </w:rPr>
        <w:t>Rättslig grund</w:t>
      </w:r>
    </w:p>
    <w:p w:rsidR="003242B4" w:rsidRPr="00272411" w:rsidRDefault="003242B4">
      <w:pPr>
        <w:pStyle w:val="RKnormal"/>
        <w:rPr>
          <w:b/>
          <w:bCs/>
          <w:i/>
          <w:iCs/>
        </w:rPr>
      </w:pPr>
      <w:bookmarkStart w:id="1" w:name="Text8"/>
      <w:r w:rsidRPr="00272411">
        <w:t>Artikel 37 i EG-fördraget. Beslut fattas av rådet med kvalificerad major</w:t>
      </w:r>
      <w:r w:rsidRPr="00272411">
        <w:t>i</w:t>
      </w:r>
      <w:r w:rsidRPr="00272411">
        <w:t>tet efter att ha hört Europaparlamentet.</w:t>
      </w:r>
      <w:bookmarkEnd w:id="1"/>
    </w:p>
    <w:p w:rsidR="003242B4" w:rsidRPr="00272411" w:rsidRDefault="003242B4">
      <w:pPr>
        <w:pStyle w:val="RKnormal"/>
        <w:rPr>
          <w:b/>
          <w:bCs/>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Förslaget innehåller ett utkast till gemensamma regler i form av ett m</w:t>
      </w:r>
      <w:r w:rsidRPr="00272411">
        <w:t>i</w:t>
      </w:r>
      <w:r w:rsidRPr="00272411">
        <w:t>nimidirektiv om skydd av slaktkyckling i besättningar med 500 djur eller fler och som inte är avelsbesättningar eller kläckerier. Idag finns inga regler utom allmänt hållna bestämmelser om skydd av animalieprodu</w:t>
      </w:r>
      <w:r w:rsidRPr="00272411">
        <w:t>k</w:t>
      </w:r>
      <w:r w:rsidRPr="00272411">
        <w:t xml:space="preserve">tionens djur. Förslaget antogs av kommissionen den 30 maj 2005 och det har diskuterats i rådsarbetsgrupp, bland chefsveterinärerna (CVO), i den Ständiga jordbrukskommittén (SJK), i attachégrupp samt Coreper under 2005 och 2006.  </w:t>
      </w:r>
    </w:p>
    <w:p w:rsidR="003242B4" w:rsidRPr="00272411" w:rsidRDefault="003242B4">
      <w:pPr>
        <w:pStyle w:val="RKnormal"/>
      </w:pPr>
    </w:p>
    <w:p w:rsidR="003242B4" w:rsidRPr="00272411" w:rsidRDefault="003242B4">
      <w:pPr>
        <w:pStyle w:val="RKnormal"/>
        <w:rPr>
          <w:i/>
          <w:iCs/>
        </w:rPr>
      </w:pPr>
      <w:r w:rsidRPr="00272411">
        <w:t>Vissa medlemsstater anser att förslaget är krångligt, att det kommer att orsaka kostnader, att det blir svårt att kontrollera efterlevnaden m.m. För närvarande finns ingen kv</w:t>
      </w:r>
      <w:r w:rsidRPr="00272411">
        <w:t>a</w:t>
      </w:r>
      <w:r w:rsidRPr="00272411">
        <w:t>lificerad majoritet för förslaget. Kommissionen bedömer dock att det finns mö</w:t>
      </w:r>
      <w:r w:rsidRPr="00272411">
        <w:t>j</w:t>
      </w:r>
      <w:r w:rsidRPr="00272411">
        <w:t>lighet att uppnå sådan i rådet.</w:t>
      </w:r>
    </w:p>
    <w:p w:rsidR="003242B4" w:rsidRPr="00272411" w:rsidRDefault="003242B4">
      <w:pPr>
        <w:pStyle w:val="RKnormal"/>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Sverige är positivt till förslaget och prioriterar denna djurskyddsfråga högt. Frågan är viktig även ur ett producentperspektiv. Det ställs idag ofta högre krav på svenska producenter än på producenter från övriga medlemsstater varför frågan är viktig såväl från djurskydds- som från konkurrenssynpunkt.</w:t>
      </w:r>
    </w:p>
    <w:p w:rsidR="003242B4" w:rsidRPr="00272411" w:rsidRDefault="003242B4">
      <w:pPr>
        <w:pStyle w:val="RKnormal"/>
      </w:pPr>
    </w:p>
    <w:p w:rsidR="003242B4" w:rsidRPr="00272411" w:rsidRDefault="003242B4">
      <w:pPr>
        <w:pStyle w:val="RKnormal"/>
        <w:rPr>
          <w:i/>
          <w:iCs/>
        </w:rPr>
      </w:pPr>
      <w:r w:rsidRPr="00272411">
        <w:t>Sverige anser att frågan om beläggningsgrad är en mycket viktig dju</w:t>
      </w:r>
      <w:r w:rsidRPr="00272411">
        <w:t>r</w:t>
      </w:r>
      <w:r w:rsidRPr="00272411">
        <w:t>skyddsfråga. Sveriges övergripande mål är dock att ett direktiv kommer till stånd – även om vissa delar av det plockas bort eller träder i kraft vid s</w:t>
      </w:r>
      <w:r w:rsidRPr="00272411">
        <w:t>e</w:t>
      </w:r>
      <w:r w:rsidRPr="00272411">
        <w:t xml:space="preserve">nare tidpunkter. </w:t>
      </w:r>
    </w:p>
    <w:p w:rsidR="003242B4" w:rsidRPr="00272411" w:rsidRDefault="003242B4">
      <w:pPr>
        <w:pStyle w:val="RKnormal"/>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har varit föremål för samråd i EU-nämnden inför jordbruks- och fiskerådet den 18 juli 2005 och den 12 juni 2006.</w:t>
      </w:r>
    </w:p>
    <w:p w:rsidR="003242B4" w:rsidRPr="00272411" w:rsidRDefault="003242B4">
      <w:pPr>
        <w:pStyle w:val="RKnormal"/>
        <w:rPr>
          <w:i/>
          <w:iCs/>
        </w:rPr>
      </w:pPr>
    </w:p>
    <w:p w:rsidR="00996BDA" w:rsidRPr="00272411" w:rsidRDefault="003242B4">
      <w:pPr>
        <w:pStyle w:val="RKrubrik"/>
      </w:pPr>
      <w:r w:rsidRPr="00272411">
        <w:t>10. Förslag till rådets förordning om fastställande för år 2007 av fiskemöjligheter och därmed förbundna villkor för vissa fiskbestånd och grupper av fiskbestånd i gemenskapens vatten och, för gemenskapens fartyg, i andra vatten där fångstbegränsningar krävs</w:t>
      </w:r>
    </w:p>
    <w:p w:rsidR="003242B4" w:rsidRPr="00272411" w:rsidRDefault="003242B4" w:rsidP="00996BDA">
      <w:pPr>
        <w:pStyle w:val="RKnormal"/>
        <w:rPr>
          <w:b/>
          <w:i/>
        </w:rPr>
      </w:pPr>
      <w:r w:rsidRPr="00272411">
        <w:rPr>
          <w:b/>
          <w:i/>
        </w:rPr>
        <w:t>- Politisk överenskommelse</w:t>
      </w:r>
    </w:p>
    <w:p w:rsidR="003242B4" w:rsidRPr="00272411" w:rsidRDefault="003242B4">
      <w:pPr>
        <w:pStyle w:val="RKnormal"/>
        <w:rPr>
          <w:b/>
          <w:bCs/>
          <w:i/>
          <w:iCs/>
        </w:rPr>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w:t>
      </w:r>
    </w:p>
    <w:p w:rsidR="003242B4" w:rsidRPr="00272411" w:rsidRDefault="003242B4">
      <w:pPr>
        <w:pStyle w:val="RKnormal"/>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20 i rådets förordning (EG) nr 2371/2002. Beslutet fattas med kvalificerad majoritet på förslag av kommissionen.</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TAC</w:t>
      </w:r>
      <w:r w:rsidRPr="00272411">
        <w:rPr>
          <w:rStyle w:val="Fotnotsreferens"/>
        </w:rPr>
        <w:footnoteReference w:id="4"/>
      </w:r>
      <w:r w:rsidRPr="00272411">
        <w:t xml:space="preserve"> och kvotförordningen är en sammanställning av de för medlemsstaterna disponibla fiskekvoterna för nästkommande år samt de villkor som skall gälla ifråga om begränsning av fiskeansträngningen och kompletterande tekniska regleringar inklusive kontroll för de fiskeområden. Det nya förslaget till TAC och kvoter kommer även att vara nära kopplat till de återhämtningsplaner som beslutats och rådande</w:t>
      </w:r>
      <w:r w:rsidR="00996BDA" w:rsidRPr="00272411">
        <w:t xml:space="preserve"> villkor förknippade med dessa.</w:t>
      </w:r>
      <w:r w:rsidR="00172185" w:rsidRPr="00272411">
        <w:t xml:space="preserve"> </w:t>
      </w:r>
    </w:p>
    <w:p w:rsidR="00172185" w:rsidRPr="00272411" w:rsidRDefault="00172185">
      <w:pPr>
        <w:pStyle w:val="RKnormal"/>
      </w:pPr>
    </w:p>
    <w:p w:rsidR="003242B4" w:rsidRPr="00272411" w:rsidRDefault="003242B4">
      <w:pPr>
        <w:pStyle w:val="RKnormal"/>
      </w:pPr>
      <w:r w:rsidRPr="00272411">
        <w:t>Vid årets decemberförhandling kommer Östersjöfrågorna inte att ingå. TAC:erna för bestånden i Östersjön beslutades genom en överenskommelse i oktober. Dessutom har de avslutade Norge-förhandlingarna inneburit att det för svenskt vidkommande finns betydligt färre frågor att bevaka. Intresset kommer istället att fokuseras på de bestånd för vilka EU beslutar TAC:er m.m. autonomt. För svenskt vidkommande gäller detta t.ex. torsken i Kattegatt. Överenskommelsen med Norge innebär beträffande torsken en sänkning av TAC:erna med 14% i Nordsjön och Skagerrak samt att det inte längre får förekomma något riktat fiske efter torsk. TAC:erna för flertalet av  de arter som fiskas i kombination med torsk såsom kolja, gråsej, vitling och rödspotta, är dock oförändrade eller har ökat.</w:t>
      </w:r>
    </w:p>
    <w:p w:rsidR="003242B4" w:rsidRPr="00272411" w:rsidRDefault="003242B4">
      <w:pPr>
        <w:pStyle w:val="RKnormal"/>
      </w:pPr>
    </w:p>
    <w:p w:rsidR="003242B4" w:rsidRPr="00272411" w:rsidRDefault="003242B4">
      <w:pPr>
        <w:pStyle w:val="RKnormal"/>
      </w:pPr>
      <w:r w:rsidRPr="00272411">
        <w:t>Sverige har i detta samma</w:t>
      </w:r>
      <w:r w:rsidR="00260471" w:rsidRPr="00272411">
        <w:t xml:space="preserve">nhang tidigare uppnått att det </w:t>
      </w:r>
      <w:r w:rsidRPr="00272411">
        <w:t xml:space="preserve">mycket selektiva svenska redskapet för fiske efter havskräfta i förslaget får ett obegränsat antal dagar. För nästa år är det dessutom tillåtet att detta redskap kan medtagas tillsammans med ett annat reglerat redskap, d.v.s. ett undantag från den s.k. ”one net rule”. Detta torde ytterligare öka incitamentet till användandet av detta selektiva redskap. </w:t>
      </w:r>
    </w:p>
    <w:p w:rsidR="003242B4" w:rsidRPr="00272411" w:rsidRDefault="003242B4">
      <w:pPr>
        <w:pStyle w:val="RKnormal"/>
        <w:rPr>
          <w:i/>
          <w:iCs/>
        </w:rPr>
      </w:pPr>
    </w:p>
    <w:p w:rsidR="003242B4" w:rsidRPr="00272411" w:rsidRDefault="003242B4">
      <w:pPr>
        <w:pStyle w:val="RKnormal"/>
      </w:pPr>
      <w:r w:rsidRPr="00272411">
        <w:t xml:space="preserve">Konsultationer med Norge om den viktiga frågan om tillträde till norskt vatten och norska hamnar i fisket efter atlanto-skandisk sill kommer förhoppningsvis att avslutas före rådsmötet. </w:t>
      </w:r>
    </w:p>
    <w:p w:rsidR="003242B4" w:rsidRPr="00272411" w:rsidRDefault="003242B4">
      <w:pPr>
        <w:pStyle w:val="RKnormal"/>
      </w:pPr>
    </w:p>
    <w:p w:rsidR="003242B4" w:rsidRPr="00272411" w:rsidRDefault="003242B4">
      <w:pPr>
        <w:pStyle w:val="RKnormal"/>
      </w:pPr>
      <w:r w:rsidRPr="00272411">
        <w:t xml:space="preserve">I kommissionens förslag till fiskeansträngning, s.k. effortreglering, i form av dagar till sjöss för olika redskapskategorier för 2006 finns det ännu inte några siffror angivna för de nedskärningar som kommissionen önskar införa.  </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rPr>
          <w:bCs/>
        </w:rPr>
      </w:pPr>
      <w:r w:rsidRPr="00272411">
        <w:t>Avgörande för Sveriges ställningstagande är att utgångspunkten skall vara den biologiska rådgivningen och att fisket måste bli mer selektivt.</w:t>
      </w:r>
      <w:r w:rsidRPr="00272411">
        <w:rPr>
          <w:bCs/>
        </w:rPr>
        <w:t xml:space="preserve"> Flera för Sverige intressanta kvoter har redan i princip beslutats genom avtalet med Norge och överenskommelsen om Östersjön. Det är främst d</w:t>
      </w:r>
      <w:r w:rsidRPr="00272411">
        <w:t>e kompletterande effortbegränsningarna i form av dagar till sjöss för olika redskapskategorier som kvarstår att förhandla om internt inom EU samt de kvoter som EU beslutar om autonomt. För svenskt vidkommande är det viktigt att det finns en balans mellan fiskeansträngning och kvoter. Annars blir konsekvenserna endast ett ökat utkast av beståndsmässigt utsatta fiskslag. Detta gäller t.ex. för torsken i Kattegatt eftersom systemet att reglera fisket i området, enbart genom effortbegränsningar, inte kommer att träda ikraft förrän tidigast den 1 januari 2008.</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har inte varit föremål för samråd i EU-nämnden tidigare.</w:t>
      </w:r>
    </w:p>
    <w:p w:rsidR="003242B4" w:rsidRPr="00272411" w:rsidRDefault="003242B4">
      <w:pPr>
        <w:pStyle w:val="RKnormal"/>
      </w:pPr>
    </w:p>
    <w:p w:rsidR="003242B4" w:rsidRPr="00272411" w:rsidRDefault="003242B4">
      <w:pPr>
        <w:pStyle w:val="RKrubrik"/>
      </w:pPr>
      <w:r w:rsidRPr="00272411">
        <w:t>11. Förslag till rådets beslut om ingående av ett avtal genom skriftväxling om provisorisk tillämpning av partnerskapsavtalet om fiske mellan Europeiska gemenskapen, å ena sidan, och Danmarks regering och Grönlands lokala regering, å andra sidan</w:t>
      </w:r>
    </w:p>
    <w:p w:rsidR="003242B4" w:rsidRPr="00272411" w:rsidRDefault="003242B4">
      <w:pPr>
        <w:pStyle w:val="RKnormal"/>
        <w:rPr>
          <w:i/>
          <w:iCs/>
        </w:rPr>
      </w:pPr>
      <w:r w:rsidRPr="00272411">
        <w:t xml:space="preserve">- </w:t>
      </w:r>
      <w:r w:rsidRPr="00272411">
        <w:rPr>
          <w:b/>
          <w:bCs/>
          <w:i/>
          <w:iCs/>
        </w:rPr>
        <w:t xml:space="preserve">Antagande  (möjlig A-punkt) </w:t>
      </w:r>
    </w:p>
    <w:p w:rsidR="003242B4" w:rsidRPr="00272411" w:rsidRDefault="003242B4">
      <w:pPr>
        <w:pStyle w:val="RKnormal"/>
        <w:rPr>
          <w:i/>
          <w:iCs/>
        </w:rPr>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15966/06 PECHE 369 GROENLAND 7 + COR 1</w:t>
      </w:r>
    </w:p>
    <w:p w:rsidR="003242B4" w:rsidRPr="00272411" w:rsidRDefault="003242B4">
      <w:pPr>
        <w:pStyle w:val="RKnormal"/>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300(2) första stycket första meningen i EG-fördraget. Beslutet fattas med kvalificerad majoritet på förslag av kommissionen.</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rPr>
          <w:iCs/>
        </w:rPr>
      </w:pPr>
      <w:r w:rsidRPr="00272411">
        <w:rPr>
          <w:iCs/>
        </w:rPr>
        <w:t>Ett ramavtal från 1985 om köp av fiskerättigheter mellan Europeiska gemenskapen (EG)och Grönland, som förlängts genom upprättande av protokoll, löper ut den 31 december 2006. Under de senaste två åren har förhandlingar förts om en fortsättning av samarbetet dels genom ett partnerskapsavtal på fiskområdet främst innehållande köp av fiskerättigheter för närmare 16 miljoner euro per år, dels ett samarbetsavtal på övriga områden uppgående till 25 miljoner euro per år. Det sammanlagda beloppet i det nya avtalet motsvarar den summa som Grönland hittills har fått för ungefärligen samma fiskerättigheter. Denna summa var förutsättningen för att EU skulle fortsätta få tillgång till de grönländska fiskbestånden.</w:t>
      </w:r>
    </w:p>
    <w:p w:rsidR="003242B4" w:rsidRPr="00272411" w:rsidRDefault="003242B4">
      <w:pPr>
        <w:pStyle w:val="RKnormal"/>
        <w:rPr>
          <w:iCs/>
        </w:rPr>
      </w:pPr>
    </w:p>
    <w:p w:rsidR="003242B4" w:rsidRPr="00272411" w:rsidRDefault="003242B4">
      <w:pPr>
        <w:pStyle w:val="RKnormal"/>
        <w:rPr>
          <w:iCs/>
        </w:rPr>
      </w:pPr>
      <w:r w:rsidRPr="00272411">
        <w:rPr>
          <w:iCs/>
        </w:rPr>
        <w:t xml:space="preserve">Partnerskapsavtalet, som har bättre förutsättningar för hållbart resursutnyttjande än tidigare avtal, undertecknades i juni 2006. Enligt avtalets annex kan det tillämpas provisoriskt från den 1 januari 2007 i avvaktan på att det skall träda ikraft. </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Sverige noterar att förslaget innehåller förbättringar i två avseenden i jämförelse med nu gällande avtal: kostnaderna är mer anpassade till värdet av fiskerättigheterna och förutsättningarna för hållbar resursförvaltning har ökat. Sverige har inga invändningar mot avtalet.</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Frågan har inte varit föremål för samråd i EU-nämnden tidigare.</w:t>
      </w:r>
    </w:p>
    <w:p w:rsidR="003242B4" w:rsidRPr="00272411" w:rsidRDefault="003242B4">
      <w:pPr>
        <w:pStyle w:val="RKnormal"/>
        <w:rPr>
          <w:i/>
          <w:iCs/>
        </w:rPr>
      </w:pPr>
    </w:p>
    <w:p w:rsidR="003242B4" w:rsidRPr="00272411" w:rsidRDefault="003242B4">
      <w:pPr>
        <w:pStyle w:val="RKrubrik"/>
      </w:pPr>
      <w:r w:rsidRPr="00272411">
        <w:t>12. Förslag till rådets förordning om upprättande av en förvaltningsplan för fiske som utnyttjar bestånd av rödspätta och tunga i Nordsjön</w:t>
      </w:r>
    </w:p>
    <w:p w:rsidR="003242B4" w:rsidRPr="00272411" w:rsidRDefault="003242B4">
      <w:pPr>
        <w:pStyle w:val="RKnormal"/>
      </w:pPr>
      <w:r w:rsidRPr="00272411">
        <w:t xml:space="preserve">- </w:t>
      </w:r>
      <w:r w:rsidRPr="00272411">
        <w:rPr>
          <w:b/>
          <w:bCs/>
          <w:i/>
          <w:iCs/>
        </w:rPr>
        <w:t>Politisk överenskommelse</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5403/06 PECHE 14</w:t>
      </w:r>
    </w:p>
    <w:p w:rsidR="003242B4" w:rsidRPr="00272411" w:rsidRDefault="003242B4">
      <w:pPr>
        <w:pStyle w:val="RKnormal"/>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37 i EG-fördraget. Beslut fattas av rådet med kvalificerad major</w:t>
      </w:r>
      <w:r w:rsidRPr="00272411">
        <w:t>i</w:t>
      </w:r>
      <w:r w:rsidRPr="00272411">
        <w:t>tet efter att ha hört Europaparlamentet.</w:t>
      </w:r>
    </w:p>
    <w:p w:rsidR="003242B4" w:rsidRPr="00272411" w:rsidRDefault="003242B4">
      <w:pPr>
        <w:pStyle w:val="RKnormal"/>
        <w:rPr>
          <w:i/>
          <w:iCs/>
        </w:rPr>
      </w:pPr>
    </w:p>
    <w:p w:rsidR="003242B4" w:rsidRPr="00272411" w:rsidRDefault="003242B4">
      <w:pPr>
        <w:pStyle w:val="RKnormal"/>
        <w:rPr>
          <w:i/>
          <w:iCs/>
        </w:rPr>
      </w:pPr>
      <w:r w:rsidRPr="00272411">
        <w:rPr>
          <w:i/>
          <w:iCs/>
        </w:rPr>
        <w:t>Bakgrund</w:t>
      </w:r>
    </w:p>
    <w:p w:rsidR="003242B4" w:rsidRPr="00272411" w:rsidRDefault="003242B4">
      <w:pPr>
        <w:pStyle w:val="RKnormal"/>
        <w:rPr>
          <w:iCs/>
        </w:rPr>
      </w:pPr>
      <w:r w:rsidRPr="00272411">
        <w:rPr>
          <w:iCs/>
        </w:rPr>
        <w:t>Rödspätta och tunga har i många årtionden fiskats främst med bomtrål i de södra delarna av Nordsjön. Sedan mitten av 1950-talet har fiskedödligheten hos rödspätta mer än fördubblats. Samtidigt har beståndet av rödspätta minskat och landningarna har, efter en kortvarig ökning i mitten av 1980-talet, minskat till samma nivå som i slutet av 1960-talet. Fisket efter tunga har under samma period utvecklats på liknande sätt.</w:t>
      </w:r>
    </w:p>
    <w:p w:rsidR="003242B4" w:rsidRPr="00272411" w:rsidRDefault="003242B4">
      <w:pPr>
        <w:pStyle w:val="RKnormal"/>
        <w:rPr>
          <w:iCs/>
        </w:rPr>
      </w:pPr>
    </w:p>
    <w:p w:rsidR="003242B4" w:rsidRPr="00272411" w:rsidRDefault="003242B4">
      <w:pPr>
        <w:pStyle w:val="RKnormal"/>
        <w:rPr>
          <w:iCs/>
        </w:rPr>
      </w:pPr>
      <w:r w:rsidRPr="00272411">
        <w:rPr>
          <w:iCs/>
        </w:rPr>
        <w:t>Syftet med förslaget är att förvalta fisket efter rödspätta och tunga i Nordsjön så att dessa bestånd åter når säkra biologiska gränser och i framtiden utnyttjas på ett hållbart sätt. Förslagets centrala element avser dels fiskekvoter med begränsningar av dess årliga variationer med maximalt 15 %, dels  reglering av fiskeansträngningen.</w:t>
      </w:r>
    </w:p>
    <w:p w:rsidR="003242B4" w:rsidRPr="00272411" w:rsidRDefault="003242B4">
      <w:pPr>
        <w:pStyle w:val="RKnormal"/>
        <w:rPr>
          <w:iCs/>
        </w:rPr>
      </w:pPr>
    </w:p>
    <w:p w:rsidR="003242B4" w:rsidRPr="00272411" w:rsidRDefault="003242B4">
      <w:pPr>
        <w:pStyle w:val="RKnormal"/>
        <w:rPr>
          <w:iCs/>
        </w:rPr>
      </w:pPr>
      <w:r w:rsidRPr="00272411">
        <w:rPr>
          <w:iCs/>
        </w:rPr>
        <w:t xml:space="preserve">Förslaget har behandlats vid ett flertal tillfällen under innevarande år utan att överenskommelse nåtts. </w:t>
      </w:r>
      <w:r w:rsidR="008E04A2" w:rsidRPr="00272411">
        <w:rPr>
          <w:iCs/>
        </w:rPr>
        <w:t xml:space="preserve">I Sverige </w:t>
      </w:r>
      <w:r w:rsidRPr="00272411">
        <w:rPr>
          <w:iCs/>
        </w:rPr>
        <w:t>bedrivs inget riktat fiske på de aktuella arterna.</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rPr>
          <w:iCs/>
        </w:rPr>
      </w:pPr>
      <w:r w:rsidRPr="00272411">
        <w:rPr>
          <w:iCs/>
        </w:rPr>
        <w:t>Sverige anser att förvaltningsplanen är ett välkommet tillskott till den gemensamma fiskeripolitikens förvaltningsplaner. Den synes väl anpassad efter beståndssituationen och har goda förutsättningar för att uppnå målet om hållbar förvaltning.</w:t>
      </w:r>
    </w:p>
    <w:p w:rsidR="003242B4" w:rsidRPr="00272411" w:rsidRDefault="003242B4">
      <w:pPr>
        <w:pStyle w:val="RKnormal"/>
        <w:rPr>
          <w:i/>
          <w:iCs/>
        </w:rPr>
      </w:pPr>
    </w:p>
    <w:p w:rsidR="003242B4" w:rsidRPr="00272411" w:rsidRDefault="003242B4">
      <w:pPr>
        <w:pStyle w:val="Par-number1"/>
        <w:numPr>
          <w:ilvl w:val="0"/>
          <w:numId w:val="0"/>
        </w:numPr>
        <w:rPr>
          <w:b w:val="0"/>
          <w:bCs/>
          <w:i/>
          <w:iCs/>
          <w:lang w:val="sv-SE"/>
        </w:rPr>
      </w:pPr>
      <w:r w:rsidRPr="00272411">
        <w:rPr>
          <w:b w:val="0"/>
          <w:bCs/>
          <w:i/>
          <w:iCs/>
          <w:lang w:val="sv-SE"/>
        </w:rPr>
        <w:t>EU-nämnden</w:t>
      </w:r>
    </w:p>
    <w:p w:rsidR="003242B4" w:rsidRPr="00272411" w:rsidRDefault="003242B4">
      <w:pPr>
        <w:pStyle w:val="RKnormal"/>
      </w:pPr>
      <w:r w:rsidRPr="00272411">
        <w:t xml:space="preserve">Frågan har varit föremål för samråd i EU-nämnden </w:t>
      </w:r>
      <w:r w:rsidR="00185240" w:rsidRPr="00272411">
        <w:t>inför jordbruks- och fiskerådet den 25 april 2006</w:t>
      </w:r>
      <w:r w:rsidRPr="00272411">
        <w:t>.</w:t>
      </w:r>
    </w:p>
    <w:p w:rsidR="003242B4" w:rsidRPr="00272411" w:rsidRDefault="003242B4">
      <w:pPr>
        <w:pStyle w:val="RKnormal"/>
      </w:pPr>
    </w:p>
    <w:p w:rsidR="003242B4" w:rsidRPr="00272411" w:rsidRDefault="003242B4">
      <w:pPr>
        <w:pStyle w:val="RKrubrik"/>
      </w:pPr>
      <w:r w:rsidRPr="00272411">
        <w:t>13. Övriga frågor</w:t>
      </w:r>
    </w:p>
    <w:p w:rsidR="003242B4" w:rsidRPr="00272411" w:rsidRDefault="003242B4">
      <w:pPr>
        <w:pStyle w:val="RKrubrik"/>
        <w:rPr>
          <w:color w:val="000000"/>
          <w:szCs w:val="24"/>
        </w:rPr>
      </w:pPr>
      <w:r w:rsidRPr="00272411">
        <w:t>a) (ev.) Förslag till en rådsförordning om en gemensam marknadsordning</w:t>
      </w:r>
    </w:p>
    <w:p w:rsidR="003242B4" w:rsidRPr="00272411" w:rsidRDefault="003242B4">
      <w:pPr>
        <w:spacing w:line="240" w:lineRule="auto"/>
        <w:rPr>
          <w:b/>
          <w:bCs/>
          <w:i/>
          <w:iCs/>
        </w:rPr>
      </w:pPr>
      <w:r w:rsidRPr="00272411">
        <w:rPr>
          <w:b/>
          <w:bCs/>
          <w:i/>
          <w:iCs/>
        </w:rPr>
        <w:t xml:space="preserve">- Presentation från kommissionen  </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rPr>
          <w:i/>
          <w:iCs/>
        </w:rPr>
      </w:pPr>
      <w:r w:rsidRPr="00272411">
        <w:rPr>
          <w:i/>
          <w:iCs/>
        </w:rPr>
        <w:t>-</w:t>
      </w:r>
    </w:p>
    <w:p w:rsidR="003242B4" w:rsidRPr="00272411" w:rsidRDefault="003242B4">
      <w:pPr>
        <w:pStyle w:val="RKnormal"/>
        <w:rPr>
          <w:b/>
          <w:bCs/>
          <w:i/>
          <w:iCs/>
        </w:rPr>
      </w:pPr>
      <w:r w:rsidRPr="00272411">
        <w:rPr>
          <w:i/>
          <w:iCs/>
        </w:rPr>
        <w:t>Rättslig grund</w:t>
      </w:r>
    </w:p>
    <w:p w:rsidR="003242B4" w:rsidRPr="00272411" w:rsidRDefault="003242B4">
      <w:pPr>
        <w:pStyle w:val="RKnormal"/>
        <w:rPr>
          <w:b/>
          <w:bCs/>
          <w:i/>
          <w:iCs/>
        </w:rPr>
      </w:pPr>
      <w:r w:rsidRPr="00272411">
        <w:rPr>
          <w:b/>
          <w:bCs/>
          <w:i/>
          <w:iCs/>
        </w:rPr>
        <w:t>-</w:t>
      </w:r>
    </w:p>
    <w:p w:rsidR="003242B4" w:rsidRPr="00272411" w:rsidRDefault="003242B4">
      <w:pPr>
        <w:pStyle w:val="RKnormal"/>
        <w:rPr>
          <w:i/>
          <w:iCs/>
        </w:rPr>
      </w:pPr>
      <w:r w:rsidRPr="00272411">
        <w:rPr>
          <w:i/>
          <w:iCs/>
        </w:rPr>
        <w:t>Bakgrund</w:t>
      </w:r>
    </w:p>
    <w:p w:rsidR="003242B4" w:rsidRPr="00272411" w:rsidRDefault="003242B4">
      <w:pPr>
        <w:pStyle w:val="RKnormal"/>
      </w:pPr>
      <w:r w:rsidRPr="00272411">
        <w:t>Kommissionen presenterade i oktober 2005 ett meddelande om förenklingar av den gemensamma jordbrukspolitiken. Förslaget om en samlad marknadsordning är en av grundstenarna i det arbetet. Kommissionen avser att harmonisera regelverken inom områdena intervention, privat lagring, importkvoter, skyddsåtgärder, exportbidrag, statsstöd, regelverk gällande konkurrens samt inrapportering av data till kommissionen. Inriktningen för kommissionens arbete är att största delen av den gemensamma jordbrukspolitiken ska styras av endast fyra rådsförordningar. Resultatet bedöms bli ett mindre antal rättsakter, harmoniserade och strömlinjeformade mekanismer och åtgärder samt ökad trans</w:t>
      </w:r>
      <w:r w:rsidRPr="00272411">
        <w:softHyphen/>
        <w:t>parens och tillgänglighet för jordbrukare, andra ekonomiska aktörer och de nationella administrationerna. Förändringarna ska endast vara av teknisk karaktär och tanken är inte att införa nya åtgärder eller instrument.</w:t>
      </w:r>
    </w:p>
    <w:p w:rsidR="003242B4" w:rsidRPr="00272411" w:rsidRDefault="003242B4">
      <w:pPr>
        <w:pStyle w:val="RKnormal"/>
      </w:pPr>
    </w:p>
    <w:p w:rsidR="003242B4" w:rsidRPr="00272411" w:rsidRDefault="003242B4">
      <w:pPr>
        <w:pStyle w:val="RKnormal"/>
      </w:pPr>
      <w:r w:rsidRPr="00272411">
        <w:t>Marknadsordningarna för vin, frukt och grönt och bananer som just nu är föremål för reformer kommer inte att inkluderas i förslaget om en samlad marknadsordning i det första steget.</w:t>
      </w:r>
    </w:p>
    <w:p w:rsidR="003242B4" w:rsidRPr="00272411" w:rsidRDefault="003242B4">
      <w:pPr>
        <w:pStyle w:val="RKnormal"/>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Frågan om förenklingar av lagstiftningen och administrationen är prioriterad ur svensk synvinkel och Sverige stödjer kommissionens arbete med detta. Sverige kan inte ta ställning till förslaget om en samlad marknadsordning innan en djupare analys av förslaget har gjorts.</w:t>
      </w:r>
    </w:p>
    <w:p w:rsidR="003242B4" w:rsidRPr="00272411" w:rsidRDefault="003242B4">
      <w:pPr>
        <w:pStyle w:val="RKnormal"/>
      </w:pPr>
    </w:p>
    <w:p w:rsidR="003242B4" w:rsidRPr="00272411" w:rsidRDefault="003242B4">
      <w:pPr>
        <w:pStyle w:val="RKnormal"/>
      </w:pPr>
      <w:r w:rsidRPr="00272411">
        <w:rPr>
          <w:i/>
          <w:iCs/>
        </w:rPr>
        <w:t>EU-nämnden</w:t>
      </w:r>
    </w:p>
    <w:p w:rsidR="003242B4" w:rsidRPr="00272411" w:rsidRDefault="003242B4">
      <w:pPr>
        <w:pStyle w:val="RKnormal"/>
      </w:pPr>
      <w:r w:rsidRPr="00272411">
        <w:t>Frågan har varit föremål för samråd i EU-nämnden i december 2005.</w:t>
      </w:r>
    </w:p>
    <w:p w:rsidR="003242B4" w:rsidRPr="00272411" w:rsidRDefault="003242B4">
      <w:pPr>
        <w:pStyle w:val="RKnormal"/>
      </w:pPr>
    </w:p>
    <w:p w:rsidR="003242B4" w:rsidRPr="00272411" w:rsidRDefault="003242B4">
      <w:pPr>
        <w:pStyle w:val="RKrubrik"/>
      </w:pPr>
      <w:r w:rsidRPr="00272411">
        <w:t>b) Växtskyddsmedel</w:t>
      </w:r>
    </w:p>
    <w:p w:rsidR="003242B4" w:rsidRPr="00272411" w:rsidRDefault="003242B4">
      <w:pPr>
        <w:pStyle w:val="RKrubrik"/>
        <w:tabs>
          <w:tab w:val="clear" w:pos="1134"/>
          <w:tab w:val="left" w:pos="567"/>
        </w:tabs>
        <w:spacing w:before="120"/>
      </w:pPr>
      <w:r w:rsidRPr="00272411">
        <w:t>i) Växtskyddsmedel på marknaden</w:t>
      </w:r>
    </w:p>
    <w:p w:rsidR="003242B4" w:rsidRPr="00272411" w:rsidRDefault="003242B4">
      <w:pPr>
        <w:pStyle w:val="RKnormal"/>
        <w:rPr>
          <w:b/>
          <w:bCs/>
          <w:i/>
          <w:iCs/>
        </w:rPr>
      </w:pPr>
      <w:r w:rsidRPr="00272411">
        <w:rPr>
          <w:b/>
          <w:bCs/>
          <w:i/>
          <w:iCs/>
        </w:rPr>
        <w:t>- Lägesrapport (offentligt överläggning)</w:t>
      </w:r>
    </w:p>
    <w:p w:rsidR="003242B4" w:rsidRPr="00272411" w:rsidRDefault="003242B4">
      <w:pPr>
        <w:pStyle w:val="RKnormal"/>
        <w:rPr>
          <w:b/>
          <w:bCs/>
          <w:i/>
          <w:iCs/>
        </w:rPr>
      </w:pPr>
    </w:p>
    <w:p w:rsidR="003242B4" w:rsidRPr="00272411" w:rsidRDefault="003242B4">
      <w:pPr>
        <w:pStyle w:val="RKnormal"/>
      </w:pPr>
      <w:r w:rsidRPr="00272411">
        <w:rPr>
          <w:i/>
          <w:iCs/>
        </w:rPr>
        <w:t>Dokumentbeteckning</w:t>
      </w:r>
    </w:p>
    <w:p w:rsidR="003242B4" w:rsidRPr="00272411" w:rsidRDefault="003242B4">
      <w:pPr>
        <w:pStyle w:val="RKnormal"/>
      </w:pPr>
      <w:r w:rsidRPr="00272411">
        <w:t>-</w:t>
      </w:r>
    </w:p>
    <w:p w:rsidR="003242B4" w:rsidRPr="00272411" w:rsidRDefault="003242B4">
      <w:pPr>
        <w:pStyle w:val="RKnormal"/>
      </w:pPr>
    </w:p>
    <w:p w:rsidR="003242B4" w:rsidRPr="00272411" w:rsidRDefault="003242B4">
      <w:pPr>
        <w:pStyle w:val="RKnormal"/>
        <w:rPr>
          <w:i/>
          <w:iCs/>
        </w:rPr>
      </w:pPr>
      <w:r w:rsidRPr="00272411">
        <w:rPr>
          <w:i/>
          <w:iCs/>
        </w:rPr>
        <w:t>Rättslig grund</w:t>
      </w:r>
    </w:p>
    <w:p w:rsidR="003242B4" w:rsidRPr="00272411" w:rsidRDefault="003242B4">
      <w:pPr>
        <w:pStyle w:val="RKnormal"/>
      </w:pPr>
      <w:r w:rsidRPr="00272411">
        <w:t>Artikel 37.2 och artikel 152.4 b i EG-fördraget. Beslut fattas av rådet med kvalificerad majoritet efter medbeslutandeförfarande med Europaparlamentet enligt artikel 251.</w:t>
      </w:r>
    </w:p>
    <w:p w:rsidR="003242B4" w:rsidRPr="00272411" w:rsidRDefault="003242B4">
      <w:pPr>
        <w:pStyle w:val="RKnormal"/>
      </w:pPr>
    </w:p>
    <w:p w:rsidR="003242B4" w:rsidRPr="00272411" w:rsidRDefault="003242B4">
      <w:pPr>
        <w:pStyle w:val="RKnormal"/>
        <w:rPr>
          <w:bCs/>
          <w:i/>
          <w:iCs/>
        </w:rPr>
      </w:pPr>
      <w:r w:rsidRPr="00272411">
        <w:rPr>
          <w:bCs/>
          <w:i/>
          <w:iCs/>
        </w:rPr>
        <w:t xml:space="preserve">Bakgrund </w:t>
      </w:r>
    </w:p>
    <w:p w:rsidR="003242B4" w:rsidRPr="00272411" w:rsidRDefault="003242B4">
      <w:pPr>
        <w:pStyle w:val="RKnormal"/>
      </w:pPr>
      <w:r w:rsidRPr="00272411">
        <w:t>Det nuvarande växtskyddsmedelsdirektivet (91/414/EEG) reglerar förfarandet för godkännande av växtskyddsmedel. Kommissionen lade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w:t>
      </w:r>
    </w:p>
    <w:p w:rsidR="003242B4" w:rsidRPr="00272411" w:rsidRDefault="003242B4">
      <w:pPr>
        <w:pStyle w:val="RKnormal"/>
      </w:pPr>
    </w:p>
    <w:p w:rsidR="003242B4" w:rsidRPr="00272411" w:rsidRDefault="003242B4">
      <w:pPr>
        <w:pStyle w:val="RKnormal"/>
      </w:pPr>
      <w:r w:rsidRPr="00272411">
        <w:t xml:space="preserve">Förslaget till förordning syftar bland annat till att öka skyddsnivån för människors hälsa och miljön. För att uppnå detta föreslås striktare miljö- och hälsokriterier för godkännande av aktiva substanser i växtskyddsmedel. Dessutom finns regler om substitution av växtskyddsmedel när säkrare medel finns. Förslaget syftar även till en ökad harmonisering av vilka medel som ska godkännas inom EU. Det utrymme som idag finns för nationella bedömningar föreslås minska genom att godkännanden skall erkännas av alla länder inom en zon, där EU totalt indelas i tre zoner. </w:t>
      </w:r>
    </w:p>
    <w:p w:rsidR="003242B4" w:rsidRPr="00272411" w:rsidRDefault="003242B4"/>
    <w:p w:rsidR="003242B4" w:rsidRPr="00272411" w:rsidRDefault="003242B4">
      <w:pPr>
        <w:pStyle w:val="RKnormal"/>
        <w:rPr>
          <w:bCs/>
          <w:i/>
          <w:iCs/>
        </w:rPr>
      </w:pPr>
      <w:r w:rsidRPr="00272411">
        <w:rPr>
          <w:bCs/>
          <w:i/>
          <w:iCs/>
        </w:rPr>
        <w:t>Förslag till svensk ståndpunkt</w:t>
      </w:r>
    </w:p>
    <w:p w:rsidR="003242B4" w:rsidRPr="00272411" w:rsidRDefault="003242B4">
      <w:pPr>
        <w:pStyle w:val="RKnormal"/>
      </w:pPr>
      <w:r w:rsidRPr="00272411">
        <w:t>Sverige välkomnar kommissionens förslag till revidering av regelverket och ser särskilt positivt på att skyddet för miljö och hälsa har stärkts. Sverige har under flera år verkat för att regelverket skall revideras, särskilt i syfte att det skall införas strikta kriterier för godkännande av verksamma ämnen i växtskyddsmedel samt möjlighet till substitution av farliga växtskyddsmedel</w:t>
      </w:r>
    </w:p>
    <w:p w:rsidR="003242B4" w:rsidRPr="00272411" w:rsidRDefault="003242B4">
      <w:pPr>
        <w:pStyle w:val="RKnormal"/>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 xml:space="preserve">Frågan har varit föremål för samråd i EU-nämnden inför jordbruks- och fiskerådet den 18 september 2006. </w:t>
      </w:r>
    </w:p>
    <w:p w:rsidR="003242B4" w:rsidRPr="00272411" w:rsidRDefault="003242B4">
      <w:pPr>
        <w:pStyle w:val="RKnormal"/>
      </w:pPr>
    </w:p>
    <w:p w:rsidR="003242B4" w:rsidRPr="00272411" w:rsidRDefault="003242B4">
      <w:pPr>
        <w:pStyle w:val="RKrubrik"/>
      </w:pPr>
      <w:r w:rsidRPr="00272411">
        <w:t>ii) Temainriktad strategi för hållbar användning av bekämpningsmedel</w:t>
      </w:r>
    </w:p>
    <w:p w:rsidR="003242B4" w:rsidRPr="00272411" w:rsidRDefault="003242B4">
      <w:pPr>
        <w:pStyle w:val="RKnormal"/>
        <w:rPr>
          <w:b/>
          <w:bCs/>
          <w:i/>
          <w:iCs/>
        </w:rPr>
      </w:pPr>
      <w:r w:rsidRPr="00272411">
        <w:rPr>
          <w:b/>
          <w:bCs/>
          <w:i/>
          <w:iCs/>
        </w:rPr>
        <w:t>- Information från Ordförandeskapet (offentligt överläggning)</w:t>
      </w:r>
    </w:p>
    <w:p w:rsidR="003242B4" w:rsidRPr="00272411" w:rsidRDefault="003242B4">
      <w:pPr>
        <w:pStyle w:val="RKnormal"/>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w:t>
      </w:r>
    </w:p>
    <w:p w:rsidR="003242B4" w:rsidRPr="00272411" w:rsidRDefault="003242B4">
      <w:pPr>
        <w:pStyle w:val="RKnormal"/>
        <w:rPr>
          <w:i/>
          <w:iCs/>
        </w:rPr>
      </w:pPr>
    </w:p>
    <w:p w:rsidR="003242B4" w:rsidRPr="00272411" w:rsidRDefault="003242B4">
      <w:pPr>
        <w:pStyle w:val="RKnormal"/>
        <w:rPr>
          <w:i/>
        </w:rPr>
      </w:pPr>
      <w:r w:rsidRPr="00272411">
        <w:rPr>
          <w:i/>
          <w:iCs/>
        </w:rPr>
        <w:t>Rättslig grund</w:t>
      </w:r>
    </w:p>
    <w:p w:rsidR="003242B4" w:rsidRPr="00272411" w:rsidRDefault="003242B4">
      <w:pPr>
        <w:pStyle w:val="RKnormal"/>
      </w:pPr>
      <w:r w:rsidRPr="00272411">
        <w:rPr>
          <w:i/>
        </w:rPr>
        <w:t>I. Strategi:</w:t>
      </w:r>
      <w:r w:rsidRPr="00272411">
        <w:t xml:space="preserve"> 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enlighet med förfarandet i artikel 251, dvs. beslut fattas av rådet med kvalificerad majoritet efter medbeslutandeförfarande med Europaparlamentet.</w:t>
      </w:r>
    </w:p>
    <w:p w:rsidR="003242B4" w:rsidRPr="00272411" w:rsidRDefault="003242B4">
      <w:pPr>
        <w:pStyle w:val="RKnormal"/>
      </w:pPr>
    </w:p>
    <w:p w:rsidR="003242B4" w:rsidRPr="00272411" w:rsidRDefault="003242B4">
      <w:pPr>
        <w:pStyle w:val="RKnormal"/>
      </w:pPr>
      <w:r w:rsidRPr="00272411">
        <w:rPr>
          <w:i/>
        </w:rPr>
        <w:t>II. Direktiv:</w:t>
      </w:r>
      <w:r w:rsidRPr="00272411">
        <w:t xml:space="preserve"> Artikel 175.1 i EG-fördraget. Beslut fattas av rådet med kvalificerad majoritet efter medbeslutandeförfarande med Europaparlamentet enligt artikel 251.</w:t>
      </w:r>
    </w:p>
    <w:p w:rsidR="003242B4" w:rsidRPr="00272411" w:rsidRDefault="003242B4">
      <w:pPr>
        <w:pStyle w:val="RKnormal"/>
      </w:pPr>
    </w:p>
    <w:p w:rsidR="003242B4" w:rsidRPr="00272411" w:rsidRDefault="003242B4">
      <w:pPr>
        <w:pStyle w:val="RKnormal"/>
        <w:rPr>
          <w:bCs/>
          <w:i/>
          <w:iCs/>
        </w:rPr>
      </w:pPr>
      <w:r w:rsidRPr="00272411">
        <w:rPr>
          <w:bCs/>
          <w:i/>
          <w:iCs/>
        </w:rPr>
        <w:t xml:space="preserve">Bakgrund </w:t>
      </w:r>
    </w:p>
    <w:p w:rsidR="003242B4" w:rsidRPr="00272411" w:rsidRDefault="003242B4">
      <w:pPr>
        <w:pStyle w:val="RKnormal"/>
      </w:pPr>
      <w:r w:rsidRPr="00272411">
        <w:t xml:space="preserve">Ett av målen i EU:s sjätte miljöhandlingsprogram är att minska påverkan av bekämpningsmedel på människors hälsa och miljön. För att uppnå detta mål har bl.a. en temainriktad strategi för hållbar användning av bekämpningsmedel utarbetats av kommissionen. Strategin ska komplettera lagstiftningen om godkännande av växtskyddsmedel. </w:t>
      </w:r>
    </w:p>
    <w:p w:rsidR="003242B4" w:rsidRPr="00272411" w:rsidRDefault="003242B4">
      <w:pPr>
        <w:pStyle w:val="RKnormal"/>
      </w:pPr>
    </w:p>
    <w:p w:rsidR="003242B4" w:rsidRPr="00272411" w:rsidRDefault="003242B4">
      <w:pPr>
        <w:pStyle w:val="RKnormal"/>
      </w:pPr>
      <w:r w:rsidRPr="00272411">
        <w:t xml:space="preserve">Kommissionen lämnade 2002 ett förslag till temastrategi ”Mot en hållbar användning av bekämpningsmedel” som ett led i samrådsprocessen med berörda parter som medlemsstater, näring, industri och myndigheter. Strategin har behandlats av EU:s institutioner varefter kommissionen i juli 2006 lämnat ett slutligt förslag till strategi i form av ett meddelande samt ett tillhörande kompletterande direktiv för gemenskapsåtgärder. </w:t>
      </w:r>
    </w:p>
    <w:p w:rsidR="003242B4" w:rsidRPr="00272411" w:rsidRDefault="003242B4">
      <w:pPr>
        <w:pStyle w:val="RKnormal"/>
      </w:pPr>
    </w:p>
    <w:p w:rsidR="003242B4" w:rsidRPr="00272411" w:rsidRDefault="003242B4">
      <w:pPr>
        <w:pStyle w:val="RKnormal"/>
      </w:pPr>
      <w:r w:rsidRPr="00272411">
        <w:t>För mer information se faktapromemoria 2006/07:FPM3</w:t>
      </w:r>
    </w:p>
    <w:p w:rsidR="003242B4" w:rsidRPr="00272411" w:rsidRDefault="003242B4">
      <w:pPr>
        <w:pStyle w:val="RKnormal"/>
      </w:pPr>
    </w:p>
    <w:p w:rsidR="003242B4" w:rsidRPr="00272411" w:rsidRDefault="003242B4">
      <w:pPr>
        <w:pStyle w:val="RKnormal"/>
        <w:rPr>
          <w:bCs/>
          <w:i/>
          <w:iCs/>
        </w:rPr>
      </w:pPr>
      <w:r w:rsidRPr="00272411">
        <w:rPr>
          <w:bCs/>
          <w:i/>
          <w:iCs/>
        </w:rPr>
        <w:t>Förslag till svensk ståndpunkt</w:t>
      </w:r>
    </w:p>
    <w:p w:rsidR="003242B4" w:rsidRPr="00272411" w:rsidRDefault="003242B4">
      <w:pPr>
        <w:pStyle w:val="RKnormal"/>
      </w:pPr>
      <w:r w:rsidRPr="00272411">
        <w:t>Sverige välkomnar kommissionens förslag som ligger i linje med det svenska nationella handlingsprogrammet för minskade risker vid användning av bekämpningsmedel inom jordbruks- och trädgårdsnäring. Sverige anser att det är viktigt att få till stånd ett systematiskt riskminskningsarbete inom gemenskapen, bl.a. nationella handlingsprogram med kvantifierbara mål som följs upp och utvärderas i relation till insatta åtgärder.</w:t>
      </w:r>
    </w:p>
    <w:p w:rsidR="003242B4" w:rsidRPr="00272411" w:rsidRDefault="003242B4">
      <w:pPr>
        <w:pStyle w:val="RKnormal"/>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 xml:space="preserve">Frågan har varit föremål för samråd inför EU-nämnden inför jordbruks- och fiskerådet den 18 september 2006. </w:t>
      </w:r>
    </w:p>
    <w:p w:rsidR="003242B4" w:rsidRPr="00272411" w:rsidRDefault="003242B4">
      <w:pPr>
        <w:pStyle w:val="RKnormal"/>
        <w:rPr>
          <w:i/>
          <w:iCs/>
        </w:rPr>
      </w:pPr>
    </w:p>
    <w:p w:rsidR="003242B4" w:rsidRPr="00272411" w:rsidRDefault="003242B4">
      <w:pPr>
        <w:pStyle w:val="RKrubrik"/>
      </w:pPr>
      <w:r w:rsidRPr="00272411">
        <w:t>c) Fågelinfluensan (H5N1)</w:t>
      </w:r>
    </w:p>
    <w:p w:rsidR="003242B4" w:rsidRPr="00272411" w:rsidRDefault="003242B4">
      <w:pPr>
        <w:pStyle w:val="RKnormal"/>
        <w:rPr>
          <w:b/>
          <w:bCs/>
          <w:i/>
          <w:iCs/>
        </w:rPr>
      </w:pPr>
      <w:r w:rsidRPr="00272411">
        <w:rPr>
          <w:b/>
          <w:bCs/>
          <w:i/>
          <w:iCs/>
        </w:rPr>
        <w:t>- Uppdaterad information från kommissionen</w:t>
      </w:r>
    </w:p>
    <w:p w:rsidR="003242B4" w:rsidRPr="00272411" w:rsidRDefault="003242B4">
      <w:pPr>
        <w:pStyle w:val="RKnormal"/>
        <w:rPr>
          <w:b/>
          <w:bCs/>
          <w:i/>
          <w:iCs/>
        </w:rPr>
      </w:pPr>
    </w:p>
    <w:p w:rsidR="003242B4" w:rsidRPr="00272411" w:rsidRDefault="003242B4">
      <w:pPr>
        <w:pStyle w:val="RKnormal"/>
        <w:rPr>
          <w:i/>
          <w:iCs/>
        </w:rPr>
      </w:pPr>
      <w:r w:rsidRPr="00272411">
        <w:rPr>
          <w:i/>
          <w:iCs/>
        </w:rPr>
        <w:t>Dokumentbeteckning</w:t>
      </w:r>
    </w:p>
    <w:p w:rsidR="003242B4" w:rsidRPr="00272411" w:rsidRDefault="003242B4">
      <w:pPr>
        <w:pStyle w:val="RKnormal"/>
      </w:pPr>
      <w:r w:rsidRPr="00272411">
        <w:t>-</w:t>
      </w:r>
    </w:p>
    <w:p w:rsidR="003242B4" w:rsidRPr="00272411" w:rsidRDefault="003242B4">
      <w:pPr>
        <w:pStyle w:val="RKnormal"/>
        <w:jc w:val="both"/>
        <w:rPr>
          <w:i/>
          <w:iCs/>
        </w:rPr>
      </w:pPr>
    </w:p>
    <w:p w:rsidR="003242B4" w:rsidRPr="00272411" w:rsidRDefault="003242B4">
      <w:pPr>
        <w:pStyle w:val="RKnormal"/>
        <w:rPr>
          <w:i/>
          <w:iCs/>
        </w:rPr>
      </w:pPr>
      <w:r w:rsidRPr="00272411">
        <w:rPr>
          <w:i/>
          <w:iCs/>
        </w:rPr>
        <w:t>Rättslig grund</w:t>
      </w:r>
    </w:p>
    <w:p w:rsidR="003242B4" w:rsidRPr="00272411" w:rsidRDefault="003242B4">
      <w:pPr>
        <w:pStyle w:val="RKnormal"/>
        <w:rPr>
          <w:b/>
          <w:bCs/>
          <w:i/>
          <w:iCs/>
        </w:rPr>
      </w:pPr>
      <w:r w:rsidRPr="00272411">
        <w:rPr>
          <w:b/>
          <w:bCs/>
          <w:i/>
          <w:iCs/>
        </w:rPr>
        <w:t>-</w:t>
      </w:r>
    </w:p>
    <w:p w:rsidR="003242B4" w:rsidRPr="00272411" w:rsidRDefault="003242B4">
      <w:pPr>
        <w:pStyle w:val="RKnormal"/>
        <w:rPr>
          <w:b/>
          <w:bCs/>
          <w:i/>
          <w:iCs/>
        </w:rPr>
      </w:pPr>
    </w:p>
    <w:p w:rsidR="003242B4" w:rsidRPr="00272411" w:rsidRDefault="003242B4">
      <w:pPr>
        <w:pStyle w:val="RKnormal"/>
        <w:rPr>
          <w:i/>
          <w:iCs/>
        </w:rPr>
      </w:pPr>
      <w:r w:rsidRPr="00272411">
        <w:rPr>
          <w:i/>
          <w:iCs/>
        </w:rPr>
        <w:t>Bakgrund</w:t>
      </w:r>
    </w:p>
    <w:p w:rsidR="003242B4" w:rsidRPr="00272411" w:rsidRDefault="003242B4">
      <w:pPr>
        <w:pStyle w:val="RKnormal"/>
      </w:pPr>
      <w:r w:rsidRPr="00272411">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258 människor insjuknat och 154 har avlidit till följd av H5N1-viruset (29 november). </w:t>
      </w:r>
    </w:p>
    <w:p w:rsidR="003242B4" w:rsidRPr="00272411" w:rsidRDefault="003242B4">
      <w:pPr>
        <w:pStyle w:val="RKnormal"/>
      </w:pPr>
    </w:p>
    <w:p w:rsidR="003242B4" w:rsidRPr="00272411" w:rsidRDefault="003242B4">
      <w:pPr>
        <w:pStyle w:val="RKnormal"/>
      </w:pPr>
      <w:r w:rsidRPr="00272411">
        <w:t xml:space="preserve">Under våren 2006 rapporterades fynd av vilda fåglar smittade med H5N1-virus i 14 av EU:s medlemsstater, samt utbrott hos tamfjäderfä i Frankrike, Sverige (ett hägn med vilda fåglar), Tyskland, Danmark och Ungern. Samtliga dessa utbrott har framgångsrikt bekämpats. Även i EU:s närområdet tycks situationen vara under kontroll. </w:t>
      </w:r>
    </w:p>
    <w:p w:rsidR="003242B4" w:rsidRPr="00272411" w:rsidRDefault="003242B4">
      <w:pPr>
        <w:pStyle w:val="RKnormal"/>
      </w:pPr>
    </w:p>
    <w:p w:rsidR="003242B4" w:rsidRPr="00272411" w:rsidRDefault="003242B4">
      <w:pPr>
        <w:pStyle w:val="RKnormal"/>
        <w:rPr>
          <w:i/>
          <w:iCs/>
        </w:rPr>
      </w:pPr>
      <w:r w:rsidRPr="00272411">
        <w:t xml:space="preserve">För att skydda tamfjäderfä har kommissionen beslutat att samtliga medlemsstater i riskområden skall vidta åtgärder för att förhindra att fjäderfä kommer i kontakt med vilda fåglar. Experter befarade att nya fynd av smittade vilda fåglar skulle göras under hösten 2006 i samband med fåglarnas höstflytt. Detta har dock inte skett. </w:t>
      </w:r>
    </w:p>
    <w:p w:rsidR="003242B4" w:rsidRPr="00272411" w:rsidRDefault="003242B4">
      <w:pPr>
        <w:pStyle w:val="RKnormal"/>
        <w:rPr>
          <w:i/>
          <w:iCs/>
        </w:rPr>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 xml:space="preserve">Sverige stöder de beslut som tagits av kommissionen. Sverige instämmer i att det är av allra största vikt att förhindra att tama fåglar smittas. </w:t>
      </w:r>
    </w:p>
    <w:p w:rsidR="003242B4" w:rsidRPr="00272411" w:rsidRDefault="003242B4">
      <w:pPr>
        <w:rPr>
          <w:i/>
          <w:iCs/>
        </w:rPr>
      </w:pPr>
    </w:p>
    <w:p w:rsidR="003242B4" w:rsidRPr="00272411" w:rsidRDefault="003242B4">
      <w:pPr>
        <w:pStyle w:val="RKnormal"/>
        <w:jc w:val="both"/>
        <w:rPr>
          <w:i/>
          <w:iCs/>
        </w:rPr>
      </w:pPr>
      <w:r w:rsidRPr="00272411">
        <w:rPr>
          <w:i/>
          <w:iCs/>
        </w:rPr>
        <w:t>EU-nämnden</w:t>
      </w:r>
    </w:p>
    <w:p w:rsidR="003242B4" w:rsidRPr="00272411" w:rsidRDefault="003242B4">
      <w:pPr>
        <w:pStyle w:val="RKnormal"/>
      </w:pPr>
      <w:r w:rsidRPr="00272411">
        <w:t>Frågan har varit föremål för samråd i EU-nämnden inför varje jordbruks- och fiskeråd sedan september 2005.</w:t>
      </w:r>
    </w:p>
    <w:p w:rsidR="003242B4" w:rsidRPr="00272411" w:rsidRDefault="003242B4">
      <w:pPr>
        <w:pStyle w:val="RKnormal"/>
      </w:pPr>
    </w:p>
    <w:p w:rsidR="003242B4" w:rsidRPr="00272411" w:rsidRDefault="003242B4">
      <w:pPr>
        <w:pStyle w:val="RKrubrik"/>
      </w:pPr>
      <w:r w:rsidRPr="00272411">
        <w:t xml:space="preserve">d) Förhandlingar på veterinär- och växtskyddsområdet mellan EG och Ryska </w:t>
      </w:r>
      <w:r w:rsidR="00C37858" w:rsidRPr="00272411">
        <w:t>f</w:t>
      </w:r>
      <w:r w:rsidRPr="00272411">
        <w:t>ederationen</w:t>
      </w:r>
    </w:p>
    <w:p w:rsidR="003242B4" w:rsidRPr="00272411" w:rsidRDefault="003242B4">
      <w:pPr>
        <w:pStyle w:val="RKnormal"/>
        <w:rPr>
          <w:b/>
          <w:i/>
          <w:iCs/>
        </w:rPr>
      </w:pPr>
      <w:r w:rsidRPr="00272411">
        <w:rPr>
          <w:b/>
          <w:i/>
          <w:iCs/>
        </w:rPr>
        <w:t>- Lägesrapport från kommissionen</w:t>
      </w:r>
    </w:p>
    <w:p w:rsidR="003242B4" w:rsidRPr="00272411" w:rsidRDefault="003242B4">
      <w:pPr>
        <w:pStyle w:val="RKnormal"/>
        <w:rPr>
          <w:b/>
          <w:bCs/>
          <w:i/>
          <w:iCs/>
        </w:rPr>
      </w:pPr>
    </w:p>
    <w:p w:rsidR="003242B4" w:rsidRPr="00272411" w:rsidRDefault="003242B4">
      <w:pPr>
        <w:pStyle w:val="RKnormal"/>
      </w:pPr>
      <w:r w:rsidRPr="00272411">
        <w:rPr>
          <w:i/>
          <w:iCs/>
        </w:rPr>
        <w:t>Dokumentbeteckning</w:t>
      </w:r>
    </w:p>
    <w:p w:rsidR="003242B4" w:rsidRPr="00272411" w:rsidRDefault="003242B4">
      <w:pPr>
        <w:pStyle w:val="RKnormal"/>
      </w:pPr>
      <w:r w:rsidRPr="00272411">
        <w:t>-</w:t>
      </w:r>
    </w:p>
    <w:p w:rsidR="003242B4" w:rsidRPr="00272411" w:rsidRDefault="003242B4">
      <w:pPr>
        <w:pStyle w:val="RKnormal"/>
        <w:jc w:val="both"/>
        <w:rPr>
          <w:i/>
          <w:iCs/>
        </w:rPr>
      </w:pPr>
    </w:p>
    <w:p w:rsidR="003242B4" w:rsidRPr="00272411" w:rsidRDefault="003242B4">
      <w:pPr>
        <w:pStyle w:val="RKnormal"/>
        <w:rPr>
          <w:i/>
          <w:iCs/>
        </w:rPr>
      </w:pPr>
      <w:r w:rsidRPr="00272411">
        <w:rPr>
          <w:i/>
          <w:iCs/>
        </w:rPr>
        <w:t>Rättslig grund</w:t>
      </w:r>
    </w:p>
    <w:p w:rsidR="003242B4" w:rsidRPr="00272411" w:rsidRDefault="003242B4">
      <w:pPr>
        <w:pStyle w:val="RKnormal"/>
        <w:rPr>
          <w:b/>
          <w:bCs/>
          <w:i/>
          <w:iCs/>
        </w:rPr>
      </w:pPr>
      <w:r w:rsidRPr="00272411">
        <w:rPr>
          <w:b/>
          <w:bCs/>
          <w:i/>
          <w:iCs/>
        </w:rPr>
        <w:t>-</w:t>
      </w:r>
    </w:p>
    <w:p w:rsidR="003242B4" w:rsidRPr="00272411" w:rsidRDefault="003242B4">
      <w:pPr>
        <w:pStyle w:val="RKnormal"/>
        <w:rPr>
          <w:b/>
          <w:bCs/>
          <w:i/>
          <w:iCs/>
        </w:rPr>
      </w:pPr>
    </w:p>
    <w:p w:rsidR="003242B4" w:rsidRPr="00272411" w:rsidRDefault="003242B4">
      <w:pPr>
        <w:pStyle w:val="RKnormal"/>
        <w:rPr>
          <w:i/>
          <w:iCs/>
        </w:rPr>
      </w:pPr>
      <w:r w:rsidRPr="00272411">
        <w:rPr>
          <w:i/>
          <w:iCs/>
        </w:rPr>
        <w:t>Bakgrund</w:t>
      </w:r>
    </w:p>
    <w:p w:rsidR="003242B4" w:rsidRPr="00272411" w:rsidRDefault="003242B4">
      <w:pPr>
        <w:pStyle w:val="RKnormal"/>
        <w:rPr>
          <w:u w:val="single"/>
        </w:rPr>
      </w:pPr>
      <w:r w:rsidRPr="00272411">
        <w:rPr>
          <w:u w:val="single"/>
        </w:rPr>
        <w:t>Veterinärområdet</w:t>
      </w:r>
    </w:p>
    <w:p w:rsidR="003242B4" w:rsidRPr="00272411" w:rsidRDefault="003242B4">
      <w:pPr>
        <w:pStyle w:val="RKnormal"/>
      </w:pPr>
      <w:r w:rsidRPr="00272411">
        <w:t>Arbetet med att få fram ett veterinärt avtal mellan EU och Ryska federationen har pågått sedan år 2003. Den 2 september 2004 undertecknades en överenskommelse (memorandum of understanding). Ett sådant memorandum är inte liktydigt med ett veterinärt avtal, som EU har med andra tredje länder som exempelvis USA. Ansvarsfördelning och kompetens är inte lika tydligt fastlagda i ett memorandum som i ett veterinärt avtal varför förhandlingarna mellan EU och Ryska federationen kan bli mer omfattande.</w:t>
      </w:r>
    </w:p>
    <w:p w:rsidR="003242B4" w:rsidRPr="00272411" w:rsidRDefault="003242B4">
      <w:pPr>
        <w:pStyle w:val="RKnormal"/>
      </w:pPr>
    </w:p>
    <w:p w:rsidR="003242B4" w:rsidRPr="00272411" w:rsidRDefault="003242B4">
      <w:pPr>
        <w:pStyle w:val="RKnormal"/>
      </w:pPr>
      <w:r w:rsidRPr="00272411">
        <w:t>Det pågår även ett arbete med att ta fram handelsintyg mellan EU och Ryska federationen.  Den 4 april 2006 undertecknades en överenskommelse om vilka regler som ska gälla vid regionalisering (indelning av länder i zoner där t.ex. vissa djursjukdomar inte finns) och transitering av produkter. Arton nya intyg för export till Ryska federationen börjar gälla fr.o.m. 1 januari 2007.</w:t>
      </w:r>
    </w:p>
    <w:p w:rsidR="003242B4" w:rsidRPr="00272411" w:rsidRDefault="003242B4">
      <w:pPr>
        <w:pStyle w:val="RKnormal"/>
      </w:pPr>
    </w:p>
    <w:p w:rsidR="003242B4" w:rsidRPr="00272411" w:rsidRDefault="003242B4">
      <w:pPr>
        <w:pStyle w:val="RKnormal"/>
      </w:pPr>
      <w:r w:rsidRPr="00272411">
        <w:t xml:space="preserve">Frågan om handel med Ryska federationen har under år 2006 blivit politiskt laddad för många medlemsstater i EU. För Polens del har frågan fått stora ekonomiska konsekvenser då Ryska federationen infört importstopp på allt polskt kött med motiveringen att detta inte skulle vara av tillräckligt god kvalité. Dessutom har Ryska federationen hotat med ett totalt exportstopp mot EU p.g.a. utvidgningen med Rumänien och Bulgarien. Ryska federationen säger sig inte lita på deras gränskontroll av livsmedel. För att tillmötesgå Ryska federationen antogs ett kommissionsbeslut den 20 november som reglerar hur livsmedel importerade till Rumänien och Bulgarien före den 1 januari 2007 ska hanteras. </w:t>
      </w:r>
    </w:p>
    <w:p w:rsidR="003242B4" w:rsidRPr="00272411" w:rsidRDefault="003242B4">
      <w:pPr>
        <w:pStyle w:val="RKnormal"/>
      </w:pPr>
    </w:p>
    <w:p w:rsidR="003242B4" w:rsidRPr="00272411" w:rsidRDefault="003242B4">
      <w:pPr>
        <w:pStyle w:val="RKnormal"/>
      </w:pPr>
      <w:r w:rsidRPr="00272411">
        <w:t xml:space="preserve">I samband med att det första fallet av BSE, galna kosjukan, inträffade i Sverige i mars i år införde Ryska </w:t>
      </w:r>
      <w:r w:rsidR="00C37858" w:rsidRPr="00272411">
        <w:t>f</w:t>
      </w:r>
      <w:r w:rsidRPr="00272411">
        <w:t xml:space="preserve">ederationen importstopp för svenskt nötkött. Förhandlingar pågår mellan Sverige och Ryska federationen. </w:t>
      </w:r>
    </w:p>
    <w:p w:rsidR="003242B4" w:rsidRPr="00272411" w:rsidRDefault="003242B4">
      <w:pPr>
        <w:pStyle w:val="RKnormal"/>
      </w:pPr>
    </w:p>
    <w:p w:rsidR="003242B4" w:rsidRPr="00272411" w:rsidRDefault="003242B4">
      <w:pPr>
        <w:pStyle w:val="RKnormal"/>
        <w:rPr>
          <w:u w:val="single"/>
        </w:rPr>
      </w:pPr>
      <w:r w:rsidRPr="00272411">
        <w:rPr>
          <w:u w:val="single"/>
        </w:rPr>
        <w:t>Växtskyddsområdet</w:t>
      </w:r>
    </w:p>
    <w:p w:rsidR="003242B4" w:rsidRPr="00272411" w:rsidRDefault="003242B4">
      <w:r w:rsidRPr="00272411">
        <w:t xml:space="preserve">EU och Ryska federationen har förhandlat under en rad år på växtskyddsområdet. Detta resulterade i en överenskommelse i mars 2005 (memorandum of understanding) som bl.a. klargjorde hur exportcertifikaten skulle vara utformade. Bakgrunden var att Ryska federationen hade stoppat import av växter och växtprodukter från några medlemsstater på grund av förfalskade exportcertifikat m.m. Ryska federationen har också framfört synpunkter på transithandeln och hur den fungerar inom ramen för den inre marknaden. </w:t>
      </w:r>
    </w:p>
    <w:p w:rsidR="003242B4" w:rsidRPr="00272411" w:rsidRDefault="003242B4"/>
    <w:p w:rsidR="003242B4" w:rsidRPr="00272411" w:rsidRDefault="003242B4">
      <w:r w:rsidRPr="00272411">
        <w:t xml:space="preserve">Inför fortsatta förhandlingar har en strategi godkänts i november 2006. Man börjar med transithandel som rör varor från tredje land och endast passerar någon av EU:s medlemsstater. Tiden har inte ansetts mogen att ta upp handel med varor som på något sätt cirkulerat inom den inre marknaden. Avsikten är att fullfölja diskussionerna om dessa tekniska frågor med Ryska federationen så fort som möjligt. </w:t>
      </w:r>
    </w:p>
    <w:p w:rsidR="003242B4" w:rsidRPr="00272411" w:rsidRDefault="003242B4"/>
    <w:p w:rsidR="003242B4" w:rsidRPr="00272411" w:rsidRDefault="003242B4">
      <w:r w:rsidRPr="00272411">
        <w:t xml:space="preserve">De problem som Polen har haft med Ryska federationen försvårar diskussionerna. Ryska federationen har infört importstopp och vill att alla växter och växtprodukter från Polen kontrolleras. Förhandlingar har förts mellan länderna för att lösa problemen. </w:t>
      </w:r>
    </w:p>
    <w:p w:rsidR="003242B4" w:rsidRPr="00272411" w:rsidRDefault="003242B4">
      <w:pPr>
        <w:pStyle w:val="RKnormal"/>
      </w:pPr>
    </w:p>
    <w:p w:rsidR="003242B4" w:rsidRPr="00272411" w:rsidRDefault="003242B4">
      <w:pPr>
        <w:pStyle w:val="RKnormal"/>
        <w:rPr>
          <w:i/>
          <w:iCs/>
        </w:rPr>
      </w:pPr>
      <w:r w:rsidRPr="00272411">
        <w:rPr>
          <w:i/>
          <w:iCs/>
        </w:rPr>
        <w:t>Förslag till svensk ståndpunkt</w:t>
      </w:r>
    </w:p>
    <w:p w:rsidR="003242B4" w:rsidRPr="00272411" w:rsidRDefault="003242B4">
      <w:pPr>
        <w:pStyle w:val="RKnormal"/>
      </w:pPr>
      <w:r w:rsidRPr="00272411">
        <w:t>Sverige stödjer kommissionens arbete med att få handelsutbytet med Ryska federationen att löpa smidigt.</w:t>
      </w:r>
    </w:p>
    <w:p w:rsidR="003242B4" w:rsidRPr="00272411" w:rsidRDefault="003242B4">
      <w:pPr>
        <w:pStyle w:val="RKnormal"/>
        <w:rPr>
          <w:i/>
          <w:iCs/>
        </w:rPr>
      </w:pPr>
    </w:p>
    <w:p w:rsidR="003242B4" w:rsidRPr="00272411" w:rsidRDefault="003242B4">
      <w:pPr>
        <w:pStyle w:val="RKnormal"/>
        <w:rPr>
          <w:i/>
          <w:iCs/>
        </w:rPr>
      </w:pPr>
      <w:r w:rsidRPr="00272411">
        <w:rPr>
          <w:i/>
          <w:iCs/>
        </w:rPr>
        <w:t>EU-nämnden</w:t>
      </w:r>
    </w:p>
    <w:p w:rsidR="003242B4" w:rsidRPr="00272411" w:rsidRDefault="003242B4">
      <w:pPr>
        <w:pStyle w:val="RKnormal"/>
      </w:pPr>
      <w:r w:rsidRPr="00272411">
        <w:t xml:space="preserve">Frågan har varit föremål för samråd i EU-nämnden inför jordbruks- och fiskerådet den 14 mars 2005 samt den 22-23 maj 2006. </w:t>
      </w:r>
    </w:p>
    <w:sectPr w:rsidR="003242B4" w:rsidRPr="002724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E50" w:rsidRPr="00272411" w:rsidRDefault="00467E50">
      <w:r w:rsidRPr="00272411">
        <w:separator/>
      </w:r>
    </w:p>
  </w:endnote>
  <w:endnote w:type="continuationSeparator" w:id="0">
    <w:p w:rsidR="00467E50" w:rsidRPr="00272411" w:rsidRDefault="00467E50">
      <w:r w:rsidRPr="00272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E50" w:rsidRPr="00272411" w:rsidRDefault="00467E50">
      <w:r w:rsidRPr="00272411">
        <w:separator/>
      </w:r>
    </w:p>
  </w:footnote>
  <w:footnote w:type="continuationSeparator" w:id="0">
    <w:p w:rsidR="00467E50" w:rsidRPr="00272411" w:rsidRDefault="00467E50">
      <w:r w:rsidRPr="00272411">
        <w:continuationSeparator/>
      </w:r>
    </w:p>
  </w:footnote>
  <w:footnote w:id="1">
    <w:p w:rsidR="001E6F92" w:rsidRPr="00272411" w:rsidRDefault="001E6F92">
      <w:pPr>
        <w:pStyle w:val="Fotnotstext"/>
      </w:pPr>
      <w:r w:rsidRPr="00272411">
        <w:rPr>
          <w:rStyle w:val="Fotnotsreferens"/>
        </w:rPr>
        <w:footnoteRef/>
      </w:r>
      <w:r w:rsidRPr="00272411">
        <w:t xml:space="preserve"> POSEI-programmet innehåller stöd till jordbruket i EU:s yttre randområden och syftar till att garantera försörjning samt minska de merkostnader som uppstår till följd av dessa områdens position.</w:t>
      </w:r>
    </w:p>
  </w:footnote>
  <w:footnote w:id="2">
    <w:p w:rsidR="001E6F92" w:rsidRPr="00272411" w:rsidRDefault="001E6F92">
      <w:pPr>
        <w:pStyle w:val="Fotnotstext"/>
      </w:pPr>
      <w:r w:rsidRPr="00272411">
        <w:rPr>
          <w:rStyle w:val="Fotnotsreferens"/>
        </w:rPr>
        <w:footnoteRef/>
      </w:r>
      <w:r w:rsidRPr="00272411">
        <w:t xml:space="preserve"> EU:s biobränsleinitiativ innefattar bland annat handlingsplanen för biomassa från 2005 och strategin för biodrivmedel från 2006. Dessutom innefattas kommande översyner av biodrivmedelsdirektivet och biobränslekvalitetsdirektivet.</w:t>
      </w:r>
    </w:p>
  </w:footnote>
  <w:footnote w:id="3">
    <w:p w:rsidR="001E6F92" w:rsidRPr="00272411" w:rsidRDefault="001E6F92">
      <w:pPr>
        <w:pStyle w:val="Fotnotstext"/>
      </w:pPr>
      <w:r w:rsidRPr="00272411">
        <w:rPr>
          <w:rStyle w:val="Fotnotsreferens"/>
        </w:rPr>
        <w:footnoteRef/>
      </w:r>
      <w:r w:rsidRPr="00272411">
        <w:t xml:space="preserve"> Snabbväxande energiskog</w:t>
      </w:r>
    </w:p>
  </w:footnote>
  <w:footnote w:id="4">
    <w:p w:rsidR="001E6F92" w:rsidRPr="00272411" w:rsidRDefault="001E6F92">
      <w:pPr>
        <w:pStyle w:val="RKrubrik"/>
        <w:rPr>
          <w:rFonts w:ascii="Times New Roman" w:hAnsi="Times New Roman"/>
          <w:b w:val="0"/>
          <w:sz w:val="20"/>
          <w:szCs w:val="24"/>
        </w:rPr>
      </w:pPr>
      <w:r w:rsidRPr="00272411">
        <w:rPr>
          <w:rStyle w:val="Fotnotsreferens"/>
        </w:rPr>
        <w:footnoteRef/>
      </w:r>
      <w:r w:rsidRPr="00272411">
        <w:t xml:space="preserve"> </w:t>
      </w:r>
      <w:r w:rsidRPr="00272411">
        <w:rPr>
          <w:rFonts w:ascii="Times New Roman" w:hAnsi="Times New Roman"/>
          <w:b w:val="0"/>
          <w:sz w:val="20"/>
        </w:rPr>
        <w:t>Total allowable catch, d v s totalt tillåten fångstmängd. Rådets förordning om fastställande för år 2007 av fiskemöjligheter etc. benämns TAC- och kvotförordningen.</w:t>
      </w:r>
    </w:p>
    <w:p w:rsidR="001E6F92" w:rsidRPr="00272411" w:rsidRDefault="001E6F9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272411" w:rsidRDefault="001E6F92">
    <w:pPr>
      <w:pStyle w:val="Sidhuvud"/>
      <w:framePr w:wrap="around" w:vAnchor="text" w:hAnchor="margin" w:xAlign="right" w:y="1"/>
      <w:rPr>
        <w:rStyle w:val="Sidnummer"/>
      </w:rPr>
    </w:pPr>
    <w:r w:rsidRPr="00272411">
      <w:rPr>
        <w:rStyle w:val="Sidnummer"/>
      </w:rPr>
      <w:fldChar w:fldCharType="begin" w:fldLock="1"/>
    </w:r>
    <w:r w:rsidRPr="00272411">
      <w:rPr>
        <w:rStyle w:val="Sidnummer"/>
      </w:rPr>
      <w:instrText xml:space="preserve">PAGE  </w:instrText>
    </w:r>
    <w:r w:rsidRPr="00272411">
      <w:rPr>
        <w:rStyle w:val="Sidnummer"/>
      </w:rPr>
      <w:fldChar w:fldCharType="separate"/>
    </w:r>
    <w:r w:rsidR="00D61648" w:rsidRPr="00272411">
      <w:rPr>
        <w:rStyle w:val="Sidnummer"/>
      </w:rPr>
      <w:t>4</w:t>
    </w:r>
    <w:r w:rsidRPr="00272411">
      <w:rPr>
        <w:rStyle w:val="Sidnummer"/>
      </w:rPr>
      <w:fldChar w:fldCharType="end"/>
    </w:r>
  </w:p>
  <w:p w:rsidR="001E6F92" w:rsidRPr="00272411" w:rsidRDefault="001E6F92">
    <w:pPr>
      <w:pStyle w:val="Sidhuvud"/>
      <w:ind w:right="360"/>
    </w:pPr>
  </w:p>
  <w:p w:rsidR="001E6F92" w:rsidRPr="00272411" w:rsidRDefault="001E6F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272411" w:rsidRDefault="001E6F92">
    <w:pPr>
      <w:pStyle w:val="Sidhuvud"/>
      <w:framePr w:wrap="around" w:vAnchor="text" w:hAnchor="margin" w:xAlign="right" w:y="1"/>
      <w:rPr>
        <w:rStyle w:val="Sidnummer"/>
      </w:rPr>
    </w:pPr>
    <w:r w:rsidRPr="00272411">
      <w:rPr>
        <w:rStyle w:val="Sidnummer"/>
      </w:rPr>
      <w:fldChar w:fldCharType="begin" w:fldLock="1"/>
    </w:r>
    <w:r w:rsidRPr="00272411">
      <w:rPr>
        <w:rStyle w:val="Sidnummer"/>
      </w:rPr>
      <w:instrText xml:space="preserve">PAGE  </w:instrText>
    </w:r>
    <w:r w:rsidRPr="00272411">
      <w:rPr>
        <w:rStyle w:val="Sidnummer"/>
      </w:rPr>
      <w:fldChar w:fldCharType="separate"/>
    </w:r>
    <w:r w:rsidR="00D61648" w:rsidRPr="00272411">
      <w:rPr>
        <w:rStyle w:val="Sidnummer"/>
      </w:rPr>
      <w:t>5</w:t>
    </w:r>
    <w:r w:rsidRPr="00272411">
      <w:rPr>
        <w:rStyle w:val="Sidnummer"/>
      </w:rPr>
      <w:fldChar w:fldCharType="end"/>
    </w:r>
  </w:p>
  <w:p w:rsidR="001E6F92" w:rsidRPr="00272411" w:rsidRDefault="001E6F92">
    <w:pPr>
      <w:pStyle w:val="Sidhuvud"/>
      <w:ind w:right="360"/>
    </w:pPr>
  </w:p>
  <w:p w:rsidR="001E6F92" w:rsidRPr="00272411" w:rsidRDefault="001E6F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272411" w:rsidRDefault="00272411">
    <w:pPr>
      <w:framePr w:w="2948" w:h="1321" w:hRule="exact" w:wrap="notBeside" w:vAnchor="page" w:hAnchor="page" w:x="1362" w:y="653"/>
    </w:pPr>
    <w:r w:rsidRPr="0027241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E6F92" w:rsidRPr="00272411" w:rsidRDefault="001E6F92">
    <w:pPr>
      <w:pStyle w:val="RKrubrik"/>
      <w:keepNext w:val="0"/>
      <w:tabs>
        <w:tab w:val="clear" w:pos="1134"/>
        <w:tab w:val="clear" w:pos="2835"/>
      </w:tabs>
      <w:spacing w:before="0" w:after="0" w:line="320" w:lineRule="atLeast"/>
      <w:rPr>
        <w:bCs/>
      </w:rPr>
    </w:pPr>
  </w:p>
  <w:p w:rsidR="001E6F92" w:rsidRPr="00272411" w:rsidRDefault="001E6F92">
    <w:pPr>
      <w:rPr>
        <w:rFonts w:ascii="TradeGothic" w:hAnsi="TradeGothic"/>
        <w:b/>
        <w:bCs/>
        <w:spacing w:val="12"/>
        <w:sz w:val="22"/>
      </w:rPr>
    </w:pPr>
  </w:p>
  <w:p w:rsidR="001E6F92" w:rsidRPr="00272411" w:rsidRDefault="001E6F92">
    <w:pPr>
      <w:pStyle w:val="RKrubrik"/>
      <w:keepNext w:val="0"/>
      <w:tabs>
        <w:tab w:val="clear" w:pos="1134"/>
        <w:tab w:val="clear" w:pos="2835"/>
      </w:tabs>
      <w:spacing w:before="0" w:after="0" w:line="320" w:lineRule="atLeast"/>
      <w:rPr>
        <w:bCs/>
      </w:rPr>
    </w:pPr>
  </w:p>
  <w:p w:rsidR="001E6F92" w:rsidRPr="00272411" w:rsidRDefault="001E6F9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214434107">
    <w:abstractNumId w:val="2"/>
  </w:num>
  <w:num w:numId="2" w16cid:durableId="1450322997">
    <w:abstractNumId w:val="1"/>
  </w:num>
  <w:num w:numId="3" w16cid:durableId="371852297">
    <w:abstractNumId w:val="0"/>
  </w:num>
  <w:num w:numId="4" w16cid:durableId="1897549332">
    <w:abstractNumId w:val="4"/>
  </w:num>
  <w:num w:numId="5" w16cid:durableId="57004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73DB5"/>
    <w:rsid w:val="000B29D4"/>
    <w:rsid w:val="001325F7"/>
    <w:rsid w:val="00162029"/>
    <w:rsid w:val="00172185"/>
    <w:rsid w:val="00185240"/>
    <w:rsid w:val="001B1B91"/>
    <w:rsid w:val="001B5438"/>
    <w:rsid w:val="001D1BDE"/>
    <w:rsid w:val="001E6F92"/>
    <w:rsid w:val="002475E2"/>
    <w:rsid w:val="00260471"/>
    <w:rsid w:val="00260CC1"/>
    <w:rsid w:val="00272411"/>
    <w:rsid w:val="0032252C"/>
    <w:rsid w:val="003242B4"/>
    <w:rsid w:val="00327695"/>
    <w:rsid w:val="0033480F"/>
    <w:rsid w:val="00335285"/>
    <w:rsid w:val="00352B38"/>
    <w:rsid w:val="0039183C"/>
    <w:rsid w:val="00467E50"/>
    <w:rsid w:val="00505895"/>
    <w:rsid w:val="00533612"/>
    <w:rsid w:val="0054092A"/>
    <w:rsid w:val="005427BE"/>
    <w:rsid w:val="0058380D"/>
    <w:rsid w:val="005D3A09"/>
    <w:rsid w:val="005D6AFB"/>
    <w:rsid w:val="0062575D"/>
    <w:rsid w:val="00632915"/>
    <w:rsid w:val="006418CB"/>
    <w:rsid w:val="00643176"/>
    <w:rsid w:val="00647637"/>
    <w:rsid w:val="0070149F"/>
    <w:rsid w:val="00707377"/>
    <w:rsid w:val="007267DD"/>
    <w:rsid w:val="00753592"/>
    <w:rsid w:val="0076683D"/>
    <w:rsid w:val="0084346F"/>
    <w:rsid w:val="008532E8"/>
    <w:rsid w:val="008E04A2"/>
    <w:rsid w:val="009403D5"/>
    <w:rsid w:val="00975330"/>
    <w:rsid w:val="00990C94"/>
    <w:rsid w:val="009929EF"/>
    <w:rsid w:val="00996BDA"/>
    <w:rsid w:val="00A909B8"/>
    <w:rsid w:val="00AD7F76"/>
    <w:rsid w:val="00B97EB1"/>
    <w:rsid w:val="00C06163"/>
    <w:rsid w:val="00C37858"/>
    <w:rsid w:val="00CA658A"/>
    <w:rsid w:val="00CD126D"/>
    <w:rsid w:val="00CE3C59"/>
    <w:rsid w:val="00D61648"/>
    <w:rsid w:val="00D75520"/>
    <w:rsid w:val="00D867CF"/>
    <w:rsid w:val="00E51D65"/>
    <w:rsid w:val="00E6509D"/>
    <w:rsid w:val="00EC13EC"/>
    <w:rsid w:val="00EC7FD1"/>
    <w:rsid w:val="00F5436E"/>
    <w:rsid w:val="00FE7B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100D0A-769F-4E7B-9D89-FC7A10CE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5012</Words>
  <Characters>30876</Characters>
  <Application>Microsoft Office Word</Application>
  <DocSecurity>4</DocSecurity>
  <Lines>791</Lines>
  <Paragraphs>287</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2006-12-11T10:41:00Z</cp:lastPrinted>
  <dcterms:created xsi:type="dcterms:W3CDTF">2025-12-17T04:00:00Z</dcterms:created>
  <dcterms:modified xsi:type="dcterms:W3CDTF">2025-12-17T04:00:00Z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