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3512" w:rsidRPr="00EC3512" w:rsidRDefault="00EC3512">
      <w:pPr>
        <w:pStyle w:val="Frslagsrubrik"/>
      </w:pPr>
      <w:r w:rsidRPr="00EC3512">
        <w:t>Förslag till riksdagsbeslut</w:t>
      </w:r>
    </w:p>
    <w:p w:rsidR="00EC3512" w:rsidRPr="00EC3512" w:rsidRDefault="00EC3512">
      <w:pPr>
        <w:pStyle w:val="Hemstlatt"/>
      </w:pPr>
      <w:r w:rsidRPr="00EC3512">
        <w:t>Riksdagen tillkännager för regeringen som sin mening vad som anförs i motionen om att införa föreskrifter om att övergivna fordon på och utmed motorvägarna omedelbart ska forslas bort.</w:t>
      </w:r>
    </w:p>
    <w:p w:rsidR="00EC3512" w:rsidRPr="00EC3512" w:rsidRDefault="00EC3512">
      <w:pPr>
        <w:pStyle w:val="Rubrik1"/>
      </w:pPr>
      <w:r w:rsidRPr="00EC3512">
        <w:t>Motivering</w:t>
      </w:r>
    </w:p>
    <w:p w:rsidR="00EC3512" w:rsidRPr="00EC3512" w:rsidRDefault="00EC3512">
      <w:r w:rsidRPr="00EC3512">
        <w:t xml:space="preserve">Utmed våra motorvägar och för all del även utmed andra vägar och även direkt i skog och mark står numera allt som oftast övergivna fordon, i de flesta fall äldre personbilar, många säkert stulna och sedan övergivna. Antalet förefaller ha ökat under senare tid. Gällande regler säger att polisen äger rätt att beordra flyttning av fordon endast om det är uppställt på sådant sätt att det utgör en omedelbar trafikfara. Om så ej är fallet åligger det Vägverket att fatta beslut om flyttning av fordonet när detta </w:t>
      </w:r>
      <w:r w:rsidRPr="00EC3512">
        <w:t>övergivits på eller intill allmän väg. Sådana beslut fattas då först efter utredning om varför fordonet hamnat på platsen och vem som är ägare samt, om ägare påträffas, denne beretts tillfälle att själv omhänderta fordonet. Det säger sig självt att detta tar tid. Förvisso har Vägverket utfärdat föreskrifter om ett snabbare agerande men en uppföl</w:t>
      </w:r>
      <w:r w:rsidRPr="00EC3512">
        <w:t>j</w:t>
      </w:r>
      <w:r w:rsidRPr="00EC3512">
        <w:t xml:space="preserve">ning inom Vägverket har funnit att tillämpningen varierar över landet. </w:t>
      </w:r>
    </w:p>
    <w:p w:rsidR="00EC3512" w:rsidRPr="00EC3512" w:rsidRDefault="00EC3512">
      <w:pPr>
        <w:pStyle w:val="Normaltindrag"/>
      </w:pPr>
      <w:r w:rsidRPr="00EC3512">
        <w:t>Under tiden som fordonen står kvar utmed motorvägen (eller andra vägar) föranleder detta att</w:t>
      </w:r>
      <w:r w:rsidRPr="00EC3512">
        <w:t xml:space="preserve"> andra bilister stannar för att se om någon olycka nyss inträffat eller om man på något sätt kan hjälpa till. Detta innebär att andra fordon stannar på motorvägen eller vägrenen, vilket är förenat med stora faror för olyckor och i princip är förbjudet. Det är alltså inte bara de övergivna fordonen i sig som kan medföra olyckor utan allt som händer däromkring. Ofta förekommer det att fordonen blir utsatta för plundring och skadegörelse, vilket i sig kan leda till miljöproblem när olja eller bensin rinner ut </w:t>
      </w:r>
      <w:r w:rsidRPr="00EC3512">
        <w:t>från bi</w:t>
      </w:r>
      <w:r w:rsidRPr="00EC3512">
        <w:t>l</w:t>
      </w:r>
      <w:r w:rsidRPr="00EC3512">
        <w:t>vraken. Dessutom är ju förekomsten av bilvrak utmed motorvägarna en ren nedskräpning i naturen som måste åtgärdas.</w:t>
      </w:r>
    </w:p>
    <w:p w:rsidR="00EC3512" w:rsidRPr="00EC3512" w:rsidRDefault="00EC3512">
      <w:pPr>
        <w:pStyle w:val="Normaltindrag"/>
      </w:pPr>
      <w:r w:rsidRPr="00EC3512">
        <w:lastRenderedPageBreak/>
        <w:t>Det har inträffat flera trafikolyckor, några med dödlig utgång, som en följd av att en övergiven personbil lämnats kvar i avvaktan på Vägverkets utre</w:t>
      </w:r>
      <w:r w:rsidRPr="00EC3512">
        <w:t>d</w:t>
      </w:r>
      <w:r w:rsidRPr="00EC3512">
        <w:t>ning och åtgärder. Trots att polisen bedömt att någon omedelbar trafikfara inte föreligger kan den övergivna personbilen ändå utgöra ett väsentligt stö</w:t>
      </w:r>
      <w:r w:rsidRPr="00EC3512">
        <w:t>r</w:t>
      </w:r>
      <w:r w:rsidRPr="00EC3512">
        <w:t>ningsmoment i den snabba och intensiva trafiken på framförallt våra moto</w:t>
      </w:r>
      <w:r w:rsidRPr="00EC3512">
        <w:t>r</w:t>
      </w:r>
      <w:r w:rsidRPr="00EC3512">
        <w:t>vägar.</w:t>
      </w:r>
    </w:p>
    <w:p w:rsidR="00EC3512" w:rsidRPr="00EC3512" w:rsidRDefault="00EC3512">
      <w:pPr>
        <w:pStyle w:val="Normaltindrag"/>
      </w:pPr>
      <w:r w:rsidRPr="00EC3512">
        <w:t>Det finns starka skäl till varför det är förbjudet att stanna fordon på och utmed motorvägarna. Det finns också mycket starka skäl till varför det är förbjudet för personer att gå eller uppehålla sig på eller utmed motorvägarna. Varför ska då övergivna fordon lämnas kvar under f</w:t>
      </w:r>
      <w:r w:rsidRPr="00EC3512">
        <w:t>lera dagar – eller kanske veckor – utmed motorvägarna och föranleda att andra bilister i strid mot gä</w:t>
      </w:r>
      <w:r w:rsidRPr="00EC3512">
        <w:t>l</w:t>
      </w:r>
      <w:r w:rsidRPr="00EC3512">
        <w:t>lande bestämmelser stannar och går av sina fordon för att i vällovligt syfte se om någon behöver hjälp?</w:t>
      </w:r>
    </w:p>
    <w:p w:rsidR="00EC3512" w:rsidRPr="00EC3512" w:rsidRDefault="00EC3512">
      <w:pPr>
        <w:pStyle w:val="Normaltindrag"/>
      </w:pPr>
      <w:r w:rsidRPr="00EC3512">
        <w:t>I lagen (1982:129) om flyttning av fordon i vissa fall finns reglerat hur en flyttning ska gå till, vilken utredning som ska göras och bilägarens skyldigh</w:t>
      </w:r>
      <w:r w:rsidRPr="00EC3512">
        <w:t>e</w:t>
      </w:r>
      <w:r w:rsidRPr="00EC3512">
        <w:t>ter att betala kostnaderna för flyttningen m.m. Det skulle vara en enkel sak att tydligt föreskriva att övergivna fordon på och utmed motorvägarna omede</w:t>
      </w:r>
      <w:r w:rsidRPr="00EC3512">
        <w:t>l</w:t>
      </w:r>
      <w:r w:rsidRPr="00EC3512">
        <w:t>bart ska flyttas och att polisen är den som beslutar härom.</w:t>
      </w:r>
    </w:p>
    <w:p w:rsidR="00EC3512" w:rsidRPr="00EC3512" w:rsidRDefault="00EC3512">
      <w:pPr>
        <w:pStyle w:val="Normaltindrag"/>
      </w:pPr>
      <w:r w:rsidRPr="00EC3512">
        <w:t xml:space="preserve">Fordonets rätte ägare, om sådan anträffas, ska naturligtvis få tillbaka sitt fordon och åtgärden att flytta detta kan absolut inte vara mer ingripande mot fordonsägaren än att detta måste tolereras. Trafiksäkerheten måste gå i första hand. </w:t>
      </w:r>
    </w:p>
    <w:p w:rsidR="00EC3512" w:rsidRPr="00EC3512" w:rsidRDefault="00EC3512">
      <w:pPr>
        <w:pStyle w:val="Normaltindrag"/>
      </w:pPr>
      <w:r w:rsidRPr="00EC3512">
        <w:t>Frågan om övergivna fordon har aktualiserats i riksdagen under en följd av år och ändringar i lag och föreskrifter har vidtagits vid flera tillfällen. Ändå föreligger alltjämt problemen, vilket tydligt visar att behov av ytterligare åtgärder föreligger. Trafikutskottet har i tidigare betänkanden konstaterat att det föreligger behov av samordning mellan de berörda myndigheterna när det gäller flyttning av fordon. Vidare har trafikutskottet ställt sig frågan om i vilken utsträckning som kraven på myndigheter</w:t>
      </w:r>
      <w:r w:rsidRPr="00EC3512">
        <w:t>na att flytta fordon bör skä</w:t>
      </w:r>
      <w:r w:rsidRPr="00EC3512">
        <w:t>r</w:t>
      </w:r>
      <w:r w:rsidRPr="00EC3512">
        <w:t>pas.</w:t>
      </w:r>
    </w:p>
    <w:p w:rsidR="00EC3512" w:rsidRPr="00EC3512" w:rsidRDefault="00EC3512">
      <w:pPr>
        <w:pStyle w:val="Normaltindrag"/>
      </w:pPr>
      <w:r w:rsidRPr="00EC3512">
        <w:t>Den av Vägverket på regeringens uppdrag genomförda utredningen – Kostnader för transporter av uttjänta bilar till bilskrotar – handlar förvisso till stora delar om just kostnaderna för bortförandet av fordonen. Vägverket har dock också föreslagit att en uttalad skyldighet att flytta fordonsvrak så snart som möjligt medför ett ökat incitament för kommuner och Vägverket att flytta fordonsvraken och kräva ägaren på kostnaderna samt föreslagit att en sådan skyldighet bör införa</w:t>
      </w:r>
      <w:r w:rsidRPr="00EC3512">
        <w:t>s i förordningen om flyttning av fordon.</w:t>
      </w:r>
    </w:p>
    <w:p w:rsidR="00EC3512" w:rsidRPr="00EC3512" w:rsidRDefault="00EC3512">
      <w:pPr>
        <w:pStyle w:val="Normaltindrag"/>
      </w:pPr>
      <w:r w:rsidRPr="00EC3512">
        <w:t xml:space="preserve">En omständighet som förtjänar att uppmärksammas i detta sammanhang är att bredden på vägrenen utmed motorvägarna minskats ner under senare år. 1994 fastställdes att vägrenen skulle vara minst </w:t>
      </w:r>
      <w:smartTag w:uri="urn:schemas-microsoft-com:office:smarttags" w:element="metricconverter">
        <w:smartTagPr>
          <w:attr w:name="ProductID" w:val="2,75 meter"/>
        </w:smartTagPr>
        <w:r w:rsidRPr="00EC3512">
          <w:t>2,75 meter</w:t>
        </w:r>
      </w:smartTag>
      <w:r w:rsidRPr="00EC3512">
        <w:t xml:space="preserve"> bred från att tid</w:t>
      </w:r>
      <w:r w:rsidRPr="00EC3512">
        <w:t>i</w:t>
      </w:r>
      <w:r w:rsidRPr="00EC3512">
        <w:t xml:space="preserve">gare ha varit </w:t>
      </w:r>
      <w:smartTag w:uri="urn:schemas-microsoft-com:office:smarttags" w:element="metricconverter">
        <w:smartTagPr>
          <w:attr w:name="ProductID" w:val="3,0 meter"/>
        </w:smartTagPr>
        <w:r w:rsidRPr="00EC3512">
          <w:t>3,0 meter</w:t>
        </w:r>
      </w:smartTag>
      <w:r w:rsidRPr="00EC3512">
        <w:t xml:space="preserve"> bred. Numera byggs vägar med en vägren om </w:t>
      </w:r>
      <w:smartTag w:uri="urn:schemas-microsoft-com:office:smarttags" w:element="metricconverter">
        <w:smartTagPr>
          <w:attr w:name="ProductID" w:val="2,0 meters"/>
        </w:smartTagPr>
        <w:r w:rsidRPr="00EC3512">
          <w:t>2,0 meters</w:t>
        </w:r>
      </w:smartTag>
      <w:r w:rsidRPr="00EC3512">
        <w:t xml:space="preserve"> bredd. Fordonsbredden för bussar och lastbilar, även vissa husvagnar, uppgår till </w:t>
      </w:r>
      <w:smartTag w:uri="urn:schemas-microsoft-com:office:smarttags" w:element="metricconverter">
        <w:smartTagPr>
          <w:attr w:name="ProductID" w:val="2,6 meter"/>
        </w:smartTagPr>
        <w:r w:rsidRPr="00EC3512">
          <w:t>2,6 meter</w:t>
        </w:r>
      </w:smartTag>
      <w:r w:rsidRPr="00EC3512">
        <w:t>. Med andra ord kan de större fordonen inte ställas upp på vägrenen utan måste ta en del av själva vägbanan i anspråk, vilket naturligtvis förvärrar trafiksäkerheten avsevärt.</w:t>
      </w:r>
    </w:p>
    <w:p w:rsidR="00EC3512" w:rsidRPr="00EC3512" w:rsidRDefault="00EC3512">
      <w:pPr>
        <w:pStyle w:val="Normaltindrag"/>
      </w:pPr>
      <w:r w:rsidRPr="00EC3512">
        <w:t>I trafikutskottets uppföljning har de speciella förhållandena på motorv</w:t>
      </w:r>
      <w:r w:rsidRPr="00EC3512">
        <w:t>ä</w:t>
      </w:r>
      <w:r w:rsidRPr="00EC3512">
        <w:t>garna och därtill hörande stora trafiksäkerhetsrisker inte särskilt framhållits. Detta är bekymmersamt och förvånande. Det händer alltför ofta olyckor och incidenter i trafiken på motorvägarna som motiverar ett kraftfullare ingrepp beträffande övergivna fordon, som i många fall sannolikt är stulna. I lagstif</w:t>
      </w:r>
      <w:r w:rsidRPr="00EC3512">
        <w:t>t</w:t>
      </w:r>
      <w:r w:rsidRPr="00EC3512">
        <w:t>ningshänseende bör det därför högprioriteras att just behandla ett snabbt bor</w:t>
      </w:r>
      <w:r w:rsidRPr="00EC3512">
        <w:t>t</w:t>
      </w:r>
      <w:r w:rsidRPr="00EC3512">
        <w:t>forslande av fordon, som övergivits på eller invid motorvägarna, även om hela denna aktuella problematik med övergivna ford</w:t>
      </w:r>
      <w:r w:rsidRPr="00EC3512">
        <w:t>on snart borde få en til</w:t>
      </w:r>
      <w:r w:rsidRPr="00EC3512">
        <w:t>l</w:t>
      </w:r>
      <w:r w:rsidRPr="00EC3512">
        <w:t>fredsställande lösning.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3512">
        <w:trPr>
          <w:cantSplit/>
        </w:trPr>
        <w:tc>
          <w:tcPr>
            <w:tcW w:w="3046" w:type="dxa"/>
          </w:tcPr>
          <w:p w:rsidR="00EC3512" w:rsidRPr="00EC3512" w:rsidRDefault="00EC3512">
            <w:pPr>
              <w:pStyle w:val="UnderskriftDatum"/>
              <w:spacing w:before="240"/>
            </w:pPr>
            <w:r w:rsidRPr="00EC3512">
              <w:t>Stockholm den 2 oktober 2009</w:t>
            </w:r>
          </w:p>
        </w:tc>
        <w:tc>
          <w:tcPr>
            <w:tcW w:w="3047" w:type="dxa"/>
          </w:tcPr>
          <w:p w:rsidR="00EC3512" w:rsidRPr="00EC3512" w:rsidRDefault="00EC3512">
            <w:pPr>
              <w:pStyle w:val="Underskrifter"/>
              <w:spacing w:before="240"/>
            </w:pPr>
          </w:p>
        </w:tc>
      </w:tr>
      <w:tr w:rsidR="00000000" w:rsidRPr="00EC3512">
        <w:trPr>
          <w:cantSplit/>
        </w:trPr>
        <w:tc>
          <w:tcPr>
            <w:tcW w:w="3046" w:type="dxa"/>
          </w:tcPr>
          <w:p w:rsidR="00EC3512" w:rsidRPr="00EC3512" w:rsidRDefault="00EC3512">
            <w:pPr>
              <w:pStyle w:val="Underskrifter"/>
            </w:pPr>
            <w:r w:rsidRPr="00EC3512">
              <w:t>Anita Brodén (fp)</w:t>
            </w:r>
          </w:p>
        </w:tc>
        <w:tc>
          <w:tcPr>
            <w:tcW w:w="3046" w:type="dxa"/>
          </w:tcPr>
          <w:p w:rsidR="00EC3512" w:rsidRPr="00EC3512" w:rsidRDefault="00EC3512">
            <w:pPr>
              <w:pStyle w:val="Underskrifter"/>
            </w:pPr>
            <w:r w:rsidRPr="00EC3512">
              <w:t>Jan Ertsborn (fp)</w:t>
            </w:r>
          </w:p>
        </w:tc>
      </w:tr>
    </w:tbl>
    <w:p w:rsidR="00EC3512" w:rsidRPr="00EC3512" w:rsidRDefault="00EC3512">
      <w:pPr>
        <w:pStyle w:val="Normaltindrag"/>
      </w:pPr>
    </w:p>
    <w:sectPr w:rsidR="00000000" w:rsidRPr="00EC35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3512" w:rsidRPr="00EC3512" w:rsidRDefault="00EC3512">
      <w:r w:rsidRPr="00EC3512">
        <w:separator/>
      </w:r>
    </w:p>
  </w:endnote>
  <w:endnote w:type="continuationSeparator" w:id="0">
    <w:p w:rsidR="00EC3512" w:rsidRPr="00EC3512" w:rsidRDefault="00EC3512">
      <w:r w:rsidRPr="00EC35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512" w:rsidRPr="00EC3512" w:rsidRDefault="00EC3512">
    <w:pPr>
      <w:pStyle w:val="Sidfot"/>
    </w:pPr>
    <w:r w:rsidRPr="00EC35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69796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512" w:rsidRDefault="00EC351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3512" w:rsidRDefault="00EC351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512" w:rsidRPr="00EC3512" w:rsidRDefault="00EC3512">
    <w:pPr>
      <w:pStyle w:val="Sidfot"/>
    </w:pPr>
    <w:r w:rsidRPr="00EC35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80579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512" w:rsidRDefault="00EC351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3512" w:rsidRDefault="00EC351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512" w:rsidRPr="00EC3512" w:rsidRDefault="00EC3512">
    <w:pPr>
      <w:pStyle w:val="Sidfot"/>
    </w:pPr>
    <w:r w:rsidRPr="00EC35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61274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512" w:rsidRDefault="00EC35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3512" w:rsidRDefault="00EC35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3512" w:rsidRPr="00EC3512" w:rsidRDefault="00EC3512">
      <w:r w:rsidRPr="00EC3512">
        <w:separator/>
      </w:r>
    </w:p>
  </w:footnote>
  <w:footnote w:type="continuationSeparator" w:id="0">
    <w:p w:rsidR="00EC3512" w:rsidRPr="00EC3512" w:rsidRDefault="00EC3512">
      <w:r w:rsidRPr="00EC35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512" w:rsidRPr="00EC3512" w:rsidRDefault="00EC3512">
    <w:pPr>
      <w:pStyle w:val="Sidhuvud"/>
    </w:pPr>
    <w:r w:rsidRPr="00EC35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87994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512" w:rsidRDefault="00EC351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3512" w:rsidRDefault="00EC351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512" w:rsidRPr="00EC3512" w:rsidRDefault="00EC3512">
    <w:pPr>
      <w:pStyle w:val="Sidhuvud"/>
    </w:pPr>
    <w:r w:rsidRPr="00EC35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77237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512" w:rsidRDefault="00EC351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3512" w:rsidRDefault="00EC351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512" w:rsidRPr="00EC3512" w:rsidRDefault="00EC3512">
    <w:pPr>
      <w:pStyle w:val="FSHNormal"/>
      <w:tabs>
        <w:tab w:val="right" w:pos="5840"/>
      </w:tabs>
    </w:pPr>
    <w:r w:rsidRPr="00EC3512">
      <w:br/>
    </w:r>
    <w:r w:rsidRPr="00EC3512">
      <w:fldChar w:fldCharType="begin" w:fldLock="1"/>
    </w:r>
    <w:r w:rsidRPr="00EC3512">
      <w:instrText xml:space="preserve"> DOCPROPERTY</w:instrText>
    </w:r>
    <w:r w:rsidRPr="00EC3512">
      <w:rPr>
        <w:sz w:val="18"/>
      </w:rPr>
      <w:instrText xml:space="preserve"> "YearUser" *\charformat </w:instrText>
    </w:r>
    <w:r w:rsidRPr="00EC3512">
      <w:fldChar w:fldCharType="separate"/>
    </w:r>
    <w:r w:rsidRPr="00EC3512">
      <w:t>2009/10</w:t>
    </w:r>
    <w:r w:rsidRPr="00EC3512">
      <w:fldChar w:fldCharType="end"/>
    </w:r>
    <w:r w:rsidRPr="00EC3512">
      <w:t xml:space="preserve"> </w:t>
    </w:r>
    <w:r w:rsidRPr="00EC3512">
      <w:tab/>
      <w:t xml:space="preserve">mnr: </w:t>
    </w:r>
    <w:r w:rsidRPr="00EC3512">
      <w:fldChar w:fldCharType="begin" w:fldLock="1"/>
    </w:r>
    <w:r w:rsidRPr="00EC3512">
      <w:instrText xml:space="preserve"> DOCPROPERTY</w:instrText>
    </w:r>
    <w:r w:rsidRPr="00EC3512">
      <w:rPr>
        <w:sz w:val="18"/>
      </w:rPr>
      <w:instrText xml:space="preserve"> "Motionsnummer" *\charformat </w:instrText>
    </w:r>
    <w:r w:rsidRPr="00EC3512">
      <w:fldChar w:fldCharType="separate"/>
    </w:r>
    <w:r w:rsidRPr="00EC3512">
      <w:t>T293</w:t>
    </w:r>
    <w:r w:rsidRPr="00EC3512">
      <w:fldChar w:fldCharType="end"/>
    </w:r>
    <w:r w:rsidRPr="00EC3512">
      <w:br/>
    </w:r>
    <w:r w:rsidRPr="00EC3512">
      <w:fldChar w:fldCharType="begin" w:fldLock="1"/>
    </w:r>
    <w:r w:rsidRPr="00EC3512">
      <w:instrText xml:space="preserve"> DOCPROPERTY</w:instrText>
    </w:r>
    <w:r w:rsidRPr="00EC3512">
      <w:rPr>
        <w:sz w:val="18"/>
      </w:rPr>
      <w:instrText xml:space="preserve"> "Samling" *\charformat </w:instrText>
    </w:r>
    <w:r w:rsidRPr="00EC3512">
      <w:fldChar w:fldCharType="end"/>
    </w:r>
    <w:r w:rsidRPr="00EC3512">
      <w:tab/>
      <w:t xml:space="preserve">pnr: </w:t>
    </w:r>
    <w:r w:rsidRPr="00EC3512">
      <w:fldChar w:fldCharType="begin" w:fldLock="1"/>
    </w:r>
    <w:r w:rsidRPr="00EC3512">
      <w:instrText xml:space="preserve"> DOCPROPERTY</w:instrText>
    </w:r>
    <w:r w:rsidRPr="00EC3512">
      <w:rPr>
        <w:sz w:val="18"/>
      </w:rPr>
      <w:instrText xml:space="preserve"> "Partinummer" *\charformat </w:instrText>
    </w:r>
    <w:r w:rsidRPr="00EC3512">
      <w:fldChar w:fldCharType="separate"/>
    </w:r>
    <w:r w:rsidRPr="00EC3512">
      <w:t>fp1079</w:t>
    </w:r>
    <w:r w:rsidRPr="00EC3512">
      <w:fldChar w:fldCharType="end"/>
    </w:r>
  </w:p>
  <w:p w:rsidR="00EC3512" w:rsidRPr="00EC3512" w:rsidRDefault="00EC3512">
    <w:pPr>
      <w:pStyle w:val="FSHRub1"/>
    </w:pPr>
    <w:r w:rsidRPr="00EC3512">
      <w:t>Motion till riksdagen</w:t>
    </w:r>
    <w:r w:rsidRPr="00EC3512">
      <w:br/>
    </w:r>
    <w:r w:rsidRPr="00EC3512">
      <w:fldChar w:fldCharType="begin" w:fldLock="1"/>
    </w:r>
    <w:r w:rsidRPr="00EC3512">
      <w:instrText xml:space="preserve"> DOCPROPERTY "YearUser" *\charformat </w:instrText>
    </w:r>
    <w:r w:rsidRPr="00EC3512">
      <w:fldChar w:fldCharType="separate"/>
    </w:r>
    <w:r w:rsidRPr="00EC3512">
      <w:t>2009/10</w:t>
    </w:r>
    <w:r w:rsidRPr="00EC3512">
      <w:fldChar w:fldCharType="end"/>
    </w:r>
    <w:r w:rsidRPr="00EC3512">
      <w:t>:</w:t>
    </w:r>
    <w:r w:rsidRPr="00EC3512">
      <w:fldChar w:fldCharType="begin" w:fldLock="1"/>
    </w:r>
    <w:r w:rsidRPr="00EC3512">
      <w:instrText xml:space="preserve"> DOCPROPERTY "Motionsnummer" *\charformat </w:instrText>
    </w:r>
    <w:r w:rsidRPr="00EC3512">
      <w:fldChar w:fldCharType="separate"/>
    </w:r>
    <w:r w:rsidRPr="00EC3512">
      <w:t>T293</w:t>
    </w:r>
    <w:r w:rsidRPr="00EC3512">
      <w:fldChar w:fldCharType="end"/>
    </w:r>
  </w:p>
  <w:p w:rsidR="00EC3512" w:rsidRPr="00EC3512" w:rsidRDefault="00EC3512">
    <w:pPr>
      <w:pStyle w:val="FSHNormalS5"/>
    </w:pPr>
    <w:r w:rsidRPr="00EC3512">
      <w:fldChar w:fldCharType="begin" w:fldLock="1"/>
    </w:r>
    <w:r w:rsidRPr="00EC3512">
      <w:instrText xml:space="preserve"> DOCPROPERTY "MotionarText" *\charformat </w:instrText>
    </w:r>
    <w:r w:rsidRPr="00EC3512">
      <w:fldChar w:fldCharType="separate"/>
    </w:r>
    <w:r w:rsidRPr="00EC3512">
      <w:t>av Anita Brodén och Jan Ertsborn (fp)</w:t>
    </w:r>
    <w:r w:rsidRPr="00EC3512">
      <w:fldChar w:fldCharType="end"/>
    </w:r>
    <w:r w:rsidRPr="00EC3512">
      <w:br/>
    </w:r>
    <w:r w:rsidRPr="00EC3512">
      <w:fldChar w:fldCharType="begin" w:fldLock="1"/>
    </w:r>
    <w:r w:rsidRPr="00EC3512">
      <w:instrText xml:space="preserve"> DOCPROPERTY "SvarFrasKort" *\charformat </w:instrText>
    </w:r>
    <w:r w:rsidRPr="00EC3512">
      <w:fldChar w:fldCharType="end"/>
    </w:r>
  </w:p>
  <w:p w:rsidR="00EC3512" w:rsidRPr="00EC3512" w:rsidRDefault="00EC3512">
    <w:pPr>
      <w:pStyle w:val="FSHTitel"/>
    </w:pPr>
    <w:r w:rsidRPr="00EC3512">
      <w:fldChar w:fldCharType="begin" w:fldLock="1"/>
    </w:r>
    <w:r w:rsidRPr="00EC3512">
      <w:instrText xml:space="preserve"> DOCPROPERTY</w:instrText>
    </w:r>
    <w:r w:rsidRPr="00EC3512">
      <w:rPr>
        <w:sz w:val="18"/>
      </w:rPr>
      <w:instrText xml:space="preserve"> "RubrikSvar" *\charformat </w:instrText>
    </w:r>
    <w:r w:rsidRPr="00EC3512">
      <w:fldChar w:fldCharType="separate"/>
    </w:r>
    <w:r w:rsidRPr="00EC3512">
      <w:t>Övergivna fordon utmed vägarna</w:t>
    </w:r>
    <w:r w:rsidRPr="00EC3512">
      <w:fldChar w:fldCharType="end"/>
    </w:r>
  </w:p>
  <w:p w:rsidR="00EC3512" w:rsidRPr="00EC3512" w:rsidRDefault="00EC3512">
    <w:pPr>
      <w:pStyle w:val="Normal00"/>
    </w:pPr>
  </w:p>
  <w:p w:rsidR="00EC3512" w:rsidRPr="00EC3512" w:rsidRDefault="00EC35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37096110">
    <w:abstractNumId w:val="8"/>
  </w:num>
  <w:num w:numId="2" w16cid:durableId="1694645185">
    <w:abstractNumId w:val="9"/>
  </w:num>
  <w:num w:numId="3" w16cid:durableId="398985254">
    <w:abstractNumId w:val="8"/>
  </w:num>
  <w:num w:numId="4" w16cid:durableId="1403210224">
    <w:abstractNumId w:val="9"/>
  </w:num>
  <w:num w:numId="5" w16cid:durableId="1399983727">
    <w:abstractNumId w:val="13"/>
  </w:num>
  <w:num w:numId="6" w16cid:durableId="1478499026">
    <w:abstractNumId w:val="10"/>
  </w:num>
  <w:num w:numId="7" w16cid:durableId="473524013">
    <w:abstractNumId w:val="11"/>
  </w:num>
  <w:num w:numId="8" w16cid:durableId="1803034560">
    <w:abstractNumId w:val="12"/>
  </w:num>
  <w:num w:numId="9" w16cid:durableId="802237897">
    <w:abstractNumId w:val="8"/>
  </w:num>
  <w:num w:numId="10" w16cid:durableId="892883410">
    <w:abstractNumId w:val="3"/>
  </w:num>
  <w:num w:numId="11" w16cid:durableId="924463007">
    <w:abstractNumId w:val="2"/>
  </w:num>
  <w:num w:numId="12" w16cid:durableId="377511819">
    <w:abstractNumId w:val="1"/>
  </w:num>
  <w:num w:numId="13" w16cid:durableId="683090491">
    <w:abstractNumId w:val="0"/>
  </w:num>
  <w:num w:numId="14" w16cid:durableId="1858739604">
    <w:abstractNumId w:val="9"/>
  </w:num>
  <w:num w:numId="15" w16cid:durableId="1997564971">
    <w:abstractNumId w:val="7"/>
  </w:num>
  <w:num w:numId="16" w16cid:durableId="1910461771">
    <w:abstractNumId w:val="6"/>
  </w:num>
  <w:num w:numId="17" w16cid:durableId="1643851776">
    <w:abstractNumId w:val="5"/>
  </w:num>
  <w:num w:numId="18" w16cid:durableId="975449787">
    <w:abstractNumId w:val="4"/>
  </w:num>
  <w:num w:numId="19" w16cid:durableId="1911383843">
    <w:abstractNumId w:val="11"/>
  </w:num>
  <w:num w:numId="20" w16cid:durableId="144711898">
    <w:abstractNumId w:val="10"/>
  </w:num>
  <w:num w:numId="21" w16cid:durableId="20481390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7EF8F305-E5EC-4D88-A3F3-0EBCBA593D5F},{FA974D04-CF02-44F5-BECC-919E841EDDD8}"/>
  </w:docVars>
  <w:rsids>
    <w:rsidRoot w:val="007129F8"/>
    <w:rsid w:val="007129F8"/>
    <w:rsid w:val="00EC35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2A855ADE-F61D-4F1B-BCC2-515CDE779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865</Words>
  <Characters>4823</Characters>
  <Application>Microsoft Office Word</Application>
  <DocSecurity>4</DocSecurity>
  <Lines>86</Lines>
  <Paragraphs>18</Paragraphs>
  <ScaleCrop>false</ScaleCrop>
  <HeadingPairs>
    <vt:vector size="2" baseType="variant">
      <vt:variant>
        <vt:lpstr>Rubrik</vt:lpstr>
      </vt:variant>
      <vt:variant>
        <vt:i4>1</vt:i4>
      </vt:variant>
    </vt:vector>
  </HeadingPairs>
  <TitlesOfParts>
    <vt:vector size="1" baseType="lpstr">
      <vt:lpstr>fp1079</vt:lpstr>
    </vt:vector>
  </TitlesOfParts>
  <Company>Riksdagen</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fp1079</dc:title>
  <dc:subject>fp1079</dc:subject>
  <dc:creator>Riksdagen</dc:creator>
  <cp:keywords>Riksdagen</cp:keywords>
  <dc:description>Nya formatmallshantering för förslag+urix bakåtkomp+könamn</dc:description>
  <cp:lastModifiedBy>Lars Brink</cp:lastModifiedBy>
  <cp:revision>2</cp:revision>
  <cp:lastPrinted>2009-11-28T09:34:00Z</cp:lastPrinted>
  <dcterms:created xsi:type="dcterms:W3CDTF">2025-12-17T21:46:00Z</dcterms:created>
  <dcterms:modified xsi:type="dcterms:W3CDTF">2025-12-17T21:46:00Z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Övergivna fordon utmed vägarna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Övergivna fordon utmed vägarna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fp1079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Brodén och Jan Ertsborn (fp)</vt:lpwstr>
  </property>
  <property fmtid="{D5CDD505-2E9C-101B-9397-08002B2CF9AE}" pid="26" name="MotionarLista">
    <vt:lpwstr>Brodén, Anita (fp)\Ertsborn,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T293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20092010000001020112000010790069</vt:lpwstr>
  </property>
  <property fmtid="{D5CDD505-2E9C-101B-9397-08002B2CF9AE}" pid="47" name="datum">
    <vt:lpwstr>091002</vt:lpwstr>
  </property>
  <property fmtid="{D5CDD505-2E9C-101B-9397-08002B2CF9AE}" pid="48" name="avsändar-e-post">
    <vt:lpwstr>susanne.hagbard@riksdagen.se</vt:lpwstr>
  </property>
  <property fmtid="{D5CDD505-2E9C-101B-9397-08002B2CF9AE}" pid="49" name="id">
    <vt:lpwstr>20092010000001020112000010790069</vt:lpwstr>
  </property>
  <property fmtid="{D5CDD505-2E9C-101B-9397-08002B2CF9AE}" pid="50" name="nummer">
    <vt:lpwstr>293</vt:lpwstr>
  </property>
  <property fmtid="{D5CDD505-2E9C-101B-9397-08002B2CF9AE}" pid="51" name="utskottsbeteckning">
    <vt:lpwstr>T</vt:lpwstr>
  </property>
  <property fmtid="{D5CDD505-2E9C-101B-9397-08002B2CF9AE}" pid="52" name="GlobalUID">
    <vt:lpwstr>{EF74343D-0606-4B60-9454-53ED84B9EADB}</vt:lpwstr>
  </property>
  <property fmtid="{D5CDD505-2E9C-101B-9397-08002B2CF9AE}" pid="53" name="Överföringar">
    <vt:i4>0</vt:i4>
  </property>
  <property fmtid="{D5CDD505-2E9C-101B-9397-08002B2CF9AE}" pid="54" name="Checksum">
    <vt:lpwstr>*0005070643454*</vt:lpwstr>
  </property>
  <property fmtid="{D5CDD505-2E9C-101B-9397-08002B2CF9AE}" pid="55" name="skuggnummer">
    <vt:lpwstr>1229</vt:lpwstr>
  </property>
  <property fmtid="{D5CDD505-2E9C-101B-9397-08002B2CF9AE}" pid="56" name="urixVersion">
    <vt:lpwstr>3.2.7.16</vt:lpwstr>
  </property>
  <property fmtid="{D5CDD505-2E9C-101B-9397-08002B2CF9AE}" pid="57" name="urixOrigin">
    <vt:lpwstr>091128 10:35:05.675</vt:lpwstr>
  </property>
  <property fmtid="{D5CDD505-2E9C-101B-9397-08002B2CF9AE}" pid="58" name="urixGuid">
    <vt:lpwstr>{8C40F899-66CF-4A1D-9980-4888C26E2A0A}</vt:lpwstr>
  </property>
</Properties>
</file>