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00000" w:rsidRPr="003D036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51A77" w:rsidRPr="003D0364" w:rsidRDefault="00551A7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51A77" w:rsidRPr="003D0364" w:rsidRDefault="00551A7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51A77" w:rsidRPr="003D0364" w:rsidRDefault="00551A77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D036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51A77" w:rsidRPr="003D0364" w:rsidRDefault="00551A77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51A77" w:rsidRPr="003D0364" w:rsidRDefault="00551A77">
            <w:pPr>
              <w:framePr w:w="4400" w:h="1644" w:wrap="notBeside" w:vAnchor="page" w:hAnchor="page" w:x="6573" w:y="721"/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51A77" w:rsidRPr="003D0364" w:rsidRDefault="00551A77">
            <w:pPr>
              <w:framePr w:w="4400" w:h="1644" w:wrap="notBeside" w:vAnchor="page" w:hAnchor="page" w:x="6573" w:y="721"/>
            </w:pPr>
            <w:r w:rsidRPr="003D0364">
              <w:t>2006-09-25</w:t>
            </w:r>
          </w:p>
        </w:tc>
        <w:tc>
          <w:tcPr>
            <w:tcW w:w="2347" w:type="dxa"/>
            <w:gridSpan w:val="2"/>
          </w:tcPr>
          <w:p w:rsidR="00551A77" w:rsidRPr="003D0364" w:rsidRDefault="00551A77">
            <w:pPr>
              <w:framePr w:w="4400" w:h="1644" w:wrap="notBeside" w:vAnchor="page" w:hAnchor="page" w:x="6573" w:y="721"/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51A77" w:rsidRPr="003D0364" w:rsidRDefault="00551A77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51A77" w:rsidRPr="003D0364" w:rsidRDefault="00551A77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D0364">
              <w:rPr>
                <w:b/>
                <w:i w:val="0"/>
                <w:sz w:val="22"/>
              </w:rPr>
              <w:t>Försvarsdepartementet</w:t>
            </w: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D0364">
              <w:rPr>
                <w:bCs/>
                <w:iCs/>
              </w:rPr>
              <w:t>Civila enheten</w:t>
            </w: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D0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1A77" w:rsidRPr="003D0364" w:rsidRDefault="00551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51A77" w:rsidRPr="003D0364" w:rsidRDefault="00551A77">
      <w:pPr>
        <w:framePr w:w="4400" w:h="2523" w:wrap="notBeside" w:vAnchor="page" w:hAnchor="page" w:x="6453" w:y="2445"/>
        <w:ind w:left="142"/>
        <w:rPr>
          <w:b/>
        </w:rPr>
      </w:pPr>
    </w:p>
    <w:p w:rsidR="00551A77" w:rsidRPr="003D0364" w:rsidRDefault="00551A7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D0364">
        <w:t>Rådets möte för rättsliga och inrikes frågor (RIF) den 5-6 oktober 2006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normal"/>
        <w:rPr>
          <w:b/>
          <w:bCs/>
        </w:rPr>
      </w:pPr>
      <w:r w:rsidRPr="003D0364">
        <w:rPr>
          <w:b/>
          <w:bCs/>
        </w:rPr>
        <w:t>Dagordningspunkt 4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normal"/>
      </w:pPr>
      <w:r w:rsidRPr="003D0364">
        <w:rPr>
          <w:b/>
          <w:bCs/>
        </w:rPr>
        <w:t>Förslag till en förordning för ett instrument för snabbinsatser och förberedelser inför större olyckor (omdöpt till ”Finansiellt instrument för området civil protection”)</w:t>
      </w:r>
      <w:r w:rsidRPr="003D0364">
        <w:rPr>
          <w:b/>
          <w:bCs/>
        </w:rPr>
        <w:br/>
      </w:r>
    </w:p>
    <w:p w:rsidR="00551A77" w:rsidRPr="003D0364" w:rsidRDefault="00551A77">
      <w:pPr>
        <w:spacing w:line="240" w:lineRule="auto"/>
      </w:pPr>
      <w:r w:rsidRPr="003D0364">
        <w:rPr>
          <w:b/>
          <w:bCs/>
        </w:rPr>
        <w:t xml:space="preserve">Dokument: </w:t>
      </w:r>
      <w:r w:rsidRPr="003D0364">
        <w:t>Proposal for a Council regulation establishing a Rapid Response and Preparedness Instrument for major emergencies (renamed "Civil prote</w:t>
      </w:r>
      <w:r w:rsidRPr="003D0364">
        <w:t>c</w:t>
      </w:r>
      <w:r w:rsidRPr="003D0364">
        <w:t>tion financial instrument")</w:t>
      </w:r>
    </w:p>
    <w:p w:rsidR="00551A77" w:rsidRPr="003D0364" w:rsidRDefault="00551A77">
      <w:pPr>
        <w:spacing w:line="240" w:lineRule="auto"/>
      </w:pPr>
      <w:r w:rsidRPr="003D0364">
        <w:t>12817/06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normal"/>
      </w:pPr>
      <w:r w:rsidRPr="003D0364">
        <w:rPr>
          <w:b/>
          <w:bCs/>
        </w:rPr>
        <w:t xml:space="preserve">Tidigare behandlad vid samråd med EU-nämnden: - 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rubrik"/>
      </w:pPr>
      <w:r w:rsidRPr="003D0364">
        <w:t>Bakgrund</w:t>
      </w:r>
    </w:p>
    <w:p w:rsidR="00551A77" w:rsidRPr="003D0364" w:rsidRDefault="00551A77">
      <w:r w:rsidRPr="003D0364">
        <w:t>Kommissionen presenterade den 26 april 2005 ett förslag till föror</w:t>
      </w:r>
      <w:r w:rsidRPr="003D0364">
        <w:t>d</w:t>
      </w:r>
      <w:r w:rsidRPr="003D0364">
        <w:t>ning för inrättande av ett finansiellt instrument för snabbinsatser vid stora olyckor, katastrofer eller terroristangrepp inom unionen. Fö</w:t>
      </w:r>
      <w:r w:rsidRPr="003D0364">
        <w:t>r</w:t>
      </w:r>
      <w:r w:rsidRPr="003D0364">
        <w:t>slaget är under fortsatt förhandling i rådsarbetsgruppen PR</w:t>
      </w:r>
      <w:r w:rsidRPr="003D0364">
        <w:t>O</w:t>
      </w:r>
      <w:r w:rsidRPr="003D0364">
        <w:t xml:space="preserve">CIV. </w:t>
      </w:r>
    </w:p>
    <w:p w:rsidR="00551A77" w:rsidRPr="003D0364" w:rsidRDefault="00551A77">
      <w:r w:rsidRPr="003D0364">
        <w:t>Förslaget lägger fast re</w:t>
      </w:r>
      <w:r w:rsidRPr="003D0364">
        <w:t>g</w:t>
      </w:r>
      <w:r w:rsidRPr="003D0364">
        <w:t>ler för finansiellt stöd till förbättring av unionens beredskap att geno</w:t>
      </w:r>
      <w:r w:rsidRPr="003D0364">
        <w:t>m</w:t>
      </w:r>
      <w:r w:rsidRPr="003D0364">
        <w:t>föra gemensamma räddningsinsatser, till höjning av det allmänna ris</w:t>
      </w:r>
      <w:r w:rsidRPr="003D0364">
        <w:t>k</w:t>
      </w:r>
      <w:r w:rsidRPr="003D0364">
        <w:t>medvetandet och till förebyggande åtgärder som kan förhindra eller minska verknin</w:t>
      </w:r>
      <w:r w:rsidRPr="003D0364">
        <w:t>g</w:t>
      </w:r>
      <w:r w:rsidRPr="003D0364">
        <w:t>arna av stora olyckor, katastrofer och terroristangrepp. Förslaget avser också att göra det möjligt att finansiera direkta hjälpi</w:t>
      </w:r>
      <w:r w:rsidRPr="003D0364">
        <w:t>n</w:t>
      </w:r>
      <w:r w:rsidRPr="003D0364">
        <w:t>satser från medlemsländerna för att underlätta snabb och effektiv ass</w:t>
      </w:r>
      <w:r w:rsidRPr="003D0364">
        <w:t>i</w:t>
      </w:r>
      <w:r w:rsidRPr="003D0364">
        <w:t>stans till katastrofdrabbade länder, såväl inom som utanför EU. Försl</w:t>
      </w:r>
      <w:r w:rsidRPr="003D0364">
        <w:t>a</w:t>
      </w:r>
      <w:r w:rsidRPr="003D0364">
        <w:t>get avser perioden</w:t>
      </w:r>
      <w:r w:rsidRPr="003D0364">
        <w:t xml:space="preserve"> den 1 januari 2007 till och med den 31 december 2013. </w:t>
      </w:r>
    </w:p>
    <w:p w:rsidR="00551A77" w:rsidRPr="003D0364" w:rsidRDefault="00551A77">
      <w:pPr>
        <w:spacing w:line="240" w:lineRule="auto"/>
      </w:pPr>
    </w:p>
    <w:p w:rsidR="00551A77" w:rsidRPr="003D0364" w:rsidRDefault="00551A77">
      <w:r w:rsidRPr="003D0364">
        <w:t>Samarbetet är mellanstatligt. Varje land ansvarar utan inskränkning för sin n</w:t>
      </w:r>
      <w:r w:rsidRPr="003D0364">
        <w:t>a</w:t>
      </w:r>
      <w:r w:rsidRPr="003D0364">
        <w:t>tionella verksamhet på området. Principen om subsidiaritet är grundläg</w:t>
      </w:r>
      <w:r w:rsidRPr="003D0364">
        <w:lastRenderedPageBreak/>
        <w:t>gande. Åtgärder på EU-nivå skall, enligt det rådsbeslut som li</w:t>
      </w:r>
      <w:r w:rsidRPr="003D0364">
        <w:t>g</w:t>
      </w:r>
      <w:r w:rsidRPr="003D0364">
        <w:t>ger till grund för samarbetet, vidtas huvudsakligen för att stödja me</w:t>
      </w:r>
      <w:r w:rsidRPr="003D0364">
        <w:t>d</w:t>
      </w:r>
      <w:r w:rsidRPr="003D0364">
        <w:t>lemsländernas egna åtgärder och aktiviteter och det samarbete dem eme</w:t>
      </w:r>
      <w:r w:rsidRPr="003D0364">
        <w:t>l</w:t>
      </w:r>
      <w:r w:rsidRPr="003D0364">
        <w:t xml:space="preserve">lan som syftar till att förbättra möjligheterna att hantera </w:t>
      </w:r>
      <w:r w:rsidRPr="003D0364">
        <w:rPr>
          <w:i/>
        </w:rPr>
        <w:t>extrema</w:t>
      </w:r>
      <w:r w:rsidRPr="003D0364">
        <w:t xml:space="preserve"> hände</w:t>
      </w:r>
      <w:r w:rsidRPr="003D0364">
        <w:t>l</w:t>
      </w:r>
      <w:r w:rsidRPr="003D0364">
        <w:t xml:space="preserve">ser i forma av stora olyckor, katastrofer och terroristangrepp och att hjälpa varandra när sådana inträffar. </w:t>
      </w:r>
    </w:p>
    <w:p w:rsidR="00551A77" w:rsidRPr="003D0364" w:rsidRDefault="00551A77"/>
    <w:p w:rsidR="00551A77" w:rsidRPr="003D0364" w:rsidRDefault="00551A77">
      <w:r w:rsidRPr="003D0364">
        <w:t>Medlemsländernas samarbete och de ömsesidiga hjälpinsatser som kan bli aktuella vid extrema händelser, skall bygga på och använda de resurser och förm</w:t>
      </w:r>
      <w:r w:rsidRPr="003D0364">
        <w:t>å</w:t>
      </w:r>
      <w:r w:rsidRPr="003D0364">
        <w:t>gor som medlemsländerna själva bygger upp utifrån nationella behov och priorit</w:t>
      </w:r>
      <w:r w:rsidRPr="003D0364">
        <w:t>e</w:t>
      </w:r>
      <w:r w:rsidRPr="003D0364">
        <w:t>ringar.</w:t>
      </w:r>
    </w:p>
    <w:p w:rsidR="00551A77" w:rsidRPr="003D0364" w:rsidRDefault="00551A77"/>
    <w:p w:rsidR="00551A77" w:rsidRPr="003D0364" w:rsidRDefault="00551A77">
      <w:r w:rsidRPr="003D0364">
        <w:t>Förhandlingarna om det finansiella instrumentet är nu inne i slutskedet. Ambitionen är att dessa skall kunna avslutas och b</w:t>
      </w:r>
      <w:r w:rsidRPr="003D0364">
        <w:t>e</w:t>
      </w:r>
      <w:r w:rsidRPr="003D0364">
        <w:t>handlas av rådet i december 2006. Ett fåtal olösta frågor kvarstår dock, främst beträffa</w:t>
      </w:r>
      <w:r w:rsidRPr="003D0364">
        <w:t>n</w:t>
      </w:r>
      <w:r w:rsidRPr="003D0364">
        <w:t>de finansiering av materiel och transporter när gemenskapsmekanismen a</w:t>
      </w:r>
      <w:r w:rsidRPr="003D0364">
        <w:t>n</w:t>
      </w:r>
      <w:r w:rsidRPr="003D0364">
        <w:t>vänds. Kommissionen har i dessa avseenden lagt fram kostsamma fö</w:t>
      </w:r>
      <w:r w:rsidRPr="003D0364">
        <w:t>r</w:t>
      </w:r>
      <w:r w:rsidRPr="003D0364">
        <w:t>slag, som enligt flera medlem</w:t>
      </w:r>
      <w:r w:rsidRPr="003D0364">
        <w:t>s</w:t>
      </w:r>
      <w:r w:rsidRPr="003D0364">
        <w:t>länder inte analyserats tillräckligt för att det skall vara möjligt att ta slutlig ställning till huruvida gemensamfinansi</w:t>
      </w:r>
      <w:r w:rsidRPr="003D0364">
        <w:t>e</w:t>
      </w:r>
      <w:r w:rsidRPr="003D0364">
        <w:t>ring av dem är m</w:t>
      </w:r>
      <w:r w:rsidRPr="003D0364">
        <w:t>o</w:t>
      </w:r>
      <w:r w:rsidRPr="003D0364">
        <w:t xml:space="preserve">tiverad. </w:t>
      </w:r>
    </w:p>
    <w:p w:rsidR="00551A77" w:rsidRPr="003D0364" w:rsidRDefault="00551A77"/>
    <w:p w:rsidR="00551A77" w:rsidRPr="003D0364" w:rsidRDefault="00551A77">
      <w:r w:rsidRPr="003D0364">
        <w:t xml:space="preserve">ORDF avser vid rådet nå politisk överenskommelse om vissa frågor i avvaktan på att förhandlingarna om rättsakten skall avslutas: </w:t>
      </w:r>
    </w:p>
    <w:p w:rsidR="00551A77" w:rsidRPr="003D0364" w:rsidRDefault="00551A77">
      <w:r w:rsidRPr="003D0364">
        <w:t>- förslaget om finansiering av transporter och materiel vid användning av gemenskapsmekanismen inom respe</w:t>
      </w:r>
      <w:r w:rsidRPr="003D0364">
        <w:t>k</w:t>
      </w:r>
      <w:r w:rsidRPr="003D0364">
        <w:t xml:space="preserve">tive utom EU; </w:t>
      </w:r>
    </w:p>
    <w:p w:rsidR="00551A77" w:rsidRPr="003D0364" w:rsidRDefault="00551A77">
      <w:r w:rsidRPr="003D0364">
        <w:t>- förslaget att u</w:t>
      </w:r>
      <w:r w:rsidRPr="003D0364">
        <w:t>t</w:t>
      </w:r>
      <w:r w:rsidRPr="003D0364">
        <w:t xml:space="preserve">veckling av system för tidig förvarning av Tsunamis och jordbävningar skall vara möjligt med stöd av detta instrument; </w:t>
      </w:r>
    </w:p>
    <w:p w:rsidR="00551A77" w:rsidRPr="003D0364" w:rsidRDefault="00551A77">
      <w:r w:rsidRPr="003D0364">
        <w:t>- frågan huruvida rättsakten skall ha formen av förordning eller rådsb</w:t>
      </w:r>
      <w:r w:rsidRPr="003D0364">
        <w:t>e</w:t>
      </w:r>
      <w:r w:rsidRPr="003D0364">
        <w:t>slut.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rubrik"/>
      </w:pPr>
      <w:r w:rsidRPr="003D0364">
        <w:t>Rättslig grund och beslutsförfarande</w:t>
      </w:r>
    </w:p>
    <w:p w:rsidR="00551A77" w:rsidRPr="003D0364" w:rsidRDefault="00551A77">
      <w:pPr>
        <w:pStyle w:val="RKnormal"/>
      </w:pPr>
      <w:r w:rsidRPr="003D0364">
        <w:t>Artikel 308 i EG-fördraget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rubrik"/>
        <w:rPr>
          <w:i/>
          <w:iCs/>
        </w:rPr>
      </w:pPr>
      <w:r w:rsidRPr="003D0364">
        <w:rPr>
          <w:i/>
          <w:iCs/>
        </w:rPr>
        <w:t>Svensk ståndpunkt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Sverige skall arbeta aktivt för att samarbetet på räddningstjänsto</w:t>
      </w:r>
      <w:r w:rsidRPr="003D0364">
        <w:t>m</w:t>
      </w:r>
      <w:r w:rsidRPr="003D0364">
        <w:t xml:space="preserve">rådet vidareutvecklas och förstärks. 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Sverige anser att det är viktigt att det finansiella instrumentet r</w:t>
      </w:r>
      <w:r w:rsidRPr="003D0364">
        <w:t>e</w:t>
      </w:r>
      <w:r w:rsidRPr="003D0364">
        <w:t>spekterar den överenskomna fördelningen av ansvar mellan olika d</w:t>
      </w:r>
      <w:r w:rsidRPr="003D0364">
        <w:t>e</w:t>
      </w:r>
      <w:r w:rsidRPr="003D0364">
        <w:t>lar av kommissionen, mellan rådet och kommissionen samt me</w:t>
      </w:r>
      <w:r w:rsidRPr="003D0364">
        <w:t>d</w:t>
      </w:r>
      <w:r w:rsidRPr="003D0364">
        <w:t>lemsländernas huvudansvar för omr</w:t>
      </w:r>
      <w:r w:rsidRPr="003D0364">
        <w:t>å</w:t>
      </w:r>
      <w:r w:rsidRPr="003D0364">
        <w:t>det.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Samarbetet skall grundas på det faktum att området inte är en g</w:t>
      </w:r>
      <w:r w:rsidRPr="003D0364">
        <w:t>e</w:t>
      </w:r>
      <w:r w:rsidRPr="003D0364">
        <w:t>menskapskompetens; kommissionen har här endast en stö</w:t>
      </w:r>
      <w:r w:rsidRPr="003D0364">
        <w:t>d</w:t>
      </w:r>
      <w:r w:rsidRPr="003D0364">
        <w:t>jande roll.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Duplicering av andra i</w:t>
      </w:r>
      <w:r w:rsidRPr="003D0364">
        <w:t>n</w:t>
      </w:r>
      <w:r w:rsidRPr="003D0364">
        <w:t xml:space="preserve">strument skall undvikas. 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Det överordnade målet är att de åtgärder som omfattas av instr</w:t>
      </w:r>
      <w:r w:rsidRPr="003D0364">
        <w:t>u</w:t>
      </w:r>
      <w:r w:rsidRPr="003D0364">
        <w:t>mentet skall vara till gagn för samarbetet och för dem som drabbas av en k</w:t>
      </w:r>
      <w:r w:rsidRPr="003D0364">
        <w:t>a</w:t>
      </w:r>
      <w:r w:rsidRPr="003D0364">
        <w:t>tastrof.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Samarbetet skall vara kostnadseffektivt.</w:t>
      </w:r>
    </w:p>
    <w:p w:rsidR="00551A77" w:rsidRPr="003D0364" w:rsidRDefault="00551A77">
      <w:pPr>
        <w:pStyle w:val="Bollsats"/>
      </w:pPr>
      <w:r w:rsidRPr="003D0364">
        <w:t>•</w:t>
      </w:r>
      <w:r w:rsidRPr="003D0364">
        <w:tab/>
        <w:t>Samarbetet skall inte ersätta respektive medlemslands eget ansvar på området. EU-samarbetet skall träda in när den nationella förmågan inte räcker till att hantera extraordinära händelser.</w:t>
      </w:r>
    </w:p>
    <w:p w:rsidR="00551A77" w:rsidRPr="003D0364" w:rsidRDefault="00551A77"/>
    <w:p w:rsidR="00551A77" w:rsidRPr="003D0364" w:rsidRDefault="00551A77">
      <w:r w:rsidRPr="003D0364">
        <w:t>SE välkomnar kommissionens förslag till finansieringsinstrument för samarbetet på räddningstjänstområdet och har i förhandlingarna aktivt bidragit till att det skall utgöra den grund för en nödvändig förstärkning av samarbetet, och inte minst av gemenskapsmekanismen för räddning</w:t>
      </w:r>
      <w:r w:rsidRPr="003D0364">
        <w:t>s</w:t>
      </w:r>
      <w:r w:rsidRPr="003D0364">
        <w:t xml:space="preserve">tjänst.  </w:t>
      </w:r>
    </w:p>
    <w:p w:rsidR="00551A77" w:rsidRPr="003D0364" w:rsidRDefault="00551A77"/>
    <w:p w:rsidR="00551A77" w:rsidRPr="003D0364" w:rsidRDefault="00551A77">
      <w:r w:rsidRPr="003D0364">
        <w:t xml:space="preserve">SE har i förhandlingarna haft handlingslinjen att nuvarande principer för finansiering av insatser </w:t>
      </w:r>
      <w:r w:rsidRPr="003D0364">
        <w:rPr>
          <w:b/>
          <w:bCs/>
        </w:rPr>
        <w:t>inom</w:t>
      </w:r>
      <w:r w:rsidRPr="003D0364">
        <w:t xml:space="preserve"> EU, då gemenskapsmekanismen används, också skall gälla i fortsättningen. Dessa innebär att det medlemsland som begär hjälp skall stå för de kostnader som är förknippade med hjälpen, inklusive eventuella transportkostn</w:t>
      </w:r>
      <w:r w:rsidRPr="003D0364">
        <w:t>a</w:t>
      </w:r>
      <w:r w:rsidRPr="003D0364">
        <w:t>der.</w:t>
      </w:r>
    </w:p>
    <w:p w:rsidR="00551A77" w:rsidRPr="003D0364" w:rsidRDefault="00551A77"/>
    <w:p w:rsidR="00551A77" w:rsidRPr="003D0364" w:rsidRDefault="00551A77">
      <w:r w:rsidRPr="003D0364">
        <w:t>Beträffande kommissionens förslag om gemensamfinansiering av tran</w:t>
      </w:r>
      <w:r w:rsidRPr="003D0364">
        <w:t>s</w:t>
      </w:r>
      <w:r w:rsidRPr="003D0364">
        <w:t xml:space="preserve">porter </w:t>
      </w:r>
      <w:r w:rsidRPr="003D0364">
        <w:rPr>
          <w:b/>
        </w:rPr>
        <w:t>utanför</w:t>
      </w:r>
      <w:r w:rsidRPr="003D0364">
        <w:t xml:space="preserve"> EU har SE tillsammans med flera andra medlemsländer i förhandlingarna efterlyst en grundlig analys av behovet av gemensamf</w:t>
      </w:r>
      <w:r w:rsidRPr="003D0364">
        <w:t>i</w:t>
      </w:r>
      <w:r w:rsidRPr="003D0364">
        <w:t>nansiering sådana transporter, innan vidare diskussioner förs om finans</w:t>
      </w:r>
      <w:r w:rsidRPr="003D0364">
        <w:t>i</w:t>
      </w:r>
      <w:r w:rsidRPr="003D0364">
        <w:t>ering, m</w:t>
      </w:r>
      <w:r w:rsidRPr="003D0364">
        <w:t>o</w:t>
      </w:r>
      <w:r w:rsidRPr="003D0364">
        <w:t>daliteter mm. I avsaknad av en tillfredsställande sådan analys är det inte möjligt att ha en välgrundad uppfattning om mervärdet av Kommi</w:t>
      </w:r>
      <w:r w:rsidRPr="003D0364">
        <w:t>s</w:t>
      </w:r>
      <w:r w:rsidRPr="003D0364">
        <w:t xml:space="preserve">sionens förslag. </w:t>
      </w:r>
    </w:p>
    <w:p w:rsidR="00551A77" w:rsidRPr="003D0364" w:rsidRDefault="00551A77"/>
    <w:p w:rsidR="00551A77" w:rsidRPr="003D0364" w:rsidRDefault="00551A77">
      <w:r w:rsidRPr="003D0364">
        <w:t>Beträffande system för Early Warning har SE i förhandlingarna framhå</w:t>
      </w:r>
      <w:r w:rsidRPr="003D0364">
        <w:t>l</w:t>
      </w:r>
      <w:r w:rsidRPr="003D0364">
        <w:t>lit att man kan godta förslaget under förutsättning att det innebär att f</w:t>
      </w:r>
      <w:r w:rsidRPr="003D0364">
        <w:t>i</w:t>
      </w:r>
      <w:r w:rsidRPr="003D0364">
        <w:t>nansieringsi</w:t>
      </w:r>
      <w:r w:rsidRPr="003D0364">
        <w:t>n</w:t>
      </w:r>
      <w:r w:rsidRPr="003D0364">
        <w:t>strumentet endast används för att stödja arbete som leder till att det stora antalet redan existerande förvarningssystem inom EU används på ett effektivare och mer samor</w:t>
      </w:r>
      <w:r w:rsidRPr="003D0364">
        <w:t>d</w:t>
      </w:r>
      <w:r w:rsidRPr="003D0364">
        <w:t xml:space="preserve">nat sätt. </w:t>
      </w:r>
    </w:p>
    <w:p w:rsidR="00551A77" w:rsidRPr="003D0364" w:rsidRDefault="00551A77"/>
    <w:p w:rsidR="00551A77" w:rsidRPr="003D0364" w:rsidRDefault="00551A77">
      <w:r w:rsidRPr="003D0364">
        <w:t>SE har i förhandlingarna haft ståndpunkten att det beslut, som av me</w:t>
      </w:r>
      <w:r w:rsidRPr="003D0364">
        <w:t>d</w:t>
      </w:r>
      <w:r w:rsidRPr="003D0364">
        <w:t>lemsländerna redan fattat i december 2005, att rättsakten skall ha fo</w:t>
      </w:r>
      <w:r w:rsidRPr="003D0364">
        <w:t>r</w:t>
      </w:r>
      <w:r w:rsidRPr="003D0364">
        <w:t xml:space="preserve">men av ett beslut och inte en förordning, fortsatt skall gälla. </w:t>
      </w:r>
    </w:p>
    <w:p w:rsidR="00551A77" w:rsidRPr="003D0364" w:rsidRDefault="00551A77">
      <w:pPr>
        <w:pStyle w:val="RKrubrik"/>
        <w:rPr>
          <w:i/>
          <w:iCs/>
        </w:rPr>
      </w:pPr>
      <w:r w:rsidRPr="003D0364">
        <w:rPr>
          <w:i/>
          <w:iCs/>
        </w:rPr>
        <w:t>Förslaget</w:t>
      </w:r>
    </w:p>
    <w:p w:rsidR="00551A77" w:rsidRPr="003D0364" w:rsidRDefault="00551A77">
      <w:pPr>
        <w:spacing w:line="240" w:lineRule="auto"/>
      </w:pPr>
      <w:r w:rsidRPr="003D0364">
        <w:t>Förslag till finansiellt instrument syftande till att ytterligare stödja och underlätta medlemsländernas samarbete på räddningstjänstområdet i a</w:t>
      </w:r>
      <w:r w:rsidRPr="003D0364">
        <w:t>v</w:t>
      </w:r>
      <w:r w:rsidRPr="003D0364">
        <w:t>sikt att stärka skyddet av befolkning, miljö och ege</w:t>
      </w:r>
      <w:r w:rsidRPr="003D0364">
        <w:t>n</w:t>
      </w:r>
      <w:r w:rsidRPr="003D0364">
        <w:t>dom i händelse av stora olyckor, katastrofer och terroristattacker.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rubrik"/>
        <w:rPr>
          <w:i/>
          <w:iCs/>
        </w:rPr>
      </w:pPr>
      <w:r w:rsidRPr="003D0364">
        <w:rPr>
          <w:i/>
          <w:iCs/>
        </w:rPr>
        <w:t>Gällande svenska regler och förslagets effekter på dessa</w:t>
      </w:r>
    </w:p>
    <w:p w:rsidR="00551A77" w:rsidRPr="003D0364" w:rsidRDefault="00551A77">
      <w:r w:rsidRPr="003D0364">
        <w:t>Instrumentet avser finansiering av icke-harmoniserat samarb</w:t>
      </w:r>
      <w:r w:rsidRPr="003D0364">
        <w:t>e</w:t>
      </w:r>
      <w:r w:rsidRPr="003D0364">
        <w:t>te på samma sätt som sker i dag. Gällande svenska regler, exempelvis lagen om skydd mot olyckor och motsvarande förordning, påverkas inte av de aktiviteter som finansieras genom i</w:t>
      </w:r>
      <w:r w:rsidRPr="003D0364">
        <w:t>n</w:t>
      </w:r>
      <w:r w:rsidRPr="003D0364">
        <w:t>strumentet.</w:t>
      </w: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rubrik"/>
      </w:pPr>
      <w:r w:rsidRPr="003D0364">
        <w:t>Ekonomiska konsekvenser</w:t>
      </w:r>
    </w:p>
    <w:p w:rsidR="00551A77" w:rsidRPr="003D0364" w:rsidRDefault="00551A77">
      <w:r w:rsidRPr="003D0364">
        <w:t>Referenssumman för genomförandet av instrumentet är enligt förslaget 175 miljoner euro för perioden 2007-2013. Av dessa föreslås 119 miljoner euro belasta underrubrik 3B, ”Medborgarskap” i det finansiella ramverket för 2007-2013 och 56 miljoner euro underrubrik 4, ”EU som global partner”.</w:t>
      </w:r>
    </w:p>
    <w:p w:rsidR="00551A77" w:rsidRPr="003D0364" w:rsidRDefault="00551A77">
      <w:pPr>
        <w:pStyle w:val="RKnormal"/>
        <w:rPr>
          <w:i/>
          <w:iCs/>
        </w:rPr>
      </w:pPr>
    </w:p>
    <w:p w:rsidR="00551A77" w:rsidRPr="003D0364" w:rsidRDefault="00551A77">
      <w:pPr>
        <w:pStyle w:val="RKnormal"/>
        <w:ind w:left="-1134"/>
      </w:pPr>
    </w:p>
    <w:p w:rsidR="00551A77" w:rsidRPr="003D0364" w:rsidRDefault="00551A77">
      <w:pPr>
        <w:pStyle w:val="RKrubrik"/>
        <w:spacing w:before="0" w:after="0"/>
      </w:pPr>
    </w:p>
    <w:p w:rsidR="00551A77" w:rsidRPr="003D0364" w:rsidRDefault="00551A77">
      <w:pPr>
        <w:pStyle w:val="RKnormal"/>
      </w:pPr>
    </w:p>
    <w:p w:rsidR="00551A77" w:rsidRPr="003D0364" w:rsidRDefault="00551A77">
      <w:pPr>
        <w:pStyle w:val="RKnormal"/>
      </w:pPr>
    </w:p>
    <w:sectPr w:rsidR="00551A77" w:rsidRPr="003D036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A77" w:rsidRPr="003D0364" w:rsidRDefault="00551A77">
      <w:pPr>
        <w:spacing w:line="240" w:lineRule="auto"/>
      </w:pPr>
      <w:r w:rsidRPr="003D0364">
        <w:separator/>
      </w:r>
    </w:p>
  </w:endnote>
  <w:endnote w:type="continuationSeparator" w:id="0">
    <w:p w:rsidR="00551A77" w:rsidRPr="003D0364" w:rsidRDefault="00551A77">
      <w:pPr>
        <w:spacing w:line="240" w:lineRule="auto"/>
      </w:pPr>
      <w:r w:rsidRPr="003D03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A77" w:rsidRPr="003D0364" w:rsidRDefault="00551A77">
      <w:pPr>
        <w:spacing w:line="240" w:lineRule="auto"/>
      </w:pPr>
      <w:r w:rsidRPr="003D0364">
        <w:separator/>
      </w:r>
    </w:p>
  </w:footnote>
  <w:footnote w:type="continuationSeparator" w:id="0">
    <w:p w:rsidR="00551A77" w:rsidRPr="003D0364" w:rsidRDefault="00551A77">
      <w:pPr>
        <w:spacing w:line="240" w:lineRule="auto"/>
      </w:pPr>
      <w:r w:rsidRPr="003D03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A77" w:rsidRPr="003D0364" w:rsidRDefault="00551A77">
    <w:pPr>
      <w:pStyle w:val="Sidhuvud"/>
      <w:framePr w:wrap="around" w:vAnchor="text" w:hAnchor="margin" w:xAlign="right" w:y="1"/>
      <w:rPr>
        <w:rStyle w:val="Sidnummer"/>
      </w:rPr>
    </w:pPr>
    <w:r w:rsidRPr="003D0364">
      <w:rPr>
        <w:rStyle w:val="Sidnummer"/>
      </w:rPr>
      <w:fldChar w:fldCharType="begin" w:fldLock="1"/>
    </w:r>
    <w:r w:rsidRPr="003D0364">
      <w:rPr>
        <w:rStyle w:val="Sidnummer"/>
      </w:rPr>
      <w:instrText xml:space="preserve">PAGE  </w:instrText>
    </w:r>
    <w:r w:rsidRPr="003D0364">
      <w:rPr>
        <w:rStyle w:val="Sidnummer"/>
      </w:rPr>
      <w:fldChar w:fldCharType="separate"/>
    </w:r>
    <w:r w:rsidRPr="003D0364">
      <w:rPr>
        <w:rStyle w:val="Sidnummer"/>
      </w:rPr>
      <w:t>4</w:t>
    </w:r>
    <w:r w:rsidRPr="003D036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3D036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51A77" w:rsidRPr="003D0364" w:rsidRDefault="00551A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51A77" w:rsidRPr="003D0364" w:rsidRDefault="00551A77">
          <w:pPr>
            <w:pStyle w:val="Sidhuvud"/>
            <w:ind w:right="360"/>
          </w:pPr>
        </w:p>
      </w:tc>
      <w:tc>
        <w:tcPr>
          <w:tcW w:w="1525" w:type="dxa"/>
        </w:tcPr>
        <w:p w:rsidR="00551A77" w:rsidRPr="003D0364" w:rsidRDefault="00551A77">
          <w:pPr>
            <w:pStyle w:val="Sidhuvud"/>
            <w:ind w:right="360"/>
          </w:pPr>
        </w:p>
      </w:tc>
    </w:tr>
  </w:tbl>
  <w:p w:rsidR="00551A77" w:rsidRPr="003D0364" w:rsidRDefault="00551A7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A77" w:rsidRPr="003D0364" w:rsidRDefault="00551A77">
    <w:pPr>
      <w:pStyle w:val="Sidhuvud"/>
      <w:framePr w:wrap="around" w:vAnchor="text" w:hAnchor="margin" w:xAlign="right" w:y="1"/>
      <w:rPr>
        <w:rStyle w:val="Sidnummer"/>
      </w:rPr>
    </w:pPr>
    <w:r w:rsidRPr="003D0364">
      <w:rPr>
        <w:rStyle w:val="Sidnummer"/>
      </w:rPr>
      <w:fldChar w:fldCharType="begin" w:fldLock="1"/>
    </w:r>
    <w:r w:rsidRPr="003D0364">
      <w:rPr>
        <w:rStyle w:val="Sidnummer"/>
      </w:rPr>
      <w:instrText xml:space="preserve">PAGE  </w:instrText>
    </w:r>
    <w:r w:rsidRPr="003D0364">
      <w:rPr>
        <w:rStyle w:val="Sidnummer"/>
      </w:rPr>
      <w:fldChar w:fldCharType="separate"/>
    </w:r>
    <w:r w:rsidRPr="003D0364">
      <w:rPr>
        <w:rStyle w:val="Sidnummer"/>
      </w:rPr>
      <w:t>3</w:t>
    </w:r>
    <w:r w:rsidRPr="003D036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3D036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51A77" w:rsidRPr="003D0364" w:rsidRDefault="00551A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51A77" w:rsidRPr="003D0364" w:rsidRDefault="00551A77">
          <w:pPr>
            <w:pStyle w:val="Sidhuvud"/>
            <w:ind w:right="360"/>
          </w:pPr>
        </w:p>
      </w:tc>
      <w:tc>
        <w:tcPr>
          <w:tcW w:w="1525" w:type="dxa"/>
        </w:tcPr>
        <w:p w:rsidR="00551A77" w:rsidRPr="003D0364" w:rsidRDefault="00551A77">
          <w:pPr>
            <w:pStyle w:val="Sidhuvud"/>
            <w:ind w:right="360"/>
          </w:pPr>
        </w:p>
      </w:tc>
    </w:tr>
  </w:tbl>
  <w:p w:rsidR="00551A77" w:rsidRPr="003D0364" w:rsidRDefault="00551A7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A77" w:rsidRPr="003D0364" w:rsidRDefault="003D0364">
    <w:pPr>
      <w:framePr w:w="2948" w:h="1321" w:hRule="exact" w:wrap="notBeside" w:vAnchor="page" w:hAnchor="page" w:x="1362" w:y="653"/>
    </w:pPr>
    <w:r w:rsidRPr="003D036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1A77" w:rsidRPr="003D0364" w:rsidRDefault="00551A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51A77" w:rsidRPr="003D0364" w:rsidRDefault="00551A77">
    <w:pPr>
      <w:rPr>
        <w:rFonts w:ascii="TradeGothic" w:hAnsi="TradeGothic"/>
        <w:b/>
        <w:bCs/>
        <w:spacing w:val="12"/>
        <w:sz w:val="22"/>
      </w:rPr>
    </w:pPr>
  </w:p>
  <w:p w:rsidR="00551A77" w:rsidRPr="003D0364" w:rsidRDefault="00551A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51A77" w:rsidRPr="003D0364" w:rsidRDefault="00551A7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6C6788"/>
    <w:rsid w:val="003D0364"/>
    <w:rsid w:val="00551A77"/>
    <w:rsid w:val="006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53FBC-5994-4448-B403-883D48C4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semiHidden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semiHidden/>
  </w:style>
  <w:style w:type="paragraph" w:customStyle="1" w:styleId="Bollsats">
    <w:name w:val="Bollsats"/>
    <w:basedOn w:val="Normal"/>
    <w:pPr>
      <w:overflowPunct/>
      <w:autoSpaceDE/>
      <w:autoSpaceDN/>
      <w:adjustRightInd/>
      <w:spacing w:before="122"/>
      <w:ind w:left="425" w:hanging="425"/>
      <w:jc w:val="both"/>
      <w:textAlignment w:val="auto"/>
    </w:pPr>
    <w:rPr>
      <w:lang w:eastAsia="sv-SE"/>
    </w:rPr>
  </w:style>
  <w:style w:type="character" w:styleId="Fotnotsreferens">
    <w:name w:val="footnote reference"/>
    <w:aliases w:val="BVI fnr,Footnote symbol"/>
    <w:basedOn w:val="Standardstycketeckensnitt"/>
    <w:semiHidden/>
    <w:rPr>
      <w:b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905</Words>
  <Characters>5831</Characters>
  <Application>Microsoft Office Word</Application>
  <DocSecurity>4</DocSecurity>
  <Lines>153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2025-12-16T23:20:00Z</dcterms:created>
  <dcterms:modified xsi:type="dcterms:W3CDTF">2025-12-16T23:20:00Z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