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3075B">
        <w:tblPrEx>
          <w:tblCellMar>
            <w:top w:w="0" w:type="dxa"/>
            <w:bottom w:w="0" w:type="dxa"/>
          </w:tblCellMar>
        </w:tblPrEx>
        <w:tc>
          <w:tcPr>
            <w:tcW w:w="2268" w:type="dxa"/>
          </w:tcPr>
          <w:p w:rsidR="006E4E11" w:rsidRPr="0083075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3075B" w:rsidRDefault="006E4E11" w:rsidP="007242A3">
            <w:pPr>
              <w:framePr w:w="5035" w:h="1644" w:wrap="notBeside" w:vAnchor="page" w:hAnchor="page" w:x="6573" w:y="721"/>
              <w:rPr>
                <w:rFonts w:ascii="TradeGothic" w:hAnsi="TradeGothic"/>
                <w:i/>
                <w:sz w:val="18"/>
              </w:rPr>
            </w:pPr>
          </w:p>
        </w:tc>
      </w:tr>
      <w:tr w:rsidR="006E4E11" w:rsidRPr="0083075B">
        <w:tblPrEx>
          <w:tblCellMar>
            <w:top w:w="0" w:type="dxa"/>
            <w:bottom w:w="0" w:type="dxa"/>
          </w:tblCellMar>
        </w:tblPrEx>
        <w:tc>
          <w:tcPr>
            <w:tcW w:w="2268" w:type="dxa"/>
          </w:tcPr>
          <w:p w:rsidR="006E4E11" w:rsidRPr="0083075B" w:rsidRDefault="00820538" w:rsidP="007242A3">
            <w:pPr>
              <w:framePr w:w="5035" w:h="1644" w:wrap="notBeside" w:vAnchor="page" w:hAnchor="page" w:x="6573" w:y="721"/>
              <w:rPr>
                <w:rFonts w:ascii="TradeGothic" w:hAnsi="TradeGothic"/>
                <w:b/>
                <w:sz w:val="22"/>
              </w:rPr>
            </w:pPr>
            <w:r w:rsidRPr="0083075B">
              <w:rPr>
                <w:rFonts w:ascii="TradeGothic" w:hAnsi="TradeGothic"/>
                <w:b/>
                <w:sz w:val="22"/>
              </w:rPr>
              <w:t xml:space="preserve">Promemoria </w:t>
            </w:r>
          </w:p>
        </w:tc>
        <w:tc>
          <w:tcPr>
            <w:tcW w:w="2999" w:type="dxa"/>
            <w:gridSpan w:val="2"/>
          </w:tcPr>
          <w:p w:rsidR="006E4E11" w:rsidRPr="0083075B" w:rsidRDefault="006E4E11" w:rsidP="007242A3">
            <w:pPr>
              <w:framePr w:w="5035" w:h="1644" w:wrap="notBeside" w:vAnchor="page" w:hAnchor="page" w:x="6573" w:y="721"/>
              <w:rPr>
                <w:rFonts w:ascii="TradeGothic" w:hAnsi="TradeGothic"/>
                <w:b/>
                <w:sz w:val="22"/>
              </w:rPr>
            </w:pPr>
          </w:p>
        </w:tc>
      </w:tr>
      <w:tr w:rsidR="006E4E11" w:rsidRPr="0083075B">
        <w:tblPrEx>
          <w:tblCellMar>
            <w:top w:w="0" w:type="dxa"/>
            <w:bottom w:w="0" w:type="dxa"/>
          </w:tblCellMar>
        </w:tblPrEx>
        <w:tc>
          <w:tcPr>
            <w:tcW w:w="3402" w:type="dxa"/>
            <w:gridSpan w:val="2"/>
          </w:tcPr>
          <w:p w:rsidR="006E4E11" w:rsidRPr="0083075B" w:rsidRDefault="006E4E11" w:rsidP="007242A3">
            <w:pPr>
              <w:framePr w:w="5035" w:h="1644" w:wrap="notBeside" w:vAnchor="page" w:hAnchor="page" w:x="6573" w:y="721"/>
            </w:pPr>
          </w:p>
        </w:tc>
        <w:tc>
          <w:tcPr>
            <w:tcW w:w="1865" w:type="dxa"/>
          </w:tcPr>
          <w:p w:rsidR="006E4E11" w:rsidRPr="0083075B" w:rsidRDefault="006E4E11" w:rsidP="007242A3">
            <w:pPr>
              <w:framePr w:w="5035" w:h="1644" w:wrap="notBeside" w:vAnchor="page" w:hAnchor="page" w:x="6573" w:y="721"/>
            </w:pPr>
          </w:p>
        </w:tc>
      </w:tr>
      <w:tr w:rsidR="006E4E11" w:rsidRPr="0083075B">
        <w:tblPrEx>
          <w:tblCellMar>
            <w:top w:w="0" w:type="dxa"/>
            <w:bottom w:w="0" w:type="dxa"/>
          </w:tblCellMar>
        </w:tblPrEx>
        <w:tc>
          <w:tcPr>
            <w:tcW w:w="2268" w:type="dxa"/>
          </w:tcPr>
          <w:p w:rsidR="006E4E11" w:rsidRPr="0083075B" w:rsidRDefault="00452851" w:rsidP="007242A3">
            <w:pPr>
              <w:framePr w:w="5035" w:h="1644" w:wrap="notBeside" w:vAnchor="page" w:hAnchor="page" w:x="6573" w:y="721"/>
            </w:pPr>
            <w:r w:rsidRPr="0083075B">
              <w:t>2012-02-02</w:t>
            </w:r>
          </w:p>
          <w:p w:rsidR="003748BA" w:rsidRPr="0083075B" w:rsidRDefault="003748BA" w:rsidP="007242A3">
            <w:pPr>
              <w:framePr w:w="5035" w:h="1644" w:wrap="notBeside" w:vAnchor="page" w:hAnchor="page" w:x="6573" w:y="721"/>
            </w:pPr>
          </w:p>
        </w:tc>
        <w:tc>
          <w:tcPr>
            <w:tcW w:w="2999" w:type="dxa"/>
            <w:gridSpan w:val="2"/>
          </w:tcPr>
          <w:p w:rsidR="006E4E11" w:rsidRPr="0083075B" w:rsidRDefault="006E4E11" w:rsidP="007242A3">
            <w:pPr>
              <w:framePr w:w="5035" w:h="1644" w:wrap="notBeside" w:vAnchor="page" w:hAnchor="page" w:x="6573" w:y="721"/>
            </w:pPr>
          </w:p>
        </w:tc>
      </w:tr>
      <w:tr w:rsidR="006E4E11" w:rsidRPr="0083075B">
        <w:tblPrEx>
          <w:tblCellMar>
            <w:top w:w="0" w:type="dxa"/>
            <w:bottom w:w="0" w:type="dxa"/>
          </w:tblCellMar>
        </w:tblPrEx>
        <w:tc>
          <w:tcPr>
            <w:tcW w:w="2268" w:type="dxa"/>
          </w:tcPr>
          <w:p w:rsidR="006E4E11" w:rsidRPr="0083075B" w:rsidRDefault="006E4E11" w:rsidP="007242A3">
            <w:pPr>
              <w:framePr w:w="5035" w:h="1644" w:wrap="notBeside" w:vAnchor="page" w:hAnchor="page" w:x="6573" w:y="721"/>
            </w:pPr>
          </w:p>
        </w:tc>
        <w:tc>
          <w:tcPr>
            <w:tcW w:w="2999" w:type="dxa"/>
            <w:gridSpan w:val="2"/>
          </w:tcPr>
          <w:p w:rsidR="006E4E11" w:rsidRPr="0083075B" w:rsidRDefault="006E4E11" w:rsidP="007242A3">
            <w:pPr>
              <w:framePr w:w="5035" w:h="1644" w:wrap="notBeside" w:vAnchor="page" w:hAnchor="page" w:x="6573" w:y="721"/>
            </w:pPr>
          </w:p>
        </w:tc>
      </w:tr>
    </w:tbl>
    <w:p w:rsidR="00C95C0D" w:rsidRPr="0083075B" w:rsidRDefault="00C95C0D" w:rsidP="00C95C0D">
      <w:pPr>
        <w:rPr>
          <w:vanish/>
        </w:rPr>
      </w:pPr>
    </w:p>
    <w:tbl>
      <w:tblPr>
        <w:tblW w:w="0" w:type="auto"/>
        <w:tblLayout w:type="fixed"/>
        <w:tblLook w:val="0000" w:firstRow="0" w:lastRow="0" w:firstColumn="0" w:lastColumn="0" w:noHBand="0" w:noVBand="0"/>
      </w:tblPr>
      <w:tblGrid>
        <w:gridCol w:w="4911"/>
      </w:tblGrid>
      <w:tr w:rsidR="006E4E11" w:rsidRPr="0083075B">
        <w:tblPrEx>
          <w:tblCellMar>
            <w:top w:w="0" w:type="dxa"/>
            <w:bottom w:w="0" w:type="dxa"/>
          </w:tblCellMar>
        </w:tblPrEx>
        <w:trPr>
          <w:trHeight w:val="284"/>
        </w:trPr>
        <w:tc>
          <w:tcPr>
            <w:tcW w:w="4911" w:type="dxa"/>
          </w:tcPr>
          <w:p w:rsidR="006E4E11" w:rsidRPr="0083075B" w:rsidRDefault="00820538">
            <w:pPr>
              <w:pStyle w:val="Avsndare"/>
              <w:framePr w:h="2483" w:wrap="notBeside" w:x="1504"/>
              <w:rPr>
                <w:b/>
                <w:i w:val="0"/>
                <w:sz w:val="22"/>
              </w:rPr>
            </w:pPr>
            <w:r w:rsidRPr="0083075B">
              <w:rPr>
                <w:b/>
                <w:i w:val="0"/>
                <w:sz w:val="22"/>
              </w:rPr>
              <w:t>Näringsdepartementet</w:t>
            </w:r>
          </w:p>
        </w:tc>
      </w:tr>
      <w:tr w:rsidR="006E4E11" w:rsidRPr="0083075B">
        <w:tblPrEx>
          <w:tblCellMar>
            <w:top w:w="0" w:type="dxa"/>
            <w:bottom w:w="0" w:type="dxa"/>
          </w:tblCellMar>
        </w:tblPrEx>
        <w:trPr>
          <w:trHeight w:val="284"/>
        </w:trPr>
        <w:tc>
          <w:tcPr>
            <w:tcW w:w="4911" w:type="dxa"/>
          </w:tcPr>
          <w:p w:rsidR="006E4E11" w:rsidRPr="0083075B" w:rsidRDefault="006E4E11">
            <w:pPr>
              <w:pStyle w:val="Avsndare"/>
              <w:framePr w:h="2483" w:wrap="notBeside" w:x="1504"/>
              <w:rPr>
                <w:bCs/>
                <w:iCs/>
              </w:rPr>
            </w:pPr>
          </w:p>
        </w:tc>
      </w:tr>
      <w:tr w:rsidR="006E4E11" w:rsidRPr="0083075B">
        <w:tblPrEx>
          <w:tblCellMar>
            <w:top w:w="0" w:type="dxa"/>
            <w:bottom w:w="0" w:type="dxa"/>
          </w:tblCellMar>
        </w:tblPrEx>
        <w:trPr>
          <w:trHeight w:val="284"/>
        </w:trPr>
        <w:tc>
          <w:tcPr>
            <w:tcW w:w="4911" w:type="dxa"/>
          </w:tcPr>
          <w:p w:rsidR="006E4E11" w:rsidRPr="0083075B" w:rsidRDefault="006E4E11">
            <w:pPr>
              <w:pStyle w:val="Avsndare"/>
              <w:framePr w:h="2483" w:wrap="notBeside" w:x="1504"/>
              <w:rPr>
                <w:bCs/>
                <w:iCs/>
              </w:rPr>
            </w:pPr>
          </w:p>
        </w:tc>
      </w:tr>
      <w:tr w:rsidR="006E4E11" w:rsidRPr="0083075B">
        <w:tblPrEx>
          <w:tblCellMar>
            <w:top w:w="0" w:type="dxa"/>
            <w:bottom w:w="0" w:type="dxa"/>
          </w:tblCellMar>
        </w:tblPrEx>
        <w:trPr>
          <w:trHeight w:val="284"/>
        </w:trPr>
        <w:tc>
          <w:tcPr>
            <w:tcW w:w="4911" w:type="dxa"/>
          </w:tcPr>
          <w:p w:rsidR="006E4E11" w:rsidRPr="0083075B" w:rsidRDefault="006E4E11">
            <w:pPr>
              <w:pStyle w:val="Avsndare"/>
              <w:framePr w:h="2483" w:wrap="notBeside" w:x="1504"/>
              <w:rPr>
                <w:bCs/>
                <w:iCs/>
              </w:rPr>
            </w:pPr>
          </w:p>
        </w:tc>
      </w:tr>
      <w:tr w:rsidR="006E4E11" w:rsidRPr="0083075B">
        <w:tblPrEx>
          <w:tblCellMar>
            <w:top w:w="0" w:type="dxa"/>
            <w:bottom w:w="0" w:type="dxa"/>
          </w:tblCellMar>
        </w:tblPrEx>
        <w:trPr>
          <w:trHeight w:val="284"/>
        </w:trPr>
        <w:tc>
          <w:tcPr>
            <w:tcW w:w="4911" w:type="dxa"/>
          </w:tcPr>
          <w:p w:rsidR="006E4E11" w:rsidRPr="0083075B" w:rsidRDefault="006E4E11">
            <w:pPr>
              <w:pStyle w:val="Avsndare"/>
              <w:framePr w:h="2483" w:wrap="notBeside" w:x="1504"/>
              <w:rPr>
                <w:bCs/>
                <w:iCs/>
              </w:rPr>
            </w:pPr>
          </w:p>
        </w:tc>
      </w:tr>
      <w:tr w:rsidR="006E4E11" w:rsidRPr="0083075B">
        <w:tblPrEx>
          <w:tblCellMar>
            <w:top w:w="0" w:type="dxa"/>
            <w:bottom w:w="0" w:type="dxa"/>
          </w:tblCellMar>
        </w:tblPrEx>
        <w:trPr>
          <w:trHeight w:val="284"/>
        </w:trPr>
        <w:tc>
          <w:tcPr>
            <w:tcW w:w="4911" w:type="dxa"/>
          </w:tcPr>
          <w:p w:rsidR="006E4E11" w:rsidRPr="0083075B" w:rsidRDefault="006E4E11">
            <w:pPr>
              <w:pStyle w:val="Avsndare"/>
              <w:framePr w:h="2483" w:wrap="notBeside" w:x="1504"/>
              <w:rPr>
                <w:bCs/>
                <w:iCs/>
              </w:rPr>
            </w:pPr>
          </w:p>
        </w:tc>
      </w:tr>
      <w:tr w:rsidR="006E4E11" w:rsidRPr="0083075B">
        <w:tblPrEx>
          <w:tblCellMar>
            <w:top w:w="0" w:type="dxa"/>
            <w:bottom w:w="0" w:type="dxa"/>
          </w:tblCellMar>
        </w:tblPrEx>
        <w:trPr>
          <w:trHeight w:val="284"/>
        </w:trPr>
        <w:tc>
          <w:tcPr>
            <w:tcW w:w="4911" w:type="dxa"/>
          </w:tcPr>
          <w:p w:rsidR="006E4E11" w:rsidRPr="0083075B" w:rsidRDefault="006E4E11">
            <w:pPr>
              <w:pStyle w:val="Avsndare"/>
              <w:framePr w:h="2483" w:wrap="notBeside" w:x="1504"/>
              <w:rPr>
                <w:bCs/>
                <w:iCs/>
              </w:rPr>
            </w:pPr>
          </w:p>
        </w:tc>
      </w:tr>
      <w:tr w:rsidR="00820538" w:rsidRPr="0083075B">
        <w:tblPrEx>
          <w:tblCellMar>
            <w:top w:w="0" w:type="dxa"/>
            <w:bottom w:w="0" w:type="dxa"/>
          </w:tblCellMar>
        </w:tblPrEx>
        <w:trPr>
          <w:trHeight w:val="284"/>
        </w:trPr>
        <w:tc>
          <w:tcPr>
            <w:tcW w:w="4911" w:type="dxa"/>
          </w:tcPr>
          <w:p w:rsidR="00820538" w:rsidRPr="0083075B" w:rsidRDefault="00820538">
            <w:pPr>
              <w:pStyle w:val="Avsndare"/>
              <w:framePr w:h="2483" w:wrap="notBeside" w:x="1504"/>
              <w:rPr>
                <w:bCs/>
                <w:iCs/>
              </w:rPr>
            </w:pPr>
          </w:p>
        </w:tc>
      </w:tr>
    </w:tbl>
    <w:p w:rsidR="006E4E11" w:rsidRPr="0083075B" w:rsidRDefault="00820538">
      <w:pPr>
        <w:framePr w:w="4400" w:h="2523" w:wrap="notBeside" w:vAnchor="page" w:hAnchor="page" w:x="6453" w:y="2445"/>
        <w:ind w:left="142"/>
      </w:pPr>
      <w:r w:rsidRPr="0083075B">
        <w:t>EU-nämnden</w:t>
      </w:r>
    </w:p>
    <w:p w:rsidR="006E4E11" w:rsidRPr="0083075B" w:rsidRDefault="00820538" w:rsidP="00783472">
      <w:pPr>
        <w:pStyle w:val="RKrubrik"/>
        <w:pBdr>
          <w:bottom w:val="single" w:sz="4" w:space="1" w:color="000000"/>
        </w:pBdr>
        <w:spacing w:before="0" w:after="0"/>
      </w:pPr>
      <w:r w:rsidRPr="0083075B">
        <w:t xml:space="preserve">Kommenterad dagordning rådsmötet TTE (energi) den </w:t>
      </w:r>
      <w:r w:rsidR="00452851" w:rsidRPr="0083075B">
        <w:t xml:space="preserve">14 februari </w:t>
      </w:r>
      <w:r w:rsidRPr="0083075B">
        <w:t>20</w:t>
      </w:r>
      <w:r w:rsidR="00783472" w:rsidRPr="0083075B">
        <w:t>1</w:t>
      </w:r>
      <w:r w:rsidR="00452851" w:rsidRPr="0083075B">
        <w:t>2</w:t>
      </w:r>
    </w:p>
    <w:p w:rsidR="00CD796D" w:rsidRPr="0083075B" w:rsidRDefault="00CD796D" w:rsidP="00CD796D">
      <w:pPr>
        <w:spacing w:line="240" w:lineRule="auto"/>
      </w:pPr>
    </w:p>
    <w:p w:rsidR="00CD796D" w:rsidRPr="0083075B" w:rsidRDefault="00CD796D" w:rsidP="00CD796D">
      <w:pPr>
        <w:spacing w:line="240" w:lineRule="auto"/>
        <w:rPr>
          <w:b/>
          <w:bCs/>
        </w:rPr>
      </w:pPr>
      <w:r w:rsidRPr="0083075B">
        <w:rPr>
          <w:b/>
          <w:bCs/>
        </w:rPr>
        <w:t>1.</w:t>
      </w:r>
      <w:r w:rsidRPr="0083075B">
        <w:rPr>
          <w:b/>
          <w:bCs/>
        </w:rPr>
        <w:tab/>
        <w:t>Godkännande av dagordningen</w:t>
      </w:r>
    </w:p>
    <w:p w:rsidR="00CD796D" w:rsidRPr="0083075B" w:rsidRDefault="00CD796D" w:rsidP="00CD796D">
      <w:pPr>
        <w:spacing w:line="240" w:lineRule="auto"/>
        <w:rPr>
          <w:b/>
          <w:bCs/>
          <w:u w:val="single"/>
        </w:rPr>
      </w:pPr>
    </w:p>
    <w:p w:rsidR="00CD796D" w:rsidRPr="0083075B" w:rsidRDefault="00CD796D" w:rsidP="00CD796D">
      <w:pPr>
        <w:spacing w:line="240" w:lineRule="auto"/>
        <w:rPr>
          <w:b/>
          <w:bCs/>
          <w:u w:val="single"/>
        </w:rPr>
      </w:pPr>
    </w:p>
    <w:p w:rsidR="00CD796D" w:rsidRPr="0083075B" w:rsidRDefault="00CD796D" w:rsidP="00CD796D">
      <w:pPr>
        <w:spacing w:line="240" w:lineRule="auto"/>
        <w:outlineLvl w:val="0"/>
        <w:rPr>
          <w:b/>
          <w:bCs/>
          <w:color w:val="000000"/>
          <w:u w:val="single"/>
        </w:rPr>
      </w:pPr>
      <w:r w:rsidRPr="0083075B">
        <w:rPr>
          <w:b/>
          <w:bCs/>
          <w:color w:val="000000"/>
          <w:u w:val="single"/>
        </w:rPr>
        <w:t>Lagstiftningsöverläggningar</w:t>
      </w:r>
    </w:p>
    <w:p w:rsidR="00CD796D" w:rsidRPr="0083075B" w:rsidRDefault="00CD796D" w:rsidP="00CD796D">
      <w:pPr>
        <w:spacing w:line="240" w:lineRule="auto"/>
        <w:rPr>
          <w:b/>
          <w:bCs/>
          <w:i/>
          <w:color w:val="000000"/>
        </w:rPr>
      </w:pPr>
      <w:r w:rsidRPr="0083075B">
        <w:rPr>
          <w:b/>
          <w:bCs/>
          <w:i/>
          <w:color w:val="000000"/>
        </w:rPr>
        <w:t>(offentlig överläggning enligt artikel 16</w:t>
      </w:r>
      <w:r w:rsidR="00F342A5" w:rsidRPr="0083075B">
        <w:rPr>
          <w:b/>
          <w:bCs/>
          <w:i/>
          <w:color w:val="000000"/>
        </w:rPr>
        <w:t>(</w:t>
      </w:r>
      <w:r w:rsidRPr="0083075B">
        <w:rPr>
          <w:b/>
          <w:bCs/>
          <w:i/>
          <w:color w:val="000000"/>
        </w:rPr>
        <w:t>8</w:t>
      </w:r>
      <w:r w:rsidR="00F342A5" w:rsidRPr="0083075B">
        <w:rPr>
          <w:b/>
          <w:bCs/>
          <w:i/>
          <w:color w:val="000000"/>
        </w:rPr>
        <w:t>)</w:t>
      </w:r>
      <w:r w:rsidRPr="0083075B">
        <w:rPr>
          <w:b/>
          <w:bCs/>
          <w:i/>
          <w:color w:val="000000"/>
        </w:rPr>
        <w:t xml:space="preserve"> i fördraget om Europeiska unionen)</w:t>
      </w:r>
    </w:p>
    <w:p w:rsidR="00CD796D" w:rsidRPr="0083075B" w:rsidRDefault="00CD796D" w:rsidP="00CD796D">
      <w:pPr>
        <w:spacing w:line="240" w:lineRule="auto"/>
        <w:rPr>
          <w:iCs/>
        </w:rPr>
      </w:pPr>
    </w:p>
    <w:p w:rsidR="00054984" w:rsidRPr="0083075B" w:rsidRDefault="00CD796D" w:rsidP="00054984">
      <w:pPr>
        <w:spacing w:line="240" w:lineRule="auto"/>
        <w:rPr>
          <w:b/>
          <w:bCs/>
        </w:rPr>
      </w:pPr>
      <w:r w:rsidRPr="0083075B">
        <w:rPr>
          <w:b/>
          <w:bCs/>
        </w:rPr>
        <w:t>2.</w:t>
      </w:r>
      <w:r w:rsidRPr="0083075B">
        <w:rPr>
          <w:b/>
          <w:bCs/>
        </w:rPr>
        <w:tab/>
        <w:t>(ev.) Godkännande av A-punktslistan</w:t>
      </w:r>
    </w:p>
    <w:p w:rsidR="00054984" w:rsidRPr="0083075B" w:rsidRDefault="00054984" w:rsidP="00054984">
      <w:pPr>
        <w:spacing w:line="240" w:lineRule="auto"/>
        <w:rPr>
          <w:b/>
          <w:bCs/>
        </w:rPr>
      </w:pPr>
    </w:p>
    <w:p w:rsidR="00950EF9" w:rsidRPr="0083075B" w:rsidRDefault="00950EF9" w:rsidP="00950EF9">
      <w:pPr>
        <w:spacing w:line="240" w:lineRule="auto"/>
        <w:ind w:left="567" w:hanging="567"/>
        <w:rPr>
          <w:iCs/>
          <w:color w:val="000000"/>
        </w:rPr>
      </w:pPr>
    </w:p>
    <w:p w:rsidR="00950EF9" w:rsidRPr="0083075B" w:rsidRDefault="00950EF9" w:rsidP="00950EF9">
      <w:pPr>
        <w:pStyle w:val="Normalwebb"/>
        <w:ind w:left="567" w:hanging="567"/>
        <w:rPr>
          <w:b/>
          <w:lang w:val="sv-SE"/>
        </w:rPr>
      </w:pPr>
      <w:r w:rsidRPr="0083075B">
        <w:rPr>
          <w:b/>
          <w:lang w:val="sv-SE"/>
        </w:rPr>
        <w:t>3. Kommissionens förslag till förordning om energiinfrastruktur</w:t>
      </w:r>
    </w:p>
    <w:p w:rsidR="00950EF9" w:rsidRPr="0083075B" w:rsidRDefault="00950EF9" w:rsidP="00950EF9">
      <w:pPr>
        <w:spacing w:line="240" w:lineRule="auto"/>
        <w:ind w:left="1134" w:hanging="567"/>
        <w:jc w:val="both"/>
        <w:rPr>
          <w:i/>
          <w:color w:val="000000"/>
        </w:rPr>
      </w:pPr>
      <w:r w:rsidRPr="0083075B">
        <w:t>-</w:t>
      </w:r>
      <w:r w:rsidRPr="0083075B">
        <w:rPr>
          <w:i/>
          <w:color w:val="000000"/>
        </w:rPr>
        <w:t>Orienteringsdebatt</w:t>
      </w:r>
    </w:p>
    <w:p w:rsidR="00950EF9" w:rsidRPr="0083075B" w:rsidRDefault="00950EF9" w:rsidP="00950EF9">
      <w:pPr>
        <w:spacing w:line="240" w:lineRule="auto"/>
        <w:ind w:left="1134" w:hanging="567"/>
        <w:jc w:val="both"/>
        <w:rPr>
          <w:szCs w:val="24"/>
        </w:rPr>
      </w:pPr>
      <w:r w:rsidRPr="0083075B">
        <w:rPr>
          <w:szCs w:val="24"/>
        </w:rPr>
        <w:t>15813/11 ENER 330 CADREFIN 103 CODEC 1749</w:t>
      </w:r>
    </w:p>
    <w:p w:rsidR="00950EF9" w:rsidRPr="0083075B" w:rsidRDefault="00950EF9" w:rsidP="00950EF9">
      <w:pPr>
        <w:tabs>
          <w:tab w:val="left" w:pos="2835"/>
        </w:tabs>
        <w:ind w:firstLine="567"/>
        <w:rPr>
          <w:rFonts w:cs="OrigGarmnd BT"/>
          <w:color w:val="000000"/>
        </w:rPr>
      </w:pPr>
      <w:r w:rsidRPr="0083075B">
        <w:rPr>
          <w:rFonts w:cs="OrigGarmnd BT"/>
          <w:color w:val="000000"/>
        </w:rPr>
        <w:t>5329/12 ENER 10 CARDEFIN 23 CODEC 94</w:t>
      </w:r>
    </w:p>
    <w:p w:rsidR="00950EF9" w:rsidRPr="0083075B" w:rsidRDefault="00950EF9" w:rsidP="00950EF9">
      <w:pPr>
        <w:tabs>
          <w:tab w:val="left" w:pos="2835"/>
        </w:tabs>
        <w:rPr>
          <w:rFonts w:cs="OrigGarmnd BT"/>
          <w:color w:val="000000"/>
        </w:rPr>
      </w:pPr>
    </w:p>
    <w:p w:rsidR="00950EF9" w:rsidRPr="0083075B" w:rsidRDefault="00950EF9" w:rsidP="00950EF9">
      <w:pPr>
        <w:tabs>
          <w:tab w:val="left" w:pos="2835"/>
        </w:tabs>
      </w:pPr>
      <w:r w:rsidRPr="0083075B">
        <w:t>Frågan har behandlats i EU-nämnden tidigare vid ett tillfälle, den 18 november 2011.</w:t>
      </w:r>
    </w:p>
    <w:p w:rsidR="00950EF9" w:rsidRPr="0083075B" w:rsidRDefault="00950EF9" w:rsidP="00950EF9"/>
    <w:p w:rsidR="00950EF9" w:rsidRPr="0083075B" w:rsidRDefault="00950EF9" w:rsidP="00950EF9">
      <w:pPr>
        <w:rPr>
          <w:u w:val="single"/>
        </w:rPr>
      </w:pPr>
      <w:r w:rsidRPr="0083075B">
        <w:rPr>
          <w:u w:val="single"/>
        </w:rPr>
        <w:t>Bakgrund</w:t>
      </w:r>
    </w:p>
    <w:p w:rsidR="00950EF9" w:rsidRPr="0083075B" w:rsidRDefault="00950EF9" w:rsidP="00950EF9">
      <w:pPr>
        <w:pStyle w:val="RKnormal"/>
        <w:rPr>
          <w:bCs/>
          <w:iCs/>
        </w:rPr>
      </w:pPr>
      <w:r w:rsidRPr="0083075B">
        <w:rPr>
          <w:bCs/>
          <w:iCs/>
        </w:rPr>
        <w:t xml:space="preserve">Kommissionen antog den 19 oktober 2011 ett förslag till förordning om energiinfrastruktur. Förslaget baseras på EU:s energistrategi 2011-2020 samt på de infrastrukturprioriteringar för 2020 och framåt som antogs i februari (KOM (2010) 639 och KOM (2010) 677/4). </w:t>
      </w:r>
    </w:p>
    <w:p w:rsidR="00950EF9" w:rsidRPr="0083075B" w:rsidRDefault="00950EF9" w:rsidP="00950EF9">
      <w:pPr>
        <w:pStyle w:val="RKnormal"/>
        <w:rPr>
          <w:bCs/>
          <w:iCs/>
        </w:rPr>
      </w:pPr>
    </w:p>
    <w:p w:rsidR="00950EF9" w:rsidRPr="0083075B" w:rsidRDefault="00950EF9" w:rsidP="00950EF9">
      <w:pPr>
        <w:pStyle w:val="RKnormal"/>
        <w:rPr>
          <w:bCs/>
          <w:iCs/>
        </w:rPr>
      </w:pPr>
      <w:r w:rsidRPr="0083075B">
        <w:rPr>
          <w:bCs/>
          <w:iCs/>
        </w:rPr>
        <w:t xml:space="preserve">Bakgrunden till förslaget är kommissionens uppskattning att energiinfrastrukturinvesteringar på 200 miljarder euro behövs till 2020 för att klara EU:s klimat- och energimål. Vidare anges att de största hindren för att lyckas få dessa investeringar på plats före 2020 är långa och ineffektiva tillståndsprocesser samt avsaknad av möjligheter till finansiering av projekt. Dessutom nämns att regelverken kring nätregleringar och tariffsättning inte är konstruerade för den typ av infrastrukturprojekt som nu behöver etableras. </w:t>
      </w:r>
    </w:p>
    <w:p w:rsidR="00950EF9" w:rsidRPr="0083075B" w:rsidRDefault="00950EF9" w:rsidP="00950EF9">
      <w:pPr>
        <w:pStyle w:val="RKnormal"/>
        <w:rPr>
          <w:bCs/>
          <w:iCs/>
        </w:rPr>
      </w:pPr>
    </w:p>
    <w:p w:rsidR="00950EF9" w:rsidRPr="0083075B" w:rsidRDefault="00950EF9" w:rsidP="00950EF9">
      <w:pPr>
        <w:pStyle w:val="RKnormal"/>
        <w:rPr>
          <w:bCs/>
          <w:iCs/>
        </w:rPr>
      </w:pPr>
      <w:r w:rsidRPr="0083075B">
        <w:rPr>
          <w:bCs/>
          <w:iCs/>
        </w:rPr>
        <w:t xml:space="preserve">Förslaget syftar till att främja s.k. ”projekt av allmänt intresse” (PCI) inom tolv prioriterade geografiska korridorer och områden. </w:t>
      </w:r>
    </w:p>
    <w:p w:rsidR="00950EF9" w:rsidRPr="0083075B" w:rsidRDefault="00950EF9" w:rsidP="00950EF9">
      <w:pPr>
        <w:pStyle w:val="RKnormal"/>
        <w:rPr>
          <w:bCs/>
          <w:iCs/>
        </w:rPr>
      </w:pPr>
    </w:p>
    <w:p w:rsidR="00950EF9" w:rsidRPr="0083075B" w:rsidRDefault="00950EF9" w:rsidP="00950EF9">
      <w:pPr>
        <w:pStyle w:val="RKnormal"/>
        <w:rPr>
          <w:bCs/>
          <w:iCs/>
        </w:rPr>
      </w:pPr>
      <w:r w:rsidRPr="0083075B">
        <w:rPr>
          <w:bCs/>
          <w:iCs/>
        </w:rPr>
        <w:t>Projekten som kvalificeras till PCI ska enligt förslaget till förordning främjas genom att först och främst få en hög nationell prioritet. En ny metod för planering av energiinfrastruktur föreslås och PCI ska omfattas av en snabbare tillståndsprocess där en tidsgräns för tillståndsgivningen föreslås till maximalt tre år. Ett nytt regelverk kring nätreglering föreslås där kostnader ska kunna allokeras dit nyttovärden uppkommer. Projekten ska även kunna få finansiellt stöd genom den sk. ”Connecting Europe Facility” (KOM(2011) 655). Finansiering ska först och främst kunna ges för studier men även i vissa fall för genomförande av projekt.</w:t>
      </w:r>
    </w:p>
    <w:p w:rsidR="00950EF9" w:rsidRPr="0083075B" w:rsidRDefault="00950EF9" w:rsidP="00950EF9">
      <w:pPr>
        <w:pStyle w:val="RKnormal"/>
        <w:rPr>
          <w:bCs/>
          <w:iCs/>
        </w:rPr>
      </w:pPr>
    </w:p>
    <w:p w:rsidR="00950EF9" w:rsidRPr="0083075B" w:rsidRDefault="00950EF9" w:rsidP="00950EF9">
      <w:pPr>
        <w:pStyle w:val="RKnormal"/>
        <w:rPr>
          <w:bCs/>
          <w:iCs/>
        </w:rPr>
      </w:pPr>
      <w:r w:rsidRPr="0083075B">
        <w:rPr>
          <w:bCs/>
          <w:iCs/>
        </w:rPr>
        <w:t>Diskussionen i TTE-rådet kommer att fokuseras på två frågor. Den första handlar om de regionala gruppernas roll och den andra om de åtgärder som föreslås vad gäller reglering av energimarknader.</w:t>
      </w:r>
    </w:p>
    <w:p w:rsidR="00950EF9" w:rsidRPr="0083075B" w:rsidRDefault="00950EF9" w:rsidP="00950EF9">
      <w:pPr>
        <w:pStyle w:val="RKnormal"/>
        <w:rPr>
          <w:bCs/>
          <w:iCs/>
        </w:rPr>
      </w:pPr>
      <w:r w:rsidRPr="0083075B">
        <w:rPr>
          <w:bCs/>
          <w:iCs/>
        </w:rPr>
        <w:tab/>
      </w:r>
    </w:p>
    <w:p w:rsidR="00950EF9" w:rsidRPr="0083075B" w:rsidRDefault="00950EF9" w:rsidP="00950EF9">
      <w:pPr>
        <w:rPr>
          <w:u w:val="single"/>
        </w:rPr>
      </w:pPr>
      <w:r w:rsidRPr="0083075B">
        <w:rPr>
          <w:u w:val="single"/>
        </w:rPr>
        <w:t>Förslag till svensk ståndpunkt</w:t>
      </w:r>
    </w:p>
    <w:p w:rsidR="00950EF9" w:rsidRPr="0083075B" w:rsidRDefault="00950EF9" w:rsidP="00950EF9">
      <w:pPr>
        <w:pStyle w:val="RKnormal"/>
        <w:rPr>
          <w:bCs/>
          <w:iCs/>
        </w:rPr>
      </w:pPr>
    </w:p>
    <w:p w:rsidR="00950EF9" w:rsidRPr="0083075B" w:rsidRDefault="00950EF9" w:rsidP="00950EF9">
      <w:pPr>
        <w:pStyle w:val="RKnormal"/>
        <w:rPr>
          <w:bCs/>
          <w:iCs/>
        </w:rPr>
      </w:pPr>
      <w:r w:rsidRPr="0083075B">
        <w:rPr>
          <w:bCs/>
          <w:iCs/>
        </w:rPr>
        <w:t xml:space="preserve">Regeringen välkomnar att kommissionen uppmärksammar den viktiga roll energiinfrastruktur har för att bidra till att konkurrenskraft, försörjningstrygghet och hållbarhet. </w:t>
      </w:r>
    </w:p>
    <w:p w:rsidR="00950EF9" w:rsidRPr="0083075B" w:rsidRDefault="00950EF9" w:rsidP="00950EF9">
      <w:pPr>
        <w:pStyle w:val="RKnormal"/>
        <w:rPr>
          <w:bCs/>
          <w:iCs/>
        </w:rPr>
      </w:pPr>
    </w:p>
    <w:p w:rsidR="00950EF9" w:rsidRPr="0083075B" w:rsidRDefault="00950EF9" w:rsidP="00950EF9">
      <w:pPr>
        <w:pStyle w:val="RKnormal"/>
        <w:rPr>
          <w:bCs/>
          <w:iCs/>
        </w:rPr>
      </w:pPr>
      <w:r w:rsidRPr="0083075B">
        <w:rPr>
          <w:bCs/>
          <w:iCs/>
        </w:rPr>
        <w:t xml:space="preserve">Vad gäller urval av projekt av gemensamt intresse framhåller regeringen särskilt vikten av att den europeiska energiinfrastrukturen ska bidra till att uppnå EU:s energi- och klimatmål för 2020 och 2050. Regeringen verkar för att göra kriterierna som ligger till grund för vilka projekt som prioriteras tydligare styr mot dessa mål. </w:t>
      </w:r>
    </w:p>
    <w:p w:rsidR="00950EF9" w:rsidRPr="0083075B" w:rsidRDefault="00950EF9" w:rsidP="00950EF9">
      <w:pPr>
        <w:pStyle w:val="RKnormal"/>
        <w:rPr>
          <w:bCs/>
          <w:iCs/>
        </w:rPr>
      </w:pPr>
      <w:r w:rsidRPr="0083075B">
        <w:rPr>
          <w:bCs/>
          <w:iCs/>
        </w:rPr>
        <w:t xml:space="preserve"> </w:t>
      </w:r>
    </w:p>
    <w:p w:rsidR="00975E1E" w:rsidRPr="0083075B" w:rsidRDefault="00950EF9" w:rsidP="00950EF9">
      <w:pPr>
        <w:pStyle w:val="RKnormal"/>
        <w:rPr>
          <w:bCs/>
          <w:iCs/>
        </w:rPr>
      </w:pPr>
      <w:r w:rsidRPr="0083075B">
        <w:rPr>
          <w:bCs/>
          <w:iCs/>
        </w:rPr>
        <w:t xml:space="preserve">Regeringen välkomnar att det tredje inre marknadspaketet för de europeiska energimarknaderna betonas som ett sätt att stimulera utbyggnaden av energiinfrastruktur. Därför anser regeringen att den metod som föreslås för urval av projekt av gemensamt intresse ska utgöra ett komplement till det tredje inremarknadspaketets planeringsverktyg, snarare än att utgöra ett parallellt planeringssystem. Detta bör vara utgångspunkten vid utformningen av de regionala grupperna samt i gruppernas fortsatta arbete. Av den anledningen anser regeringen att de systemansvariga samarbetsorganisationerna (ENTSO) och motsvarigheten för de nationella tillsynsmyndigheterna (ACER) bör ha en framträdande roll i de regionala grupper för el och gas som ansvarar för urvalet. </w:t>
      </w:r>
      <w:r w:rsidRPr="0083075B">
        <w:t xml:space="preserve">De tioåriga investeringsplaner med listor på projekt som </w:t>
      </w:r>
      <w:r w:rsidR="0091162E" w:rsidRPr="0083075B">
        <w:t>tagits fram av</w:t>
      </w:r>
      <w:r w:rsidRPr="0083075B">
        <w:t xml:space="preserve"> EU:s systemoperatörer bör även framöver vara utgångspunkten vid urval av projekt. Regeringen bedömer att planeringen på så sätt blir mer marknadsnära och mindre politisk.</w:t>
      </w:r>
      <w:r w:rsidRPr="0083075B">
        <w:rPr>
          <w:bCs/>
          <w:iCs/>
        </w:rPr>
        <w:t xml:space="preserve"> Kopplingen mellan projekt av gemensamt intresse och 10-årsplanerna är också viktig för regeringen eftersom ett av huvudsyftena med planerna är att säkerställa att infrastruktur etableras så att uppsatta energi- och klimatmål ska kunna uppfyllas.</w:t>
      </w:r>
    </w:p>
    <w:p w:rsidR="00950EF9" w:rsidRPr="0083075B" w:rsidRDefault="00950EF9" w:rsidP="00950EF9">
      <w:pPr>
        <w:pStyle w:val="RKnormal"/>
        <w:rPr>
          <w:bCs/>
          <w:iCs/>
        </w:rPr>
      </w:pPr>
      <w:r w:rsidRPr="0083075B">
        <w:t>Regeringen välkomnar förslaget om utvecklade riktlinjer för fördelning av kostnader i gränsöverskridande projekt där nyttan av en investering i ett land hamnar i ett annat. Regeringen bedömer att detta är ett förslag med stor potential att lösa ett stort problem vid vissa gränsöverskridande projekt.</w:t>
      </w:r>
    </w:p>
    <w:p w:rsidR="00950EF9" w:rsidRPr="0083075B" w:rsidRDefault="00950EF9" w:rsidP="00950EF9">
      <w:pPr>
        <w:spacing w:line="240" w:lineRule="auto"/>
        <w:ind w:left="567" w:hanging="567"/>
        <w:rPr>
          <w:iCs/>
          <w:color w:val="000000"/>
        </w:rPr>
      </w:pPr>
    </w:p>
    <w:p w:rsidR="00CD796D" w:rsidRPr="0083075B" w:rsidRDefault="00CD796D" w:rsidP="00CD796D">
      <w:pPr>
        <w:spacing w:line="240" w:lineRule="auto"/>
        <w:outlineLvl w:val="0"/>
        <w:rPr>
          <w:b/>
          <w:iCs/>
          <w:color w:val="000000"/>
          <w:u w:val="single"/>
        </w:rPr>
      </w:pPr>
      <w:r w:rsidRPr="0083075B">
        <w:rPr>
          <w:b/>
          <w:iCs/>
          <w:color w:val="000000"/>
          <w:u w:val="single"/>
        </w:rPr>
        <w:t>Icke lagstiftande verksamhet</w:t>
      </w:r>
    </w:p>
    <w:p w:rsidR="00CD796D" w:rsidRPr="0083075B" w:rsidRDefault="00CD796D" w:rsidP="00CD796D">
      <w:pPr>
        <w:spacing w:line="240" w:lineRule="auto"/>
        <w:rPr>
          <w:iCs/>
          <w:color w:val="000000"/>
        </w:rPr>
      </w:pPr>
    </w:p>
    <w:p w:rsidR="00CD796D" w:rsidRPr="0083075B" w:rsidRDefault="00DD1E2B" w:rsidP="00CD796D">
      <w:pPr>
        <w:spacing w:line="240" w:lineRule="auto"/>
        <w:rPr>
          <w:b/>
          <w:bCs/>
        </w:rPr>
      </w:pPr>
      <w:r w:rsidRPr="0083075B">
        <w:rPr>
          <w:b/>
          <w:bCs/>
        </w:rPr>
        <w:t>4</w:t>
      </w:r>
      <w:r w:rsidR="00CD796D" w:rsidRPr="0083075B">
        <w:rPr>
          <w:b/>
          <w:bCs/>
        </w:rPr>
        <w:t>.</w:t>
      </w:r>
      <w:r w:rsidR="00CD796D" w:rsidRPr="0083075B">
        <w:rPr>
          <w:b/>
          <w:bCs/>
        </w:rPr>
        <w:tab/>
        <w:t>(ev.) Godkännande av A-punktslistan</w:t>
      </w:r>
    </w:p>
    <w:p w:rsidR="00CD796D" w:rsidRPr="0083075B" w:rsidRDefault="00CD796D" w:rsidP="00CD796D">
      <w:pPr>
        <w:spacing w:line="240" w:lineRule="auto"/>
        <w:rPr>
          <w:iCs/>
          <w:color w:val="000000"/>
        </w:rPr>
      </w:pPr>
    </w:p>
    <w:p w:rsidR="00797095" w:rsidRPr="0083075B" w:rsidRDefault="00DD1E2B" w:rsidP="00797095">
      <w:pPr>
        <w:pStyle w:val="Normalwebb"/>
        <w:ind w:left="567" w:hanging="567"/>
        <w:rPr>
          <w:b/>
          <w:lang w:val="sv-SE"/>
        </w:rPr>
      </w:pPr>
      <w:r w:rsidRPr="0083075B">
        <w:rPr>
          <w:b/>
          <w:lang w:val="sv-SE"/>
        </w:rPr>
        <w:t>5</w:t>
      </w:r>
      <w:r w:rsidR="00797095" w:rsidRPr="0083075B">
        <w:rPr>
          <w:b/>
          <w:lang w:val="sv-SE"/>
        </w:rPr>
        <w:t>.</w:t>
      </w:r>
      <w:r w:rsidR="00797095" w:rsidRPr="0083075B">
        <w:rPr>
          <w:b/>
          <w:lang w:val="sv-SE"/>
        </w:rPr>
        <w:tab/>
      </w:r>
      <w:r w:rsidRPr="0083075B">
        <w:rPr>
          <w:b/>
          <w:lang w:val="sv-SE"/>
        </w:rPr>
        <w:t>Europa 2020-strategin</w:t>
      </w:r>
      <w:r w:rsidR="00797095" w:rsidRPr="0083075B">
        <w:rPr>
          <w:b/>
          <w:lang w:val="sv-SE"/>
        </w:rPr>
        <w:t xml:space="preserve"> </w:t>
      </w:r>
    </w:p>
    <w:p w:rsidR="00DD1E2B" w:rsidRPr="0083075B" w:rsidRDefault="00DD1E2B" w:rsidP="00DD1E2B">
      <w:pPr>
        <w:pStyle w:val="Normalwebb"/>
        <w:ind w:left="567" w:hanging="567"/>
        <w:rPr>
          <w:i/>
          <w:lang w:val="sv-SE"/>
        </w:rPr>
      </w:pPr>
      <w:r w:rsidRPr="0083075B">
        <w:rPr>
          <w:i/>
          <w:lang w:val="sv-SE"/>
        </w:rPr>
        <w:tab/>
        <w:t xml:space="preserve"> - Policydebatt. </w:t>
      </w:r>
    </w:p>
    <w:p w:rsidR="00DD1E2B" w:rsidRPr="0083075B" w:rsidRDefault="00DD1E2B" w:rsidP="00DD1E2B">
      <w:pPr>
        <w:tabs>
          <w:tab w:val="left" w:pos="2835"/>
        </w:tabs>
        <w:spacing w:line="240" w:lineRule="atLeast"/>
      </w:pPr>
    </w:p>
    <w:p w:rsidR="00DD1E2B" w:rsidRPr="0083075B" w:rsidRDefault="00DD1E2B" w:rsidP="00DD1E2B">
      <w:pPr>
        <w:tabs>
          <w:tab w:val="left" w:pos="2835"/>
        </w:tabs>
        <w:spacing w:line="240" w:lineRule="atLeast"/>
      </w:pPr>
      <w:r w:rsidRPr="0083075B">
        <w:t>Dokument: 5740/12 ENER 25 ENV 45 POLGEN 14</w:t>
      </w:r>
    </w:p>
    <w:p w:rsidR="00DD1E2B" w:rsidRPr="0083075B" w:rsidRDefault="00DD1E2B" w:rsidP="00DD1E2B">
      <w:pPr>
        <w:tabs>
          <w:tab w:val="left" w:pos="2835"/>
        </w:tabs>
        <w:spacing w:line="240" w:lineRule="atLeast"/>
      </w:pPr>
      <w:r w:rsidRPr="0083075B">
        <w:t>Kommissionens förslag: 17229/11 ECOFIN 804 SOC 1017 COMPET 534 EDUC 274 ENV 891 RECH 380 ENER 376  FISC 151 + ADD 1</w:t>
      </w:r>
    </w:p>
    <w:p w:rsidR="00DD1E2B" w:rsidRPr="0083075B" w:rsidRDefault="00DD1E2B" w:rsidP="00DD1E2B">
      <w:pPr>
        <w:tabs>
          <w:tab w:val="left" w:pos="2835"/>
        </w:tabs>
        <w:spacing w:line="240" w:lineRule="atLeast"/>
        <w:rPr>
          <w:u w:val="single"/>
        </w:rPr>
      </w:pPr>
    </w:p>
    <w:p w:rsidR="00DD1E2B" w:rsidRPr="0083075B" w:rsidRDefault="00DD1E2B" w:rsidP="00DD1E2B">
      <w:pPr>
        <w:tabs>
          <w:tab w:val="left" w:pos="2835"/>
        </w:tabs>
        <w:spacing w:line="240" w:lineRule="atLeast"/>
        <w:rPr>
          <w:u w:val="single"/>
        </w:rPr>
      </w:pPr>
      <w:r w:rsidRPr="0083075B">
        <w:rPr>
          <w:u w:val="single"/>
        </w:rPr>
        <w:t>Bakgrund</w:t>
      </w:r>
    </w:p>
    <w:p w:rsidR="00DD1E2B" w:rsidRPr="0083075B" w:rsidRDefault="00DD1E2B" w:rsidP="00544BB5">
      <w:pPr>
        <w:tabs>
          <w:tab w:val="left" w:pos="2835"/>
        </w:tabs>
        <w:spacing w:line="240" w:lineRule="auto"/>
      </w:pPr>
      <w:r w:rsidRPr="0083075B">
        <w:t>Vid Europeiska rådets toppmöte i juni 2010 antogs Europa 2020-strategin för jobb och tillväxt. Ett av de fem överordnade mål som slogs fast för strategin upprepade de 202020-mål för koldioxidutsläpp, förnybar energi och energieffektivisering som antogs av Europeiska rådet i mars 2007: Utsläppen av växthusgaser ska minska med 20</w:t>
      </w:r>
      <w:r w:rsidR="00710DF0" w:rsidRPr="0083075B">
        <w:t xml:space="preserve"> </w:t>
      </w:r>
      <w:r w:rsidR="0091162E" w:rsidRPr="0083075B">
        <w:t>procent</w:t>
      </w:r>
      <w:r w:rsidRPr="0083075B">
        <w:t xml:space="preserve"> i förhållande till 1990 års nivå. Andelen förnybara energikällor av den slutgiltiga energikonsumtionen ska öka till 20</w:t>
      </w:r>
      <w:r w:rsidR="0091162E" w:rsidRPr="0083075B">
        <w:t xml:space="preserve"> procent</w:t>
      </w:r>
      <w:r w:rsidR="00710DF0" w:rsidRPr="0083075B">
        <w:t xml:space="preserve"> och en ökning med 20 procent </w:t>
      </w:r>
      <w:r w:rsidRPr="0083075B">
        <w:t xml:space="preserve">energieffektivisering ska eftersträvas. </w:t>
      </w:r>
    </w:p>
    <w:p w:rsidR="00DD1E2B" w:rsidRPr="0083075B" w:rsidRDefault="00DD1E2B" w:rsidP="00544BB5">
      <w:pPr>
        <w:tabs>
          <w:tab w:val="left" w:pos="2835"/>
        </w:tabs>
        <w:spacing w:line="240" w:lineRule="auto"/>
      </w:pPr>
    </w:p>
    <w:p w:rsidR="00DD1E2B" w:rsidRPr="0083075B" w:rsidRDefault="00DD1E2B" w:rsidP="00544BB5">
      <w:pPr>
        <w:spacing w:line="240" w:lineRule="auto"/>
      </w:pPr>
      <w:r w:rsidRPr="0083075B">
        <w:t>Som ett led i uppföljningen av strategin kommer energiministrarna att hålla en orienteringsdebatt kring de två energirelaterade målen, d.v.s. målet om 20</w:t>
      </w:r>
      <w:r w:rsidR="0091162E" w:rsidRPr="0083075B">
        <w:t xml:space="preserve"> procent</w:t>
      </w:r>
      <w:r w:rsidRPr="0083075B">
        <w:t xml:space="preserve"> förnybar energi och 20</w:t>
      </w:r>
      <w:r w:rsidR="0091162E" w:rsidRPr="0083075B">
        <w:t xml:space="preserve"> procent</w:t>
      </w:r>
      <w:r w:rsidRPr="0083075B">
        <w:t xml:space="preserve"> energieffektivisering till 2020. Resultatet av debatten kommer, tillsammans med bidrag från övriga berörda rådskonstellationer, att föda in till den rapportering som ska göras till Europeiska rådet i mars. Inga slutsatser kommer att antas på TTE-rådet.</w:t>
      </w:r>
    </w:p>
    <w:p w:rsidR="00DD1E2B" w:rsidRPr="0083075B" w:rsidRDefault="00DD1E2B" w:rsidP="00DD1E2B">
      <w:pPr>
        <w:tabs>
          <w:tab w:val="left" w:pos="2835"/>
        </w:tabs>
        <w:spacing w:line="240" w:lineRule="atLeast"/>
      </w:pPr>
    </w:p>
    <w:p w:rsidR="00DD1E2B" w:rsidRPr="0083075B" w:rsidRDefault="00DD1E2B" w:rsidP="00DD1E2B">
      <w:pPr>
        <w:tabs>
          <w:tab w:val="left" w:pos="2835"/>
        </w:tabs>
        <w:spacing w:line="240" w:lineRule="atLeast"/>
      </w:pPr>
      <w:r w:rsidRPr="0083075B">
        <w:t xml:space="preserve">Som underlag för diskussionen finns kommissionens årliga tillväxtanalys som presenterades i november 2011 där det konstateras att målet om förnybar energi förväntas nås om medlemsstaterna genomför de nationella handlingsplaner man tagit fram och produktionsprognoserna uppfylls. </w:t>
      </w:r>
    </w:p>
    <w:p w:rsidR="00DD1E2B" w:rsidRPr="0083075B" w:rsidRDefault="00DD1E2B" w:rsidP="00DD1E2B">
      <w:pPr>
        <w:tabs>
          <w:tab w:val="left" w:pos="2835"/>
        </w:tabs>
        <w:spacing w:line="240" w:lineRule="atLeast"/>
      </w:pPr>
    </w:p>
    <w:p w:rsidR="00DD1E2B" w:rsidRPr="0083075B" w:rsidRDefault="00DD1E2B" w:rsidP="00DD1E2B">
      <w:pPr>
        <w:tabs>
          <w:tab w:val="left" w:pos="2835"/>
        </w:tabs>
        <w:spacing w:line="240" w:lineRule="atLeast"/>
      </w:pPr>
      <w:r w:rsidRPr="0083075B">
        <w:t>När det gäller energieffektivisering bedömer kommissionen att medlemsstaternas åtgärder inte är tillräckliga för att nå målet. Kommissionen analyserar fortfarande de nationella målen för energieffektivisering och återkommer med en rapport senare under året.</w:t>
      </w:r>
    </w:p>
    <w:p w:rsidR="00DD1E2B" w:rsidRPr="0083075B" w:rsidRDefault="00DD1E2B" w:rsidP="00DD1E2B">
      <w:pPr>
        <w:tabs>
          <w:tab w:val="left" w:pos="2835"/>
        </w:tabs>
        <w:spacing w:line="240" w:lineRule="atLeast"/>
        <w:rPr>
          <w:u w:val="single"/>
        </w:rPr>
      </w:pPr>
    </w:p>
    <w:p w:rsidR="00DD1E2B" w:rsidRPr="0083075B" w:rsidRDefault="00DD1E2B" w:rsidP="00DD1E2B">
      <w:pPr>
        <w:spacing w:line="240" w:lineRule="auto"/>
      </w:pPr>
      <w:r w:rsidRPr="0083075B">
        <w:t xml:space="preserve">Diskussionen kommer att utgå från ett antal frågor som distribuerats på förhand. Ministrarna inbjuds att kommentera vilka </w:t>
      </w:r>
      <w:r w:rsidRPr="0083075B">
        <w:rPr>
          <w:b/>
        </w:rPr>
        <w:t>hinder</w:t>
      </w:r>
      <w:r w:rsidRPr="0083075B">
        <w:t xml:space="preserve"> som finns för att nå målen om förnybar energi och energieffektivisering samt vilka </w:t>
      </w:r>
      <w:r w:rsidRPr="0083075B">
        <w:rPr>
          <w:b/>
        </w:rPr>
        <w:t>åtgärder</w:t>
      </w:r>
      <w:r w:rsidRPr="0083075B">
        <w:t xml:space="preserve"> som bäst kan bidra till att målen nås och till att skapa tillväxt och sysselsättning. Ingen diskussion förutses eftersom medlemsstaterna uppmanats att svara skriftligen inför rådsmötet.</w:t>
      </w:r>
    </w:p>
    <w:p w:rsidR="00DD1E2B" w:rsidRPr="0083075B" w:rsidRDefault="00DD1E2B" w:rsidP="00DD1E2B">
      <w:pPr>
        <w:tabs>
          <w:tab w:val="left" w:pos="2835"/>
        </w:tabs>
        <w:spacing w:line="240" w:lineRule="atLeast"/>
        <w:rPr>
          <w:u w:val="single"/>
        </w:rPr>
      </w:pPr>
    </w:p>
    <w:p w:rsidR="00DD1E2B" w:rsidRPr="0083075B" w:rsidRDefault="00DD1E2B" w:rsidP="00DD1E2B">
      <w:pPr>
        <w:tabs>
          <w:tab w:val="left" w:pos="2835"/>
        </w:tabs>
        <w:spacing w:line="240" w:lineRule="atLeast"/>
        <w:rPr>
          <w:u w:val="single"/>
        </w:rPr>
      </w:pPr>
      <w:r w:rsidRPr="0083075B">
        <w:rPr>
          <w:u w:val="single"/>
        </w:rPr>
        <w:t>Förslag till svensk ståndpunkt</w:t>
      </w:r>
    </w:p>
    <w:p w:rsidR="00DD1E2B" w:rsidRPr="0083075B" w:rsidRDefault="00DD1E2B" w:rsidP="00DD1E2B">
      <w:pPr>
        <w:tabs>
          <w:tab w:val="left" w:pos="2835"/>
        </w:tabs>
        <w:spacing w:line="240" w:lineRule="atLeast"/>
      </w:pPr>
      <w:r w:rsidRPr="0083075B">
        <w:t>Regeringen välkomnar kommissionens bedömning att EU är på väg att nå målet om 20 procents förnybar energi till år 2020. Detta utgör en viktig del i omställningen till ett hållbart energisystem. Vad gäller åtgärder finns redan ett rättsligt ramverk i form av förnybartdirektivet med tillräckliga verktyg för att uppnå detta mål. De möjligheter till samarbete mellan medlemsländerna som finns i direktivet, de så kallade samarbetsmekanismerna, bör utnyttjas, och här är det gemensamma elcertifikatsystemet mellan Norge och Sverige ett gott exempel.</w:t>
      </w:r>
    </w:p>
    <w:p w:rsidR="00DD1E2B" w:rsidRPr="0083075B" w:rsidRDefault="00DD1E2B" w:rsidP="00DD1E2B">
      <w:pPr>
        <w:tabs>
          <w:tab w:val="left" w:pos="2835"/>
        </w:tabs>
        <w:spacing w:line="240" w:lineRule="atLeast"/>
      </w:pPr>
    </w:p>
    <w:p w:rsidR="00DD1E2B" w:rsidRPr="0083075B" w:rsidRDefault="00DD1E2B" w:rsidP="00DD1E2B">
      <w:pPr>
        <w:tabs>
          <w:tab w:val="left" w:pos="2835"/>
        </w:tabs>
        <w:spacing w:line="240" w:lineRule="atLeast"/>
      </w:pPr>
      <w:r w:rsidRPr="0083075B">
        <w:t>Regeringen delar kommissionens bedömning att ytterligare åtgärder behövs för att klara målet om 20 procents energieffektivisering till år 2020. Regeringen stödjer det danska ordförandeskapets ambition att nå en överenskommelse med Europaparlamentet om energieffektiviseringsdirektivet, under förutsättning att tillräcklig flexibilitet ges till medlemsstaterna till exempel när det gäller utformning av nationella mål.</w:t>
      </w:r>
    </w:p>
    <w:p w:rsidR="00797095" w:rsidRPr="0083075B" w:rsidRDefault="00797095" w:rsidP="00797095"/>
    <w:p w:rsidR="00DD1E2B" w:rsidRPr="0083075B" w:rsidRDefault="00DD1E2B" w:rsidP="00797095">
      <w:pPr>
        <w:rPr>
          <w:b/>
          <w:u w:val="single"/>
        </w:rPr>
      </w:pPr>
      <w:r w:rsidRPr="0083075B">
        <w:rPr>
          <w:b/>
          <w:u w:val="single"/>
        </w:rPr>
        <w:t>Övriga frågor</w:t>
      </w:r>
    </w:p>
    <w:p w:rsidR="00CC50D1" w:rsidRPr="0083075B" w:rsidRDefault="00CC50D1" w:rsidP="00797095">
      <w:pPr>
        <w:rPr>
          <w:b/>
        </w:rPr>
      </w:pPr>
    </w:p>
    <w:p w:rsidR="00637AAE" w:rsidRPr="0083075B" w:rsidRDefault="00637AAE" w:rsidP="00CC50D1">
      <w:pPr>
        <w:spacing w:line="240" w:lineRule="auto"/>
        <w:ind w:left="567" w:hanging="567"/>
        <w:rPr>
          <w:b/>
          <w:iCs/>
          <w:color w:val="000000"/>
        </w:rPr>
      </w:pPr>
      <w:r w:rsidRPr="0083075B">
        <w:rPr>
          <w:b/>
          <w:iCs/>
          <w:color w:val="000000"/>
        </w:rPr>
        <w:t>6 (a). Förslag till Europaparlamentets och rådets direktiv om energieffektivitet och om upphävande av direktiven 2004/8/EG och 2006/32/EG – orienteringsdebatt</w:t>
      </w:r>
    </w:p>
    <w:p w:rsidR="00637AAE" w:rsidRPr="0083075B" w:rsidRDefault="00637AAE" w:rsidP="00CC50D1">
      <w:pPr>
        <w:spacing w:line="240" w:lineRule="auto"/>
        <w:ind w:left="567"/>
        <w:rPr>
          <w:i/>
          <w:iCs/>
          <w:color w:val="000000"/>
        </w:rPr>
      </w:pPr>
      <w:r w:rsidRPr="0083075B">
        <w:rPr>
          <w:i/>
          <w:iCs/>
          <w:color w:val="000000"/>
        </w:rPr>
        <w:t>Lägesrapport. Information från ordförandeskapet.</w:t>
      </w:r>
    </w:p>
    <w:p w:rsidR="00637AAE" w:rsidRPr="0083075B" w:rsidRDefault="00637AAE" w:rsidP="00C043AC">
      <w:pPr>
        <w:spacing w:line="240" w:lineRule="auto"/>
        <w:ind w:left="567"/>
        <w:rPr>
          <w:iCs/>
          <w:color w:val="000000"/>
        </w:rPr>
      </w:pPr>
      <w:r w:rsidRPr="0083075B">
        <w:rPr>
          <w:iCs/>
          <w:color w:val="000000"/>
        </w:rPr>
        <w:t xml:space="preserve">Dokument: </w:t>
      </w:r>
      <w:r w:rsidR="00C043AC" w:rsidRPr="0083075B">
        <w:rPr>
          <w:iCs/>
          <w:color w:val="000000"/>
        </w:rPr>
        <w:t>12046/11 ENER 256 ENV 582 TRANS 201 ECOFIN 454 RECH 252 CODEC 1102</w:t>
      </w:r>
    </w:p>
    <w:p w:rsidR="00C043AC" w:rsidRPr="0083075B" w:rsidRDefault="00C043AC" w:rsidP="00CC50D1">
      <w:pPr>
        <w:spacing w:line="240" w:lineRule="auto"/>
        <w:rPr>
          <w:iCs/>
          <w:color w:val="000000"/>
        </w:rPr>
      </w:pPr>
    </w:p>
    <w:p w:rsidR="00637AAE" w:rsidRPr="0083075B" w:rsidRDefault="00637AAE" w:rsidP="00CC50D1">
      <w:pPr>
        <w:spacing w:line="240" w:lineRule="auto"/>
        <w:ind w:left="567" w:hanging="567"/>
        <w:rPr>
          <w:iCs/>
          <w:color w:val="000000"/>
        </w:rPr>
      </w:pPr>
      <w:r w:rsidRPr="0083075B">
        <w:rPr>
          <w:iCs/>
          <w:color w:val="000000"/>
        </w:rPr>
        <w:t>Energieffektiviseringsdirektivet: KOM (2011) 370 slutlig</w:t>
      </w:r>
    </w:p>
    <w:p w:rsidR="00637AAE" w:rsidRPr="0083075B" w:rsidRDefault="00637AAE" w:rsidP="00CC50D1">
      <w:pPr>
        <w:spacing w:line="240" w:lineRule="auto"/>
        <w:ind w:left="567" w:hanging="567"/>
        <w:rPr>
          <w:iCs/>
          <w:color w:val="000000"/>
        </w:rPr>
      </w:pPr>
    </w:p>
    <w:p w:rsidR="00637AAE" w:rsidRPr="0083075B" w:rsidRDefault="00637AAE" w:rsidP="00637AAE">
      <w:pPr>
        <w:pStyle w:val="RKnormal"/>
        <w:rPr>
          <w:u w:val="single"/>
        </w:rPr>
      </w:pPr>
      <w:r w:rsidRPr="0083075B">
        <w:rPr>
          <w:u w:val="single"/>
        </w:rPr>
        <w:t>Bakgrund</w:t>
      </w:r>
    </w:p>
    <w:p w:rsidR="00637AAE" w:rsidRPr="0083075B" w:rsidRDefault="00637AAE" w:rsidP="00637AAE">
      <w:pPr>
        <w:tabs>
          <w:tab w:val="left" w:pos="2835"/>
        </w:tabs>
        <w:overflowPunct/>
        <w:spacing w:line="240" w:lineRule="auto"/>
        <w:textAlignment w:val="auto"/>
        <w:rPr>
          <w:rFonts w:cs="OrigGarmnd BT"/>
          <w:color w:val="000000"/>
          <w:szCs w:val="24"/>
          <w:lang w:eastAsia="sv-SE"/>
        </w:rPr>
      </w:pPr>
      <w:r w:rsidRPr="0083075B">
        <w:rPr>
          <w:rFonts w:cs="OrigGarmnd BT"/>
          <w:color w:val="000000"/>
          <w:szCs w:val="24"/>
          <w:lang w:eastAsia="sv-SE"/>
        </w:rPr>
        <w:t>Den 22 juni 2011 presenterade KOM ett förslag till ett nytt direktiv om energieffektivitet (KOM(2011)370 slutlig). Det nya direktivet föreslås ersätta energitjänstedirektivet (2006/32/EG) och kraftvärmedirektivet (2004/8/EG). Därtill föreslås att artiklarna 9.1 och 9.2 i en</w:t>
      </w:r>
      <w:r w:rsidR="00CC50D1" w:rsidRPr="0083075B">
        <w:rPr>
          <w:rFonts w:cs="OrigGarmnd BT"/>
          <w:color w:val="000000"/>
          <w:szCs w:val="24"/>
          <w:lang w:eastAsia="sv-SE"/>
        </w:rPr>
        <w:t>ergi</w:t>
      </w:r>
      <w:r w:rsidRPr="0083075B">
        <w:rPr>
          <w:rFonts w:cs="OrigGarmnd BT"/>
          <w:color w:val="000000"/>
          <w:szCs w:val="24"/>
          <w:lang w:eastAsia="sv-SE"/>
        </w:rPr>
        <w:t xml:space="preserve">märkningsdirektivet (2010/30/EU) ska upphöra att gälla. Målet är att energianvändningen i EU ska minska med 20 procent till år 2020. </w:t>
      </w:r>
    </w:p>
    <w:p w:rsidR="00637AAE" w:rsidRPr="0083075B" w:rsidRDefault="00637AAE" w:rsidP="00637AAE">
      <w:pPr>
        <w:overflowPunct/>
        <w:spacing w:line="240" w:lineRule="auto"/>
        <w:textAlignment w:val="auto"/>
        <w:rPr>
          <w:rFonts w:cs="OrigGarmnd BT"/>
          <w:color w:val="000000"/>
          <w:szCs w:val="24"/>
          <w:lang w:eastAsia="sv-SE"/>
        </w:rPr>
      </w:pPr>
    </w:p>
    <w:p w:rsidR="00637AAE" w:rsidRPr="0083075B" w:rsidRDefault="00637AAE" w:rsidP="00637AAE">
      <w:pPr>
        <w:tabs>
          <w:tab w:val="left" w:pos="2835"/>
        </w:tabs>
        <w:overflowPunct/>
        <w:spacing w:line="240" w:lineRule="auto"/>
        <w:textAlignment w:val="auto"/>
        <w:rPr>
          <w:rFonts w:cs="OrigGarmnd BT"/>
          <w:color w:val="000000"/>
          <w:szCs w:val="24"/>
          <w:lang w:eastAsia="sv-SE"/>
        </w:rPr>
      </w:pPr>
      <w:r w:rsidRPr="0083075B">
        <w:rPr>
          <w:rFonts w:cs="OrigGarmnd BT"/>
          <w:color w:val="000000"/>
          <w:szCs w:val="24"/>
          <w:lang w:eastAsia="sv-SE"/>
        </w:rPr>
        <w:t xml:space="preserve">Rådsarbetsgruppen för energi har diskuterat det föreslagna direktivet vid upprepade tillfällen och det polska ordförandeskapet presenterade en lägesrapport till TTE-rådet i november 2011 där de huvudsakliga frågeställningarna för den fortsatta behandlingen identifierades. </w:t>
      </w:r>
      <w:r w:rsidRPr="0083075B">
        <w:rPr>
          <w:lang w:eastAsia="sv-SE"/>
        </w:rPr>
        <w:t xml:space="preserve"> </w:t>
      </w:r>
      <w:r w:rsidRPr="0083075B">
        <w:rPr>
          <w:rFonts w:cs="OrigGarmnd BT"/>
          <w:color w:val="000000"/>
          <w:szCs w:val="24"/>
          <w:lang w:eastAsia="sv-SE"/>
        </w:rPr>
        <w:t xml:space="preserve">Några exempel på sådana frågeställningar är mål för energieffektivisering, offentliga sektorns roll, kvotpliktssystem, energikartläggningar, individuell mätning samt främjande av kraftvärme och fjärrvärme/kyla. </w:t>
      </w:r>
    </w:p>
    <w:p w:rsidR="00637AAE" w:rsidRPr="0083075B" w:rsidRDefault="00637AAE" w:rsidP="00637AAE">
      <w:pPr>
        <w:tabs>
          <w:tab w:val="left" w:pos="2835"/>
        </w:tabs>
        <w:overflowPunct/>
        <w:spacing w:line="240" w:lineRule="auto"/>
        <w:textAlignment w:val="auto"/>
        <w:rPr>
          <w:rFonts w:cs="OrigGarmnd BT"/>
          <w:color w:val="000000"/>
          <w:szCs w:val="24"/>
          <w:lang w:eastAsia="sv-SE"/>
        </w:rPr>
      </w:pPr>
    </w:p>
    <w:p w:rsidR="00637AAE" w:rsidRPr="0083075B" w:rsidRDefault="00637AAE" w:rsidP="00637AAE">
      <w:pPr>
        <w:tabs>
          <w:tab w:val="left" w:pos="2835"/>
        </w:tabs>
        <w:overflowPunct/>
        <w:spacing w:line="240" w:lineRule="auto"/>
        <w:textAlignment w:val="auto"/>
        <w:rPr>
          <w:lang w:eastAsia="sv-SE"/>
        </w:rPr>
      </w:pPr>
      <w:r w:rsidRPr="0083075B">
        <w:rPr>
          <w:lang w:eastAsia="sv-SE"/>
        </w:rPr>
        <w:t xml:space="preserve">Det danska ordförandeskapet prioriterar frågan högt och har som mål att nå en överenskommelse med Europaparlamentet innan sommaren. </w:t>
      </w:r>
    </w:p>
    <w:p w:rsidR="00637AAE" w:rsidRPr="0083075B" w:rsidRDefault="00637AAE" w:rsidP="00637AAE">
      <w:pPr>
        <w:tabs>
          <w:tab w:val="left" w:pos="2835"/>
        </w:tabs>
        <w:overflowPunct/>
        <w:spacing w:line="240" w:lineRule="auto"/>
        <w:textAlignment w:val="auto"/>
        <w:rPr>
          <w:lang w:eastAsia="sv-SE"/>
        </w:rPr>
      </w:pPr>
    </w:p>
    <w:p w:rsidR="00637AAE" w:rsidRPr="0083075B" w:rsidRDefault="00637AAE" w:rsidP="00637AAE">
      <w:pPr>
        <w:tabs>
          <w:tab w:val="left" w:pos="2835"/>
        </w:tabs>
        <w:overflowPunct/>
        <w:spacing w:line="240" w:lineRule="auto"/>
        <w:textAlignment w:val="auto"/>
        <w:rPr>
          <w:lang w:eastAsia="sv-SE"/>
        </w:rPr>
      </w:pPr>
      <w:r w:rsidRPr="0083075B">
        <w:rPr>
          <w:lang w:eastAsia="sv-SE"/>
        </w:rPr>
        <w:t xml:space="preserve">Europaparlamentet har utsett </w:t>
      </w:r>
      <w:r w:rsidR="0091162E" w:rsidRPr="0083075B">
        <w:rPr>
          <w:lang w:eastAsia="sv-SE"/>
        </w:rPr>
        <w:t xml:space="preserve">Claude </w:t>
      </w:r>
      <w:r w:rsidRPr="0083075B">
        <w:rPr>
          <w:lang w:eastAsia="sv-SE"/>
        </w:rPr>
        <w:t>Turmes (De gröna/Europeiska fria alliansen</w:t>
      </w:r>
      <w:r w:rsidR="0091162E" w:rsidRPr="0083075B">
        <w:rPr>
          <w:lang w:eastAsia="sv-SE"/>
        </w:rPr>
        <w:t xml:space="preserve"> från Luxemburg</w:t>
      </w:r>
      <w:r w:rsidRPr="0083075B">
        <w:rPr>
          <w:lang w:eastAsia="sv-SE"/>
        </w:rPr>
        <w:t xml:space="preserve">) till rapportör och </w:t>
      </w:r>
      <w:r w:rsidR="0091162E" w:rsidRPr="0083075B">
        <w:rPr>
          <w:lang w:eastAsia="sv-SE"/>
        </w:rPr>
        <w:t>det ansvariga utskottet i Europaparlamentet (</w:t>
      </w:r>
      <w:r w:rsidRPr="0083075B">
        <w:rPr>
          <w:lang w:eastAsia="sv-SE"/>
        </w:rPr>
        <w:t>ITRE</w:t>
      </w:r>
      <w:r w:rsidR="0091162E" w:rsidRPr="0083075B">
        <w:rPr>
          <w:lang w:eastAsia="sv-SE"/>
        </w:rPr>
        <w:t>)</w:t>
      </w:r>
      <w:r w:rsidRPr="0083075B">
        <w:rPr>
          <w:lang w:eastAsia="sv-SE"/>
        </w:rPr>
        <w:t xml:space="preserve"> planerar att ha omröstning om ändringsförslagen den 28 februari.</w:t>
      </w:r>
    </w:p>
    <w:p w:rsidR="00637AAE" w:rsidRPr="0083075B" w:rsidRDefault="00637AAE" w:rsidP="00637AAE">
      <w:pPr>
        <w:pStyle w:val="RKnormal"/>
      </w:pPr>
    </w:p>
    <w:p w:rsidR="00637AAE" w:rsidRPr="0083075B" w:rsidRDefault="00637AAE" w:rsidP="00637AAE">
      <w:pPr>
        <w:pStyle w:val="RKnormal"/>
        <w:rPr>
          <w:bCs/>
          <w:u w:val="single"/>
        </w:rPr>
      </w:pPr>
      <w:r w:rsidRPr="0083075B">
        <w:rPr>
          <w:bCs/>
          <w:u w:val="single"/>
        </w:rPr>
        <w:t>Förslag till svensk ståndpunkt</w:t>
      </w:r>
    </w:p>
    <w:p w:rsidR="00637AAE" w:rsidRPr="0083075B" w:rsidRDefault="00637AAE" w:rsidP="00637AAE">
      <w:pPr>
        <w:pStyle w:val="RKnormal"/>
        <w:rPr>
          <w:bCs/>
        </w:rPr>
      </w:pPr>
      <w:r w:rsidRPr="0083075B">
        <w:rPr>
          <w:bCs/>
        </w:rPr>
        <w:t xml:space="preserve">Regeringen välkomnar att ordförandeskapet informerar om läget i förhandlingarna. </w:t>
      </w:r>
    </w:p>
    <w:p w:rsidR="00DD1E2B" w:rsidRPr="0083075B" w:rsidRDefault="00DD1E2B" w:rsidP="00453CD3">
      <w:pPr>
        <w:pStyle w:val="Normalwebb"/>
        <w:ind w:left="567" w:hanging="567"/>
        <w:rPr>
          <w:b/>
          <w:lang w:val="sv-SE"/>
        </w:rPr>
      </w:pPr>
    </w:p>
    <w:p w:rsidR="00975E1E" w:rsidRPr="0083075B" w:rsidRDefault="00975E1E" w:rsidP="00CF0512">
      <w:pPr>
        <w:pStyle w:val="Normalwebb"/>
        <w:ind w:left="567" w:hanging="567"/>
        <w:rPr>
          <w:b/>
          <w:lang w:val="sv-SE"/>
        </w:rPr>
      </w:pPr>
    </w:p>
    <w:p w:rsidR="00CF0512" w:rsidRPr="0083075B" w:rsidRDefault="00CF0512" w:rsidP="00CF0512">
      <w:pPr>
        <w:pStyle w:val="Normalwebb"/>
        <w:ind w:left="567" w:hanging="567"/>
        <w:rPr>
          <w:b/>
          <w:lang w:val="sv-SE"/>
        </w:rPr>
      </w:pPr>
      <w:r w:rsidRPr="0083075B">
        <w:rPr>
          <w:b/>
          <w:lang w:val="sv-SE"/>
        </w:rPr>
        <w:t>6(b)</w:t>
      </w:r>
      <w:r w:rsidRPr="0083075B">
        <w:rPr>
          <w:b/>
          <w:lang w:val="sv-SE"/>
        </w:rPr>
        <w:tab/>
        <w:t>Förslag till beslut att inrätta en mekanism för informationsutbyte om mellanstatliga avtal med tredjeland.</w:t>
      </w:r>
    </w:p>
    <w:p w:rsidR="00CF0512" w:rsidRPr="0083075B" w:rsidRDefault="00CF0512" w:rsidP="00CF0512">
      <w:pPr>
        <w:spacing w:line="240" w:lineRule="auto"/>
        <w:ind w:left="1134" w:hanging="567"/>
        <w:jc w:val="both"/>
        <w:rPr>
          <w:i/>
          <w:color w:val="000000"/>
        </w:rPr>
      </w:pPr>
      <w:r w:rsidRPr="0083075B">
        <w:rPr>
          <w:i/>
        </w:rPr>
        <w:t>–</w:t>
      </w:r>
      <w:r w:rsidRPr="0083075B">
        <w:rPr>
          <w:i/>
          <w:color w:val="000000"/>
        </w:rPr>
        <w:tab/>
        <w:t>Information från ordförandeskapet</w:t>
      </w:r>
    </w:p>
    <w:p w:rsidR="008D38D6" w:rsidRPr="0083075B" w:rsidRDefault="008D38D6" w:rsidP="00CF0512">
      <w:pPr>
        <w:spacing w:line="240" w:lineRule="auto"/>
        <w:ind w:left="1134" w:hanging="567"/>
        <w:jc w:val="both"/>
        <w:rPr>
          <w:color w:val="000000"/>
        </w:rPr>
      </w:pPr>
      <w:r w:rsidRPr="0083075B">
        <w:t>5333/12 ENER 11 CODEC 95</w:t>
      </w:r>
    </w:p>
    <w:p w:rsidR="00CF0512" w:rsidRPr="0083075B" w:rsidRDefault="00CF0512" w:rsidP="00CF0512"/>
    <w:p w:rsidR="00CF0512" w:rsidRPr="0083075B" w:rsidRDefault="00CF0512" w:rsidP="00CF0512">
      <w:pPr>
        <w:rPr>
          <w:u w:val="single"/>
        </w:rPr>
      </w:pPr>
      <w:r w:rsidRPr="0083075B">
        <w:rPr>
          <w:u w:val="single"/>
        </w:rPr>
        <w:t>Bakgrund</w:t>
      </w:r>
    </w:p>
    <w:p w:rsidR="00CF0512" w:rsidRPr="0083075B" w:rsidRDefault="00CF0512" w:rsidP="00CF0512">
      <w:pPr>
        <w:pStyle w:val="RKnormal"/>
      </w:pPr>
      <w:r w:rsidRPr="0083075B">
        <w:t xml:space="preserve">I Europeiska rådets slutsatser från den 4 februari 2011 konstateras att unionen och medlemsstaternas verksamhet behöver samordnas bättre för att EU:s externa förbindelser med tredje länder ska bli mer enhetliga och konsekventa. Rådet uppmanade följaktligen kommission att ta fram ett meddelande med förslag till åtgärder samt inbjöd medlemsstaterna att från och med 1 januari 2012 underrätta kommissionen om alla nya och befintliga bilaterala energiavtal med tredjeländer på energiområdet. </w:t>
      </w:r>
    </w:p>
    <w:p w:rsidR="00CF0512" w:rsidRPr="0083075B" w:rsidRDefault="00CF0512" w:rsidP="00CF0512">
      <w:pPr>
        <w:pStyle w:val="RKnormal"/>
      </w:pPr>
    </w:p>
    <w:p w:rsidR="00CF0512" w:rsidRPr="0083075B" w:rsidRDefault="00CF0512" w:rsidP="00CF0512">
      <w:pPr>
        <w:pStyle w:val="RKnormal"/>
      </w:pPr>
      <w:r w:rsidRPr="0083075B">
        <w:t xml:space="preserve">Kommissionen presenterade meddelandet om EU:s externa energipolitik den 7 september 2011. </w:t>
      </w:r>
      <w:r w:rsidR="0091162E" w:rsidRPr="0083075B">
        <w:t>M</w:t>
      </w:r>
      <w:r w:rsidRPr="0083075B">
        <w:t>eddelandet åtföljdes även</w:t>
      </w:r>
      <w:r w:rsidR="0091162E" w:rsidRPr="0083075B">
        <w:t xml:space="preserve"> av ett</w:t>
      </w:r>
      <w:r w:rsidRPr="0083075B">
        <w:t xml:space="preserve"> förslag till beslut om att inrätta en mekanism för informationsutbyte om mellanstatliga avtal mellan medlemsstater och tredje länder på energiområdet. </w:t>
      </w:r>
    </w:p>
    <w:p w:rsidR="00CF0512" w:rsidRPr="0083075B" w:rsidRDefault="00CF0512" w:rsidP="00CF0512">
      <w:pPr>
        <w:pStyle w:val="RKnormal"/>
      </w:pPr>
    </w:p>
    <w:p w:rsidR="00CF0512" w:rsidRPr="0083075B" w:rsidRDefault="00CF0512" w:rsidP="00CF0512">
      <w:pPr>
        <w:pStyle w:val="RKnormal"/>
      </w:pPr>
      <w:r w:rsidRPr="0083075B">
        <w:t xml:space="preserve">Förslaget till beslut motiveras av kommissionen med </w:t>
      </w:r>
      <w:r w:rsidR="00710DF0" w:rsidRPr="0083075B">
        <w:t xml:space="preserve">att det finns ett behov att </w:t>
      </w:r>
      <w:r w:rsidRPr="0083075B">
        <w:t>skapa en EU-mekanism som kan bidra till att säkerställa att enskilda mellanstatliga avtal med tredje länder är förenliga med EU:s energilagstiftning. Enligt kommissionen finns det idag avtal som strider mot lagstiftningen och som innebär komplikationer för genomförandet av lagstiftningen för</w:t>
      </w:r>
      <w:r w:rsidR="00710DF0" w:rsidRPr="0083075B">
        <w:t xml:space="preserve"> den</w:t>
      </w:r>
      <w:r w:rsidRPr="0083075B">
        <w:t xml:space="preserve"> inre marknaden för el och gas. </w:t>
      </w:r>
    </w:p>
    <w:p w:rsidR="00CF0512" w:rsidRPr="0083075B" w:rsidRDefault="00CF0512" w:rsidP="00CF0512"/>
    <w:p w:rsidR="00CF0512" w:rsidRPr="0083075B" w:rsidRDefault="00CF0512" w:rsidP="00CF0512">
      <w:r w:rsidRPr="0083075B">
        <w:t xml:space="preserve">Frågan har diskuterats under hösten i rådsarbetsgruppen. Ordförandeskapet kommer </w:t>
      </w:r>
      <w:r w:rsidR="0091162E" w:rsidRPr="0083075B">
        <w:t>vid rådsmötet</w:t>
      </w:r>
      <w:r w:rsidR="00710DF0" w:rsidRPr="0083075B">
        <w:t xml:space="preserve"> </w:t>
      </w:r>
      <w:r w:rsidRPr="0083075B">
        <w:t>att informera om läget i förhandlingarna. Målsättningen är att nå en överenskommelse med Europaparlamentet till TTE-rådet den 15 juni.</w:t>
      </w:r>
    </w:p>
    <w:p w:rsidR="00CF0512" w:rsidRPr="0083075B" w:rsidRDefault="00CF0512" w:rsidP="00CF0512"/>
    <w:p w:rsidR="00975E1E" w:rsidRPr="0083075B" w:rsidRDefault="00CF0512" w:rsidP="00CF0512">
      <w:pPr>
        <w:rPr>
          <w:u w:val="single"/>
        </w:rPr>
      </w:pPr>
      <w:r w:rsidRPr="0083075B">
        <w:rPr>
          <w:u w:val="single"/>
        </w:rPr>
        <w:t>Förslag till svensk ståndpunkt</w:t>
      </w:r>
    </w:p>
    <w:p w:rsidR="0091162E" w:rsidRPr="0083075B" w:rsidRDefault="0091162E" w:rsidP="0091162E">
      <w:pPr>
        <w:pStyle w:val="RKnormal"/>
        <w:rPr>
          <w:bCs/>
        </w:rPr>
      </w:pPr>
      <w:r w:rsidRPr="0083075B">
        <w:rPr>
          <w:bCs/>
        </w:rPr>
        <w:t xml:space="preserve">Regeringen välkomnar att ordförandeskapet informerar om läget i förhandlingarna. </w:t>
      </w:r>
    </w:p>
    <w:p w:rsidR="00DD1E2B" w:rsidRPr="0083075B" w:rsidRDefault="00DD1E2B" w:rsidP="00710DF0">
      <w:pPr>
        <w:pStyle w:val="Normalwebb"/>
        <w:rPr>
          <w:b/>
          <w:lang w:val="sv-SE"/>
        </w:rPr>
      </w:pPr>
    </w:p>
    <w:p w:rsidR="00710DF0" w:rsidRPr="0083075B" w:rsidRDefault="00710DF0" w:rsidP="00710DF0">
      <w:pPr>
        <w:pStyle w:val="Normalwebb"/>
        <w:rPr>
          <w:b/>
          <w:lang w:val="sv-SE"/>
        </w:rPr>
      </w:pPr>
    </w:p>
    <w:p w:rsidR="00132072" w:rsidRPr="0083075B" w:rsidRDefault="00CF0512" w:rsidP="00CF0512">
      <w:pPr>
        <w:spacing w:line="240" w:lineRule="auto"/>
        <w:ind w:left="720" w:hanging="720"/>
        <w:rPr>
          <w:b/>
          <w:bCs/>
        </w:rPr>
      </w:pPr>
      <w:r w:rsidRPr="0083075B">
        <w:rPr>
          <w:b/>
        </w:rPr>
        <w:t>6 (</w:t>
      </w:r>
      <w:r w:rsidR="00DD1E2B" w:rsidRPr="0083075B">
        <w:rPr>
          <w:b/>
        </w:rPr>
        <w:t>c)</w:t>
      </w:r>
      <w:r w:rsidR="00132072" w:rsidRPr="0083075B">
        <w:rPr>
          <w:b/>
          <w:bCs/>
        </w:rPr>
        <w:tab/>
      </w:r>
      <w:r w:rsidR="00132072" w:rsidRPr="0083075B">
        <w:rPr>
          <w:b/>
        </w:rPr>
        <w:t>Förberedelser inför Rio +20 FN:s konferens om hållbar utveckling (Rio de Janeiro, Brasilien 20 till 22 juni 2012)</w:t>
      </w:r>
    </w:p>
    <w:p w:rsidR="00132072" w:rsidRPr="0083075B" w:rsidRDefault="00132072" w:rsidP="00132072">
      <w:pPr>
        <w:spacing w:line="240" w:lineRule="auto"/>
        <w:ind w:left="1134"/>
        <w:rPr>
          <w:i/>
          <w:color w:val="000000"/>
        </w:rPr>
      </w:pPr>
      <w:r w:rsidRPr="0083075B">
        <w:rPr>
          <w:i/>
          <w:color w:val="000000"/>
        </w:rPr>
        <w:t>–</w:t>
      </w:r>
      <w:r w:rsidRPr="0083075B">
        <w:rPr>
          <w:i/>
          <w:color w:val="000000"/>
        </w:rPr>
        <w:tab/>
        <w:t>Information från ordförandeskapet</w:t>
      </w:r>
    </w:p>
    <w:p w:rsidR="00CC50D1" w:rsidRPr="0083075B" w:rsidRDefault="00CC50D1" w:rsidP="00132072">
      <w:pPr>
        <w:spacing w:line="240" w:lineRule="auto"/>
        <w:ind w:left="1134"/>
        <w:rPr>
          <w:color w:val="000000"/>
        </w:rPr>
      </w:pPr>
      <w:r w:rsidRPr="0083075B">
        <w:rPr>
          <w:color w:val="000000"/>
        </w:rPr>
        <w:t>5779/12 ENER 28 ENV 50</w:t>
      </w:r>
    </w:p>
    <w:p w:rsidR="00132072" w:rsidRPr="0083075B" w:rsidRDefault="00132072" w:rsidP="00132072">
      <w:pPr>
        <w:rPr>
          <w:i/>
          <w:iCs/>
          <w:u w:val="single"/>
        </w:rPr>
      </w:pPr>
    </w:p>
    <w:p w:rsidR="00132072" w:rsidRPr="0083075B" w:rsidRDefault="00132072" w:rsidP="00132072">
      <w:pPr>
        <w:rPr>
          <w:iCs/>
          <w:u w:val="single"/>
        </w:rPr>
      </w:pPr>
      <w:r w:rsidRPr="0083075B">
        <w:rPr>
          <w:iCs/>
          <w:u w:val="single"/>
        </w:rPr>
        <w:t>Bakgrund</w:t>
      </w:r>
    </w:p>
    <w:p w:rsidR="00132072" w:rsidRPr="0083075B" w:rsidRDefault="00132072" w:rsidP="00544BB5">
      <w:pPr>
        <w:pStyle w:val="RKnormal"/>
      </w:pPr>
      <w:r w:rsidRPr="0083075B">
        <w:t>Den 20 till 22 juni hålls FN:s konferens för hållbar utveckling i Rio de Janeiro i Brasilien. Den sk. Rio +20 konferensens syfte är bland annat att säkra förnyat politiskt engagemang för hållbar utveckling. Konferensens teman är grön ekonomi inom ramen för hållbar utveckling och fattigdomsbekämpning, samt det institutionella ramverket för hållbar utveckling.</w:t>
      </w:r>
    </w:p>
    <w:p w:rsidR="00132072" w:rsidRPr="0083075B" w:rsidRDefault="00132072" w:rsidP="00544BB5">
      <w:pPr>
        <w:pStyle w:val="RKnormal"/>
      </w:pPr>
      <w:r w:rsidRPr="0083075B">
        <w:t>Under våren kommer förhandlingar genomföras för att ta fram ett slutdokument för konferensen. Rådsslutsatser om Rio +20 antogs av miljörådet i oktob</w:t>
      </w:r>
      <w:r w:rsidR="00710DF0" w:rsidRPr="0083075B">
        <w:t xml:space="preserve">er 2011. Nya rådsslutsatser kommer </w:t>
      </w:r>
      <w:r w:rsidRPr="0083075B">
        <w:t xml:space="preserve">preliminärt </w:t>
      </w:r>
      <w:r w:rsidR="00710DF0" w:rsidRPr="0083075B">
        <w:t>att antagas den 9 mars av</w:t>
      </w:r>
      <w:r w:rsidRPr="0083075B">
        <w:t xml:space="preserve"> miljörådet.</w:t>
      </w:r>
    </w:p>
    <w:p w:rsidR="00132072" w:rsidRPr="0083075B" w:rsidRDefault="00132072" w:rsidP="00132072">
      <w:pPr>
        <w:rPr>
          <w:iCs/>
        </w:rPr>
      </w:pPr>
      <w:r w:rsidRPr="0083075B">
        <w:rPr>
          <w:iCs/>
        </w:rPr>
        <w:tab/>
      </w:r>
    </w:p>
    <w:p w:rsidR="00132072" w:rsidRPr="0083075B" w:rsidRDefault="00132072" w:rsidP="00132072">
      <w:pPr>
        <w:pStyle w:val="RKnormal"/>
        <w:rPr>
          <w:bCs/>
          <w:u w:val="single"/>
        </w:rPr>
      </w:pPr>
      <w:r w:rsidRPr="0083075B">
        <w:rPr>
          <w:bCs/>
          <w:u w:val="single"/>
        </w:rPr>
        <w:t>Förslag till svensk ståndpunkt</w:t>
      </w:r>
    </w:p>
    <w:p w:rsidR="00132072" w:rsidRPr="0083075B" w:rsidRDefault="00132072" w:rsidP="00132072">
      <w:pPr>
        <w:pStyle w:val="RKnormal"/>
      </w:pPr>
      <w:r w:rsidRPr="0083075B">
        <w:t>Regeringen välkomnar informationen.</w:t>
      </w:r>
    </w:p>
    <w:p w:rsidR="00132072" w:rsidRPr="0083075B" w:rsidRDefault="00132072" w:rsidP="00132072">
      <w:pPr>
        <w:spacing w:line="240" w:lineRule="auto"/>
        <w:rPr>
          <w:color w:val="000000"/>
        </w:rPr>
      </w:pPr>
    </w:p>
    <w:p w:rsidR="00DD1E2B" w:rsidRPr="0083075B" w:rsidRDefault="00DD1E2B" w:rsidP="00E021EC">
      <w:pPr>
        <w:pStyle w:val="Normalwebb"/>
        <w:rPr>
          <w:b/>
          <w:lang w:val="sv-SE"/>
        </w:rPr>
      </w:pPr>
    </w:p>
    <w:p w:rsidR="00DD1E2B" w:rsidRPr="0083075B" w:rsidRDefault="009447BE" w:rsidP="00DD1E2B">
      <w:pPr>
        <w:pStyle w:val="Normalwebb"/>
        <w:ind w:left="567" w:hanging="567"/>
        <w:rPr>
          <w:b/>
          <w:lang w:val="sv-SE"/>
        </w:rPr>
      </w:pPr>
      <w:r w:rsidRPr="0083075B">
        <w:rPr>
          <w:b/>
          <w:lang w:val="sv-SE"/>
        </w:rPr>
        <w:t>6 (</w:t>
      </w:r>
      <w:r w:rsidR="00DD1E2B" w:rsidRPr="0083075B">
        <w:rPr>
          <w:b/>
          <w:lang w:val="sv-SE"/>
        </w:rPr>
        <w:t xml:space="preserve">d)  EU:s externa relationer på energiområdet </w:t>
      </w:r>
    </w:p>
    <w:p w:rsidR="00DD1E2B" w:rsidRPr="0083075B" w:rsidRDefault="00DD1E2B" w:rsidP="00DD1E2B">
      <w:pPr>
        <w:pStyle w:val="Normalwebb"/>
        <w:ind w:left="567" w:hanging="567"/>
        <w:rPr>
          <w:i/>
          <w:lang w:val="sv-SE"/>
        </w:rPr>
      </w:pPr>
      <w:r w:rsidRPr="0083075B">
        <w:rPr>
          <w:i/>
          <w:lang w:val="sv-SE"/>
        </w:rPr>
        <w:tab/>
      </w:r>
      <w:r w:rsidR="00544BB5" w:rsidRPr="0083075B">
        <w:rPr>
          <w:i/>
          <w:lang w:val="sv-SE"/>
        </w:rPr>
        <w:t>-</w:t>
      </w:r>
      <w:r w:rsidRPr="0083075B">
        <w:rPr>
          <w:i/>
          <w:lang w:val="sv-SE"/>
        </w:rPr>
        <w:tab/>
        <w:t>Information från kommissionen</w:t>
      </w:r>
    </w:p>
    <w:p w:rsidR="00DD1E2B" w:rsidRPr="0083075B" w:rsidRDefault="00DD1E2B" w:rsidP="00453CD3">
      <w:pPr>
        <w:pStyle w:val="Normalwebb"/>
        <w:ind w:left="567" w:hanging="567"/>
        <w:rPr>
          <w:b/>
          <w:lang w:val="sv-SE"/>
        </w:rPr>
      </w:pPr>
    </w:p>
    <w:p w:rsidR="00902834" w:rsidRPr="0083075B" w:rsidRDefault="00902834" w:rsidP="00902834">
      <w:r w:rsidRPr="0083075B">
        <w:t xml:space="preserve">TTE-rådet (energi) har traditionellt en stående punkt på dagordningen där läget i de löpande internationella energidialogerna rapporteras. Syftet med de dialoger som förs är att utveckla goda relationer med EU:s energipartners för att på så sätt trygga EU:s framtida energiförsörjning och främja det internationella klimatarbetet. </w:t>
      </w:r>
    </w:p>
    <w:p w:rsidR="00902834" w:rsidRPr="0083075B" w:rsidRDefault="00902834" w:rsidP="00902834"/>
    <w:p w:rsidR="00902834" w:rsidRPr="0083075B" w:rsidRDefault="00902834" w:rsidP="00902834">
      <w:pPr>
        <w:rPr>
          <w:u w:val="single"/>
        </w:rPr>
      </w:pPr>
      <w:r w:rsidRPr="0083075B">
        <w:rPr>
          <w:u w:val="single"/>
        </w:rPr>
        <w:t>Förslag till svensk ståndpunkt</w:t>
      </w:r>
    </w:p>
    <w:p w:rsidR="00902834" w:rsidRPr="0083075B" w:rsidRDefault="00710DF0" w:rsidP="00544BB5">
      <w:pPr>
        <w:pStyle w:val="RKnormal"/>
      </w:pPr>
      <w:r w:rsidRPr="0083075B">
        <w:t xml:space="preserve">Regeringen </w:t>
      </w:r>
      <w:r w:rsidR="00544BB5" w:rsidRPr="0083075B">
        <w:t>välkomnar att energiministrarna hålls informerade om de löpande externa energidialogerna samt syftet med dessa, dvs att utveckla goda relationer med EU:s energipartners för att på så sätt trygga energiförsörjningen samt ge EU stärkta möjligheter att verka för hållbar energi och klimatfrågor på det internationella planet.</w:t>
      </w:r>
    </w:p>
    <w:p w:rsidR="00902834" w:rsidRPr="0083075B" w:rsidRDefault="00902834" w:rsidP="00453CD3">
      <w:pPr>
        <w:pStyle w:val="Normalwebb"/>
        <w:ind w:left="567" w:hanging="567"/>
        <w:rPr>
          <w:b/>
          <w:lang w:val="sv-SE"/>
        </w:rPr>
      </w:pPr>
    </w:p>
    <w:p w:rsidR="00710DF0" w:rsidRPr="0083075B" w:rsidRDefault="00710DF0" w:rsidP="00453CD3">
      <w:pPr>
        <w:pStyle w:val="Normalwebb"/>
        <w:ind w:left="567" w:hanging="567"/>
        <w:rPr>
          <w:b/>
          <w:lang w:val="sv-SE"/>
        </w:rPr>
      </w:pPr>
    </w:p>
    <w:p w:rsidR="00710DF0" w:rsidRPr="0083075B" w:rsidRDefault="00710DF0" w:rsidP="00453CD3">
      <w:pPr>
        <w:pStyle w:val="Normalwebb"/>
        <w:ind w:left="567" w:hanging="567"/>
        <w:rPr>
          <w:b/>
          <w:lang w:val="sv-SE"/>
        </w:rPr>
      </w:pPr>
    </w:p>
    <w:p w:rsidR="00710DF0" w:rsidRPr="0083075B" w:rsidRDefault="00710DF0" w:rsidP="00453CD3">
      <w:pPr>
        <w:pStyle w:val="Normalwebb"/>
        <w:ind w:left="567" w:hanging="567"/>
        <w:rPr>
          <w:b/>
          <w:lang w:val="sv-SE"/>
        </w:rPr>
      </w:pPr>
    </w:p>
    <w:p w:rsidR="00710DF0" w:rsidRPr="0083075B" w:rsidRDefault="00710DF0" w:rsidP="00453CD3">
      <w:pPr>
        <w:pStyle w:val="Normalwebb"/>
        <w:ind w:left="567" w:hanging="567"/>
        <w:rPr>
          <w:b/>
          <w:lang w:val="sv-SE"/>
        </w:rPr>
      </w:pPr>
    </w:p>
    <w:p w:rsidR="00DD1E2B" w:rsidRPr="0083075B" w:rsidRDefault="00DD1E2B" w:rsidP="00453CD3">
      <w:pPr>
        <w:pStyle w:val="Normalwebb"/>
        <w:ind w:left="567" w:hanging="567"/>
        <w:rPr>
          <w:b/>
          <w:lang w:val="sv-SE"/>
        </w:rPr>
      </w:pPr>
    </w:p>
    <w:p w:rsidR="00DD1E2B" w:rsidRPr="0083075B" w:rsidRDefault="009447BE" w:rsidP="00453CD3">
      <w:pPr>
        <w:pStyle w:val="Normalwebb"/>
        <w:ind w:left="567" w:hanging="567"/>
        <w:rPr>
          <w:b/>
          <w:lang w:val="sv-SE"/>
        </w:rPr>
      </w:pPr>
      <w:r w:rsidRPr="0083075B">
        <w:rPr>
          <w:b/>
          <w:lang w:val="sv-SE"/>
        </w:rPr>
        <w:t>6(</w:t>
      </w:r>
      <w:r w:rsidR="00DD1E2B" w:rsidRPr="0083075B">
        <w:rPr>
          <w:b/>
          <w:lang w:val="sv-SE"/>
        </w:rPr>
        <w:t xml:space="preserve">e) </w:t>
      </w:r>
      <w:r w:rsidR="00544BB5" w:rsidRPr="0083075B">
        <w:rPr>
          <w:b/>
          <w:lang w:val="sv-SE"/>
        </w:rPr>
        <w:t>Arbetet inom gruppen för koordinering av frågor som rör elmarknader (Electricity Coordination Group)</w:t>
      </w:r>
    </w:p>
    <w:p w:rsidR="00544BB5" w:rsidRPr="0083075B" w:rsidRDefault="00544BB5" w:rsidP="00544BB5">
      <w:pPr>
        <w:pStyle w:val="Normalwebb"/>
        <w:numPr>
          <w:ilvl w:val="0"/>
          <w:numId w:val="2"/>
        </w:numPr>
        <w:rPr>
          <w:i/>
          <w:lang w:val="sv-SE"/>
        </w:rPr>
      </w:pPr>
      <w:r w:rsidRPr="0083075B">
        <w:rPr>
          <w:i/>
          <w:lang w:val="sv-SE"/>
        </w:rPr>
        <w:t>Information från kommissonen</w:t>
      </w:r>
    </w:p>
    <w:p w:rsidR="00710DF0" w:rsidRPr="0083075B" w:rsidRDefault="00710DF0" w:rsidP="00544BB5">
      <w:pPr>
        <w:overflowPunct/>
        <w:spacing w:line="360" w:lineRule="auto"/>
        <w:textAlignment w:val="auto"/>
        <w:rPr>
          <w:u w:val="single"/>
        </w:rPr>
      </w:pPr>
    </w:p>
    <w:p w:rsidR="00544BB5" w:rsidRPr="0083075B" w:rsidRDefault="00710DF0" w:rsidP="00544BB5">
      <w:pPr>
        <w:overflowPunct/>
        <w:spacing w:line="360" w:lineRule="auto"/>
        <w:textAlignment w:val="auto"/>
        <w:rPr>
          <w:u w:val="single"/>
        </w:rPr>
      </w:pPr>
      <w:r w:rsidRPr="0083075B">
        <w:rPr>
          <w:u w:val="single"/>
        </w:rPr>
        <w:t>Bakgrund</w:t>
      </w:r>
    </w:p>
    <w:p w:rsidR="00710DF0" w:rsidRPr="0083075B" w:rsidRDefault="00544BB5" w:rsidP="00544BB5">
      <w:pPr>
        <w:overflowPunct/>
        <w:spacing w:line="240" w:lineRule="auto"/>
        <w:textAlignment w:val="auto"/>
      </w:pPr>
      <w:r w:rsidRPr="0083075B">
        <w:t xml:space="preserve">Gruppen för koordinering av frågor som rör energimarknader (Electricity Coordination Group) tillsattes under hösten </w:t>
      </w:r>
      <w:r w:rsidR="00710DF0" w:rsidRPr="0083075B">
        <w:t xml:space="preserve">2011 </w:t>
      </w:r>
      <w:r w:rsidRPr="0083075B">
        <w:t>mot bakgrund av det tyska beslutet att avveckla kärnkraften då det identifierades ett behov av ett diskussion</w:t>
      </w:r>
      <w:r w:rsidR="0091162E" w:rsidRPr="0083075B">
        <w:t>sforum för</w:t>
      </w:r>
      <w:r w:rsidRPr="0083075B">
        <w:t xml:space="preserve"> frågor </w:t>
      </w:r>
      <w:r w:rsidR="0091162E" w:rsidRPr="0083075B">
        <w:t xml:space="preserve">om </w:t>
      </w:r>
      <w:r w:rsidRPr="0083075B">
        <w:t xml:space="preserve">produktions- och transmissionskapacitet för el som har gränsöverskridande effekter. </w:t>
      </w:r>
    </w:p>
    <w:p w:rsidR="00544BB5" w:rsidRPr="0083075B" w:rsidRDefault="00544BB5" w:rsidP="00544BB5">
      <w:pPr>
        <w:overflowPunct/>
        <w:spacing w:line="240" w:lineRule="auto"/>
        <w:textAlignment w:val="auto"/>
      </w:pPr>
      <w:r w:rsidRPr="0083075B">
        <w:t>Gruppen samlar EU:s medlemsstater, EU-kommissionen, de nationella tillsynsmyndigheterna och De europeiska tillsynsmyndigheternas</w:t>
      </w:r>
      <w:r w:rsidR="00710DF0" w:rsidRPr="0083075B">
        <w:t xml:space="preserve"> samarbetsorganisation (ACER). </w:t>
      </w:r>
      <w:r w:rsidRPr="0083075B">
        <w:t>Det första mötet i gruppen hölls den 2 december</w:t>
      </w:r>
      <w:r w:rsidR="00710DF0" w:rsidRPr="0083075B">
        <w:t xml:space="preserve"> 2011</w:t>
      </w:r>
      <w:r w:rsidRPr="0083075B">
        <w:t>. Medlemmarna i gruppen har sedan dess utsett nationella kontaktpunkter till ett nätverk som kan användas för informationsspridning och för att snabbt komma i kontakt.</w:t>
      </w:r>
    </w:p>
    <w:p w:rsidR="00544BB5" w:rsidRPr="0083075B" w:rsidRDefault="00544BB5" w:rsidP="00544BB5">
      <w:pPr>
        <w:overflowPunct/>
        <w:spacing w:line="360" w:lineRule="auto"/>
        <w:textAlignment w:val="auto"/>
      </w:pPr>
    </w:p>
    <w:p w:rsidR="00544BB5" w:rsidRPr="0083075B" w:rsidRDefault="00544BB5" w:rsidP="00544BB5">
      <w:pPr>
        <w:overflowPunct/>
        <w:spacing w:line="240" w:lineRule="auto"/>
        <w:textAlignment w:val="auto"/>
        <w:rPr>
          <w:u w:val="single"/>
        </w:rPr>
      </w:pPr>
      <w:r w:rsidRPr="0083075B">
        <w:rPr>
          <w:u w:val="single"/>
        </w:rPr>
        <w:t>Svensk ståndpunkt:</w:t>
      </w:r>
    </w:p>
    <w:p w:rsidR="0091162E" w:rsidRPr="0083075B" w:rsidRDefault="0091162E" w:rsidP="0091162E">
      <w:pPr>
        <w:pStyle w:val="RKnormal"/>
      </w:pPr>
      <w:r w:rsidRPr="0083075B">
        <w:t>Regeringen välkomnar informationen.</w:t>
      </w:r>
    </w:p>
    <w:p w:rsidR="00544BB5" w:rsidRPr="0083075B" w:rsidRDefault="00544BB5" w:rsidP="00544BB5">
      <w:pPr>
        <w:pStyle w:val="Normalwebb"/>
        <w:ind w:left="567" w:hanging="567"/>
        <w:rPr>
          <w:b/>
          <w:lang w:val="sv-SE"/>
        </w:rPr>
      </w:pPr>
    </w:p>
    <w:p w:rsidR="00DD1E2B" w:rsidRPr="0083075B" w:rsidRDefault="00DD1E2B" w:rsidP="00544BB5">
      <w:pPr>
        <w:pStyle w:val="Normalwebb"/>
        <w:ind w:left="567" w:hanging="567"/>
        <w:rPr>
          <w:b/>
          <w:lang w:val="sv-SE"/>
        </w:rPr>
      </w:pPr>
    </w:p>
    <w:p w:rsidR="00DD1E2B" w:rsidRPr="0083075B" w:rsidRDefault="00DD1E2B" w:rsidP="00453CD3">
      <w:pPr>
        <w:pStyle w:val="Normalwebb"/>
        <w:ind w:left="567" w:hanging="567"/>
        <w:rPr>
          <w:b/>
          <w:lang w:val="sv-SE"/>
        </w:rPr>
      </w:pPr>
    </w:p>
    <w:p w:rsidR="00DD1E2B" w:rsidRPr="0083075B" w:rsidRDefault="00DD1E2B" w:rsidP="00453CD3">
      <w:pPr>
        <w:pStyle w:val="Normalwebb"/>
        <w:ind w:left="567" w:hanging="567"/>
        <w:rPr>
          <w:b/>
          <w:lang w:val="sv-SE"/>
        </w:rPr>
      </w:pPr>
    </w:p>
    <w:p w:rsidR="00453CD3" w:rsidRPr="0083075B" w:rsidRDefault="005D4D22" w:rsidP="00DD1E2B">
      <w:pPr>
        <w:spacing w:line="240" w:lineRule="auto"/>
        <w:ind w:left="1134" w:hanging="567"/>
        <w:jc w:val="both"/>
      </w:pPr>
      <w:r w:rsidRPr="0083075B">
        <w:rPr>
          <w:i/>
        </w:rPr>
        <w:tab/>
      </w:r>
    </w:p>
    <w:p w:rsidR="000F2D11" w:rsidRPr="0083075B" w:rsidRDefault="000F2D11" w:rsidP="00453CD3">
      <w:pPr>
        <w:rPr>
          <w:u w:val="single"/>
        </w:rPr>
      </w:pPr>
    </w:p>
    <w:p w:rsidR="000F2D11" w:rsidRPr="0083075B" w:rsidRDefault="000F2D11" w:rsidP="00453CD3">
      <w:pPr>
        <w:jc w:val="both"/>
        <w:rPr>
          <w:i/>
        </w:rPr>
      </w:pPr>
    </w:p>
    <w:p w:rsidR="004D1223" w:rsidRPr="0083075B" w:rsidRDefault="000D4EEF" w:rsidP="000D4EEF">
      <w:pPr>
        <w:pStyle w:val="RKnormal"/>
      </w:pPr>
      <w:r w:rsidRPr="0083075B">
        <w:rPr>
          <w:b/>
          <w:color w:val="000000"/>
          <w:u w:val="single"/>
        </w:rPr>
        <w:br w:type="page"/>
      </w:r>
    </w:p>
    <w:sectPr w:rsidR="004D1223" w:rsidRPr="0083075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3D1" w:rsidRPr="0083075B" w:rsidRDefault="00CE73D1">
      <w:r w:rsidRPr="0083075B">
        <w:separator/>
      </w:r>
    </w:p>
  </w:endnote>
  <w:endnote w:type="continuationSeparator" w:id="0">
    <w:p w:rsidR="00CE73D1" w:rsidRPr="0083075B" w:rsidRDefault="00CE73D1">
      <w:r w:rsidRPr="00830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3D1" w:rsidRPr="0083075B" w:rsidRDefault="00CE73D1">
      <w:r w:rsidRPr="0083075B">
        <w:separator/>
      </w:r>
    </w:p>
  </w:footnote>
  <w:footnote w:type="continuationSeparator" w:id="0">
    <w:p w:rsidR="00CE73D1" w:rsidRPr="0083075B" w:rsidRDefault="00CE73D1">
      <w:r w:rsidRPr="00830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E2B" w:rsidRPr="0083075B" w:rsidRDefault="00DD1E2B">
    <w:pPr>
      <w:pStyle w:val="Sidhuvud"/>
      <w:framePr w:wrap="around" w:vAnchor="text" w:hAnchor="margin" w:xAlign="right" w:y="1"/>
      <w:rPr>
        <w:rStyle w:val="Sidnummer"/>
      </w:rPr>
    </w:pPr>
    <w:r w:rsidRPr="0083075B">
      <w:rPr>
        <w:rStyle w:val="Sidnummer"/>
      </w:rPr>
      <w:fldChar w:fldCharType="begin" w:fldLock="1"/>
    </w:r>
    <w:r w:rsidRPr="0083075B">
      <w:rPr>
        <w:rStyle w:val="Sidnummer"/>
      </w:rPr>
      <w:instrText xml:space="preserve">PAGE  </w:instrText>
    </w:r>
    <w:r w:rsidRPr="0083075B">
      <w:rPr>
        <w:rStyle w:val="Sidnummer"/>
      </w:rPr>
      <w:fldChar w:fldCharType="separate"/>
    </w:r>
    <w:r w:rsidR="00C435D3" w:rsidRPr="0083075B">
      <w:rPr>
        <w:rStyle w:val="Sidnummer"/>
      </w:rPr>
      <w:t>8</w:t>
    </w:r>
    <w:r w:rsidRPr="0083075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1E2B" w:rsidRPr="0083075B">
      <w:tblPrEx>
        <w:tblCellMar>
          <w:top w:w="0" w:type="dxa"/>
          <w:bottom w:w="0" w:type="dxa"/>
        </w:tblCellMar>
      </w:tblPrEx>
      <w:trPr>
        <w:cantSplit/>
      </w:trPr>
      <w:tc>
        <w:tcPr>
          <w:tcW w:w="3119" w:type="dxa"/>
        </w:tcPr>
        <w:p w:rsidR="00DD1E2B" w:rsidRPr="0083075B" w:rsidRDefault="00DD1E2B">
          <w:pPr>
            <w:pStyle w:val="Sidhuvud"/>
            <w:spacing w:line="200" w:lineRule="atLeast"/>
            <w:ind w:right="357"/>
            <w:rPr>
              <w:rFonts w:ascii="TradeGothic" w:hAnsi="TradeGothic"/>
              <w:b/>
              <w:bCs/>
              <w:sz w:val="16"/>
            </w:rPr>
          </w:pPr>
        </w:p>
      </w:tc>
      <w:tc>
        <w:tcPr>
          <w:tcW w:w="4111" w:type="dxa"/>
          <w:tcMar>
            <w:left w:w="567" w:type="dxa"/>
          </w:tcMar>
        </w:tcPr>
        <w:p w:rsidR="00DD1E2B" w:rsidRPr="0083075B" w:rsidRDefault="00DD1E2B">
          <w:pPr>
            <w:pStyle w:val="Sidhuvud"/>
            <w:ind w:right="360"/>
          </w:pPr>
        </w:p>
      </w:tc>
      <w:tc>
        <w:tcPr>
          <w:tcW w:w="1525" w:type="dxa"/>
        </w:tcPr>
        <w:p w:rsidR="00DD1E2B" w:rsidRPr="0083075B" w:rsidRDefault="00DD1E2B">
          <w:pPr>
            <w:pStyle w:val="Sidhuvud"/>
            <w:ind w:right="360"/>
          </w:pPr>
        </w:p>
      </w:tc>
    </w:tr>
  </w:tbl>
  <w:p w:rsidR="00DD1E2B" w:rsidRPr="0083075B" w:rsidRDefault="00DD1E2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E2B" w:rsidRPr="0083075B" w:rsidRDefault="00DD1E2B">
    <w:pPr>
      <w:pStyle w:val="Sidhuvud"/>
      <w:framePr w:wrap="around" w:vAnchor="text" w:hAnchor="margin" w:xAlign="right" w:y="1"/>
      <w:rPr>
        <w:rStyle w:val="Sidnummer"/>
      </w:rPr>
    </w:pPr>
    <w:r w:rsidRPr="0083075B">
      <w:rPr>
        <w:rStyle w:val="Sidnummer"/>
      </w:rPr>
      <w:fldChar w:fldCharType="begin" w:fldLock="1"/>
    </w:r>
    <w:r w:rsidRPr="0083075B">
      <w:rPr>
        <w:rStyle w:val="Sidnummer"/>
      </w:rPr>
      <w:instrText xml:space="preserve">PAGE  </w:instrText>
    </w:r>
    <w:r w:rsidRPr="0083075B">
      <w:rPr>
        <w:rStyle w:val="Sidnummer"/>
      </w:rPr>
      <w:fldChar w:fldCharType="separate"/>
    </w:r>
    <w:r w:rsidR="00C435D3" w:rsidRPr="0083075B">
      <w:rPr>
        <w:rStyle w:val="Sidnummer"/>
      </w:rPr>
      <w:t>7</w:t>
    </w:r>
    <w:r w:rsidRPr="0083075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1E2B" w:rsidRPr="0083075B">
      <w:tblPrEx>
        <w:tblCellMar>
          <w:top w:w="0" w:type="dxa"/>
          <w:bottom w:w="0" w:type="dxa"/>
        </w:tblCellMar>
      </w:tblPrEx>
      <w:trPr>
        <w:cantSplit/>
      </w:trPr>
      <w:tc>
        <w:tcPr>
          <w:tcW w:w="3119" w:type="dxa"/>
        </w:tcPr>
        <w:p w:rsidR="00DD1E2B" w:rsidRPr="0083075B" w:rsidRDefault="00DD1E2B">
          <w:pPr>
            <w:pStyle w:val="Sidhuvud"/>
            <w:spacing w:line="200" w:lineRule="atLeast"/>
            <w:ind w:right="357"/>
            <w:rPr>
              <w:rFonts w:ascii="TradeGothic" w:hAnsi="TradeGothic"/>
              <w:b/>
              <w:bCs/>
              <w:sz w:val="16"/>
            </w:rPr>
          </w:pPr>
        </w:p>
      </w:tc>
      <w:tc>
        <w:tcPr>
          <w:tcW w:w="4111" w:type="dxa"/>
          <w:tcMar>
            <w:left w:w="567" w:type="dxa"/>
          </w:tcMar>
        </w:tcPr>
        <w:p w:rsidR="00DD1E2B" w:rsidRPr="0083075B" w:rsidRDefault="00DD1E2B">
          <w:pPr>
            <w:pStyle w:val="Sidhuvud"/>
            <w:ind w:right="360"/>
          </w:pPr>
        </w:p>
      </w:tc>
      <w:tc>
        <w:tcPr>
          <w:tcW w:w="1525" w:type="dxa"/>
        </w:tcPr>
        <w:p w:rsidR="00DD1E2B" w:rsidRPr="0083075B" w:rsidRDefault="00DD1E2B">
          <w:pPr>
            <w:pStyle w:val="Sidhuvud"/>
            <w:ind w:right="360"/>
          </w:pPr>
        </w:p>
      </w:tc>
    </w:tr>
  </w:tbl>
  <w:p w:rsidR="00DD1E2B" w:rsidRPr="0083075B" w:rsidRDefault="00DD1E2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E2B" w:rsidRPr="0083075B" w:rsidRDefault="0083075B">
    <w:pPr>
      <w:framePr w:w="2948" w:h="1321" w:hRule="exact" w:wrap="notBeside" w:vAnchor="page" w:hAnchor="page" w:x="1362" w:y="653"/>
    </w:pPr>
    <w:r w:rsidRPr="0083075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D1E2B" w:rsidRPr="0083075B" w:rsidRDefault="00DD1E2B">
    <w:pPr>
      <w:pStyle w:val="RKrubrik"/>
      <w:keepNext w:val="0"/>
      <w:tabs>
        <w:tab w:val="clear" w:pos="1134"/>
        <w:tab w:val="clear" w:pos="2835"/>
      </w:tabs>
      <w:spacing w:before="0" w:after="0" w:line="320" w:lineRule="atLeast"/>
      <w:rPr>
        <w:bCs/>
      </w:rPr>
    </w:pPr>
  </w:p>
  <w:p w:rsidR="00DD1E2B" w:rsidRPr="0083075B" w:rsidRDefault="00DD1E2B">
    <w:pPr>
      <w:rPr>
        <w:rFonts w:ascii="TradeGothic" w:hAnsi="TradeGothic"/>
        <w:b/>
        <w:bCs/>
        <w:spacing w:val="12"/>
        <w:sz w:val="22"/>
      </w:rPr>
    </w:pPr>
  </w:p>
  <w:p w:rsidR="00DD1E2B" w:rsidRPr="0083075B" w:rsidRDefault="00DD1E2B">
    <w:pPr>
      <w:pStyle w:val="RKrubrik"/>
      <w:keepNext w:val="0"/>
      <w:tabs>
        <w:tab w:val="clear" w:pos="1134"/>
        <w:tab w:val="clear" w:pos="2835"/>
      </w:tabs>
      <w:spacing w:before="0" w:after="0" w:line="320" w:lineRule="atLeast"/>
      <w:rPr>
        <w:bCs/>
      </w:rPr>
    </w:pPr>
  </w:p>
  <w:p w:rsidR="00DD1E2B" w:rsidRPr="0083075B" w:rsidRDefault="00DD1E2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85339"/>
    <w:multiLevelType w:val="hybridMultilevel"/>
    <w:tmpl w:val="594C40D6"/>
    <w:lvl w:ilvl="0" w:tplc="A6349FFE">
      <w:start w:val="6"/>
      <w:numFmt w:val="bullet"/>
      <w:lvlText w:val="-"/>
      <w:lvlJc w:val="left"/>
      <w:pPr>
        <w:ind w:left="930" w:hanging="360"/>
      </w:pPr>
      <w:rPr>
        <w:rFonts w:ascii="Times New Roman" w:eastAsia="Times New Roman" w:hAnsi="Times New Roman" w:cs="Times New Roman" w:hint="default"/>
      </w:rPr>
    </w:lvl>
    <w:lvl w:ilvl="1" w:tplc="041D0003" w:tentative="1">
      <w:start w:val="1"/>
      <w:numFmt w:val="bullet"/>
      <w:lvlText w:val="o"/>
      <w:lvlJc w:val="left"/>
      <w:pPr>
        <w:ind w:left="1650" w:hanging="360"/>
      </w:pPr>
      <w:rPr>
        <w:rFonts w:ascii="Courier New" w:hAnsi="Courier New" w:cs="Courier New" w:hint="default"/>
      </w:rPr>
    </w:lvl>
    <w:lvl w:ilvl="2" w:tplc="041D0005" w:tentative="1">
      <w:start w:val="1"/>
      <w:numFmt w:val="bullet"/>
      <w:lvlText w:val=""/>
      <w:lvlJc w:val="left"/>
      <w:pPr>
        <w:ind w:left="2370" w:hanging="360"/>
      </w:pPr>
      <w:rPr>
        <w:rFonts w:ascii="Wingdings" w:hAnsi="Wingdings" w:hint="default"/>
      </w:rPr>
    </w:lvl>
    <w:lvl w:ilvl="3" w:tplc="041D0001" w:tentative="1">
      <w:start w:val="1"/>
      <w:numFmt w:val="bullet"/>
      <w:lvlText w:val=""/>
      <w:lvlJc w:val="left"/>
      <w:pPr>
        <w:ind w:left="3090" w:hanging="360"/>
      </w:pPr>
      <w:rPr>
        <w:rFonts w:ascii="Symbol" w:hAnsi="Symbol" w:hint="default"/>
      </w:rPr>
    </w:lvl>
    <w:lvl w:ilvl="4" w:tplc="041D0003" w:tentative="1">
      <w:start w:val="1"/>
      <w:numFmt w:val="bullet"/>
      <w:lvlText w:val="o"/>
      <w:lvlJc w:val="left"/>
      <w:pPr>
        <w:ind w:left="3810" w:hanging="360"/>
      </w:pPr>
      <w:rPr>
        <w:rFonts w:ascii="Courier New" w:hAnsi="Courier New" w:cs="Courier New" w:hint="default"/>
      </w:rPr>
    </w:lvl>
    <w:lvl w:ilvl="5" w:tplc="041D0005" w:tentative="1">
      <w:start w:val="1"/>
      <w:numFmt w:val="bullet"/>
      <w:lvlText w:val=""/>
      <w:lvlJc w:val="left"/>
      <w:pPr>
        <w:ind w:left="4530" w:hanging="360"/>
      </w:pPr>
      <w:rPr>
        <w:rFonts w:ascii="Wingdings" w:hAnsi="Wingdings" w:hint="default"/>
      </w:rPr>
    </w:lvl>
    <w:lvl w:ilvl="6" w:tplc="041D0001" w:tentative="1">
      <w:start w:val="1"/>
      <w:numFmt w:val="bullet"/>
      <w:lvlText w:val=""/>
      <w:lvlJc w:val="left"/>
      <w:pPr>
        <w:ind w:left="5250" w:hanging="360"/>
      </w:pPr>
      <w:rPr>
        <w:rFonts w:ascii="Symbol" w:hAnsi="Symbol" w:hint="default"/>
      </w:rPr>
    </w:lvl>
    <w:lvl w:ilvl="7" w:tplc="041D0003" w:tentative="1">
      <w:start w:val="1"/>
      <w:numFmt w:val="bullet"/>
      <w:lvlText w:val="o"/>
      <w:lvlJc w:val="left"/>
      <w:pPr>
        <w:ind w:left="5970" w:hanging="360"/>
      </w:pPr>
      <w:rPr>
        <w:rFonts w:ascii="Courier New" w:hAnsi="Courier New" w:cs="Courier New" w:hint="default"/>
      </w:rPr>
    </w:lvl>
    <w:lvl w:ilvl="8" w:tplc="041D0005" w:tentative="1">
      <w:start w:val="1"/>
      <w:numFmt w:val="bullet"/>
      <w:lvlText w:val=""/>
      <w:lvlJc w:val="left"/>
      <w:pPr>
        <w:ind w:left="6690" w:hanging="360"/>
      </w:pPr>
      <w:rPr>
        <w:rFonts w:ascii="Wingdings" w:hAnsi="Wingdings" w:hint="default"/>
      </w:rPr>
    </w:lvl>
  </w:abstractNum>
  <w:abstractNum w:abstractNumId="1" w15:restartNumberingAfterBreak="0">
    <w:nsid w:val="73C10C4D"/>
    <w:multiLevelType w:val="hybridMultilevel"/>
    <w:tmpl w:val="60E0CC56"/>
    <w:lvl w:ilvl="0" w:tplc="2BBE791A">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47542680">
    <w:abstractNumId w:val="0"/>
  </w:num>
  <w:num w:numId="2" w16cid:durableId="63899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052F04"/>
    <w:rsid w:val="00054984"/>
    <w:rsid w:val="000607F2"/>
    <w:rsid w:val="00062BAE"/>
    <w:rsid w:val="00067B85"/>
    <w:rsid w:val="000A1217"/>
    <w:rsid w:val="000A3567"/>
    <w:rsid w:val="000B6C4B"/>
    <w:rsid w:val="000D4EEF"/>
    <w:rsid w:val="000F2D11"/>
    <w:rsid w:val="00116C32"/>
    <w:rsid w:val="00132072"/>
    <w:rsid w:val="00140705"/>
    <w:rsid w:val="00150384"/>
    <w:rsid w:val="00151651"/>
    <w:rsid w:val="001805B7"/>
    <w:rsid w:val="001A3F38"/>
    <w:rsid w:val="001B660E"/>
    <w:rsid w:val="00220D9B"/>
    <w:rsid w:val="002476C7"/>
    <w:rsid w:val="00256C97"/>
    <w:rsid w:val="00263F89"/>
    <w:rsid w:val="002D3808"/>
    <w:rsid w:val="002F580A"/>
    <w:rsid w:val="002F5988"/>
    <w:rsid w:val="00310315"/>
    <w:rsid w:val="00340990"/>
    <w:rsid w:val="003748BA"/>
    <w:rsid w:val="003B080F"/>
    <w:rsid w:val="003C1EEF"/>
    <w:rsid w:val="003E1513"/>
    <w:rsid w:val="00401D3B"/>
    <w:rsid w:val="004103AC"/>
    <w:rsid w:val="00423230"/>
    <w:rsid w:val="0044477F"/>
    <w:rsid w:val="0045074F"/>
    <w:rsid w:val="00452851"/>
    <w:rsid w:val="00453CD3"/>
    <w:rsid w:val="00480087"/>
    <w:rsid w:val="00491F83"/>
    <w:rsid w:val="0049515B"/>
    <w:rsid w:val="00496097"/>
    <w:rsid w:val="004A0D43"/>
    <w:rsid w:val="004A328D"/>
    <w:rsid w:val="004C015B"/>
    <w:rsid w:val="004D1223"/>
    <w:rsid w:val="00544BB5"/>
    <w:rsid w:val="00574E85"/>
    <w:rsid w:val="00582273"/>
    <w:rsid w:val="00597C47"/>
    <w:rsid w:val="005D4D22"/>
    <w:rsid w:val="0060042B"/>
    <w:rsid w:val="00611CBE"/>
    <w:rsid w:val="00637AAE"/>
    <w:rsid w:val="006446C7"/>
    <w:rsid w:val="00696EBB"/>
    <w:rsid w:val="006C6A34"/>
    <w:rsid w:val="006E4E11"/>
    <w:rsid w:val="006F5F24"/>
    <w:rsid w:val="006F724D"/>
    <w:rsid w:val="00710DF0"/>
    <w:rsid w:val="00721C5E"/>
    <w:rsid w:val="007242A3"/>
    <w:rsid w:val="00751FBA"/>
    <w:rsid w:val="00773795"/>
    <w:rsid w:val="00783472"/>
    <w:rsid w:val="00797095"/>
    <w:rsid w:val="007A678A"/>
    <w:rsid w:val="007B2960"/>
    <w:rsid w:val="007B62EA"/>
    <w:rsid w:val="007D2940"/>
    <w:rsid w:val="00820538"/>
    <w:rsid w:val="0083075B"/>
    <w:rsid w:val="00870AE8"/>
    <w:rsid w:val="0088633E"/>
    <w:rsid w:val="008B26A5"/>
    <w:rsid w:val="008B290B"/>
    <w:rsid w:val="008D38D6"/>
    <w:rsid w:val="00902834"/>
    <w:rsid w:val="00907D37"/>
    <w:rsid w:val="0091162E"/>
    <w:rsid w:val="009447BE"/>
    <w:rsid w:val="00950EF9"/>
    <w:rsid w:val="00975E1E"/>
    <w:rsid w:val="00994EC1"/>
    <w:rsid w:val="009D43C2"/>
    <w:rsid w:val="009F2159"/>
    <w:rsid w:val="00A24576"/>
    <w:rsid w:val="00A6777D"/>
    <w:rsid w:val="00A819EE"/>
    <w:rsid w:val="00AC5F6D"/>
    <w:rsid w:val="00B17ED9"/>
    <w:rsid w:val="00B508B8"/>
    <w:rsid w:val="00B76AC0"/>
    <w:rsid w:val="00B77A5D"/>
    <w:rsid w:val="00B85827"/>
    <w:rsid w:val="00B94582"/>
    <w:rsid w:val="00BB0854"/>
    <w:rsid w:val="00BD2BEB"/>
    <w:rsid w:val="00C043AC"/>
    <w:rsid w:val="00C435D3"/>
    <w:rsid w:val="00C57689"/>
    <w:rsid w:val="00C61349"/>
    <w:rsid w:val="00C95C0D"/>
    <w:rsid w:val="00CC50D1"/>
    <w:rsid w:val="00CD796D"/>
    <w:rsid w:val="00CE73D1"/>
    <w:rsid w:val="00CF0512"/>
    <w:rsid w:val="00CF1EFF"/>
    <w:rsid w:val="00D103B3"/>
    <w:rsid w:val="00D31606"/>
    <w:rsid w:val="00D33ED0"/>
    <w:rsid w:val="00D43F85"/>
    <w:rsid w:val="00D62D48"/>
    <w:rsid w:val="00D652DA"/>
    <w:rsid w:val="00D96793"/>
    <w:rsid w:val="00DC3853"/>
    <w:rsid w:val="00DD1E2B"/>
    <w:rsid w:val="00DF578F"/>
    <w:rsid w:val="00E021EC"/>
    <w:rsid w:val="00E50B8D"/>
    <w:rsid w:val="00E56AE7"/>
    <w:rsid w:val="00E96CDA"/>
    <w:rsid w:val="00EA2ADD"/>
    <w:rsid w:val="00EC25F9"/>
    <w:rsid w:val="00EC6338"/>
    <w:rsid w:val="00EF12E4"/>
    <w:rsid w:val="00F2396D"/>
    <w:rsid w:val="00F342A5"/>
    <w:rsid w:val="00F343B4"/>
    <w:rsid w:val="00F350C8"/>
    <w:rsid w:val="00F53DB3"/>
    <w:rsid w:val="00F73577"/>
    <w:rsid w:val="00F86B23"/>
    <w:rsid w:val="00FE7C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3FF925-A306-46E9-B211-B0EBB76C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C4B"/>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820538"/>
    <w:rPr>
      <w:rFonts w:ascii="OrigGarmnd BT" w:hAnsi="OrigGarmnd BT"/>
      <w:sz w:val="24"/>
      <w:lang w:val="sv-SE" w:eastAsia="en-US" w:bidi="ar-SA"/>
    </w:rPr>
  </w:style>
  <w:style w:type="character" w:customStyle="1" w:styleId="RKnormalChar1">
    <w:name w:val="RKnormal Char1"/>
    <w:rsid w:val="00491F83"/>
    <w:rPr>
      <w:rFonts w:ascii="OrigGarmnd BT" w:hAnsi="OrigGarmnd BT"/>
      <w:sz w:val="24"/>
      <w:lang w:val="sv-SE" w:eastAsia="en-US" w:bidi="ar-SA"/>
    </w:rPr>
  </w:style>
  <w:style w:type="paragraph" w:styleId="Normalwebb">
    <w:name w:val="Normal (Web)"/>
    <w:basedOn w:val="Normal"/>
    <w:rsid w:val="007D2940"/>
    <w:pPr>
      <w:overflowPunct/>
      <w:autoSpaceDE/>
      <w:autoSpaceDN/>
      <w:adjustRightInd/>
      <w:spacing w:line="240" w:lineRule="auto"/>
      <w:textAlignment w:val="auto"/>
    </w:pPr>
    <w:rPr>
      <w:rFonts w:ascii="Times New Roman" w:hAnsi="Times New Roman"/>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11828</Characters>
  <Application>Microsoft Office Word</Application>
  <DocSecurity>4</DocSecurity>
  <Lines>319</Lines>
  <Paragraphs>95</Paragraphs>
  <ScaleCrop>false</ScaleCrop>
  <HeadingPairs>
    <vt:vector size="2" baseType="variant">
      <vt:variant>
        <vt:lpstr>Rubrik</vt:lpstr>
      </vt:variant>
      <vt:variant>
        <vt:i4>1</vt:i4>
      </vt:variant>
    </vt:vector>
  </HeadingPairs>
  <TitlesOfParts>
    <vt:vector size="1" baseType="lpstr">
      <vt:lpstr>Kommenterad dagordning rådsmötet TTE (energi) den 19 februari 2009</vt:lpstr>
    </vt:vector>
  </TitlesOfParts>
  <Company>Regeringskansliet</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cp:lastModifiedBy>Lars Brink</cp:lastModifiedBy>
  <cp:revision>2</cp:revision>
  <cp:lastPrinted>2012-02-06T11:44:00Z</cp:lastPrinted>
  <dcterms:created xsi:type="dcterms:W3CDTF">2025-12-17T21:41:00Z</dcterms:created>
  <dcterms:modified xsi:type="dcterms:W3CDTF">2025-12-17T21:41:00Z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y fmtid="{D5CDD505-2E9C-101B-9397-08002B2CF9AE}" pid="5" name="RKOrdnaDepartement">
    <vt:lpwstr>Näringsdepartementet</vt:lpwstr>
  </property>
  <property fmtid="{D5CDD505-2E9C-101B-9397-08002B2CF9AE}" pid="6" name="RKOrdnaActivityCategory">
    <vt:lpwstr>9.9. Migrerat</vt:lpwstr>
  </property>
  <property fmtid="{D5CDD505-2E9C-101B-9397-08002B2CF9AE}" pid="7" name="QFMSP source name">
    <vt:lpwstr>Kommenterad dagordning 3 TTE-energi 19 feb 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