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3A164D" w:rsidRPr="00607DEF">
        <w:tblPrEx>
          <w:tblCellMar>
            <w:top w:w="0" w:type="dxa"/>
            <w:bottom w:w="0" w:type="dxa"/>
          </w:tblCellMar>
        </w:tblPrEx>
        <w:tc>
          <w:tcPr>
            <w:tcW w:w="2268" w:type="dxa"/>
          </w:tcPr>
          <w:p w:rsidR="003A164D" w:rsidRPr="00607DEF" w:rsidRDefault="003A164D">
            <w:pPr>
              <w:framePr w:w="4400" w:h="1644" w:wrap="notBeside" w:vAnchor="page" w:hAnchor="page" w:x="6573" w:y="721"/>
              <w:rPr>
                <w:rFonts w:ascii="TradeGothic" w:hAnsi="TradeGothic"/>
                <w:i/>
                <w:sz w:val="18"/>
              </w:rPr>
            </w:pPr>
          </w:p>
        </w:tc>
        <w:tc>
          <w:tcPr>
            <w:tcW w:w="2347" w:type="dxa"/>
            <w:gridSpan w:val="2"/>
          </w:tcPr>
          <w:p w:rsidR="003A164D" w:rsidRPr="00607DEF" w:rsidRDefault="003A164D">
            <w:pPr>
              <w:framePr w:w="4400" w:h="1644" w:wrap="notBeside" w:vAnchor="page" w:hAnchor="page" w:x="6573" w:y="721"/>
              <w:rPr>
                <w:rFonts w:ascii="TradeGothic" w:hAnsi="TradeGothic"/>
                <w:i/>
                <w:sz w:val="18"/>
              </w:rPr>
            </w:pPr>
          </w:p>
        </w:tc>
      </w:tr>
      <w:tr w:rsidR="003A164D" w:rsidRPr="00607DEF">
        <w:tblPrEx>
          <w:tblCellMar>
            <w:top w:w="0" w:type="dxa"/>
            <w:bottom w:w="0" w:type="dxa"/>
          </w:tblCellMar>
        </w:tblPrEx>
        <w:trPr>
          <w:cantSplit/>
        </w:trPr>
        <w:tc>
          <w:tcPr>
            <w:tcW w:w="4615" w:type="dxa"/>
            <w:gridSpan w:val="3"/>
          </w:tcPr>
          <w:p w:rsidR="003A164D" w:rsidRPr="00607DEF" w:rsidRDefault="004677DF">
            <w:pPr>
              <w:framePr w:w="4400" w:h="1644" w:wrap="notBeside" w:vAnchor="page" w:hAnchor="page" w:x="6573" w:y="721"/>
              <w:rPr>
                <w:rFonts w:ascii="TradeGothic" w:hAnsi="TradeGothic"/>
                <w:b/>
                <w:sz w:val="22"/>
              </w:rPr>
            </w:pPr>
            <w:r w:rsidRPr="00607DEF">
              <w:rPr>
                <w:rFonts w:ascii="TradeGothic" w:hAnsi="TradeGothic"/>
                <w:b/>
                <w:sz w:val="22"/>
              </w:rPr>
              <w:t>PM till riksdagen</w:t>
            </w:r>
          </w:p>
        </w:tc>
      </w:tr>
      <w:tr w:rsidR="003A164D" w:rsidRPr="00607DEF">
        <w:tblPrEx>
          <w:tblCellMar>
            <w:top w:w="0" w:type="dxa"/>
            <w:bottom w:w="0" w:type="dxa"/>
          </w:tblCellMar>
        </w:tblPrEx>
        <w:tc>
          <w:tcPr>
            <w:tcW w:w="3402" w:type="dxa"/>
            <w:gridSpan w:val="2"/>
          </w:tcPr>
          <w:p w:rsidR="003A164D" w:rsidRPr="00607DEF" w:rsidRDefault="003A164D">
            <w:pPr>
              <w:framePr w:w="4400" w:h="1644" w:wrap="notBeside" w:vAnchor="page" w:hAnchor="page" w:x="6573" w:y="721"/>
            </w:pPr>
          </w:p>
        </w:tc>
        <w:tc>
          <w:tcPr>
            <w:tcW w:w="1213" w:type="dxa"/>
          </w:tcPr>
          <w:p w:rsidR="003A164D" w:rsidRPr="00607DEF" w:rsidRDefault="003A164D">
            <w:pPr>
              <w:framePr w:w="4400" w:h="1644" w:wrap="notBeside" w:vAnchor="page" w:hAnchor="page" w:x="6573" w:y="721"/>
            </w:pPr>
          </w:p>
        </w:tc>
      </w:tr>
      <w:tr w:rsidR="003A164D" w:rsidRPr="00607DEF">
        <w:tblPrEx>
          <w:tblCellMar>
            <w:top w:w="0" w:type="dxa"/>
            <w:bottom w:w="0" w:type="dxa"/>
          </w:tblCellMar>
        </w:tblPrEx>
        <w:tc>
          <w:tcPr>
            <w:tcW w:w="2268" w:type="dxa"/>
          </w:tcPr>
          <w:p w:rsidR="003A164D" w:rsidRPr="00607DEF" w:rsidRDefault="00005797">
            <w:pPr>
              <w:framePr w:w="4400" w:h="1644" w:wrap="notBeside" w:vAnchor="page" w:hAnchor="page" w:x="6573" w:y="721"/>
            </w:pPr>
            <w:r w:rsidRPr="00607DEF">
              <w:t>2008-</w:t>
            </w:r>
            <w:r w:rsidR="00C002EE" w:rsidRPr="00607DEF">
              <w:t>04-07</w:t>
            </w:r>
          </w:p>
        </w:tc>
        <w:tc>
          <w:tcPr>
            <w:tcW w:w="2347" w:type="dxa"/>
            <w:gridSpan w:val="2"/>
          </w:tcPr>
          <w:p w:rsidR="003A164D" w:rsidRPr="00607DEF" w:rsidRDefault="003A164D">
            <w:pPr>
              <w:framePr w:w="4400" w:h="1644" w:wrap="notBeside" w:vAnchor="page" w:hAnchor="page" w:x="6573" w:y="721"/>
            </w:pPr>
          </w:p>
        </w:tc>
      </w:tr>
      <w:tr w:rsidR="003A164D" w:rsidRPr="00607DEF">
        <w:tblPrEx>
          <w:tblCellMar>
            <w:top w:w="0" w:type="dxa"/>
            <w:bottom w:w="0" w:type="dxa"/>
          </w:tblCellMar>
        </w:tblPrEx>
        <w:tc>
          <w:tcPr>
            <w:tcW w:w="2268" w:type="dxa"/>
          </w:tcPr>
          <w:p w:rsidR="003A164D" w:rsidRPr="00607DEF" w:rsidRDefault="003A164D">
            <w:pPr>
              <w:framePr w:w="4400" w:h="1644" w:wrap="notBeside" w:vAnchor="page" w:hAnchor="page" w:x="6573" w:y="721"/>
            </w:pPr>
          </w:p>
        </w:tc>
        <w:tc>
          <w:tcPr>
            <w:tcW w:w="2347" w:type="dxa"/>
            <w:gridSpan w:val="2"/>
          </w:tcPr>
          <w:p w:rsidR="003A164D" w:rsidRPr="00607DEF" w:rsidRDefault="003A164D">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3A164D" w:rsidRPr="00607DEF">
        <w:tblPrEx>
          <w:tblCellMar>
            <w:top w:w="0" w:type="dxa"/>
            <w:bottom w:w="0" w:type="dxa"/>
          </w:tblCellMar>
        </w:tblPrEx>
        <w:trPr>
          <w:trHeight w:val="284"/>
        </w:trPr>
        <w:tc>
          <w:tcPr>
            <w:tcW w:w="4911" w:type="dxa"/>
          </w:tcPr>
          <w:p w:rsidR="003A164D" w:rsidRPr="00607DEF" w:rsidRDefault="003A164D">
            <w:pPr>
              <w:pStyle w:val="Avsndare"/>
              <w:framePr w:h="2483" w:wrap="notBeside" w:x="1504"/>
              <w:rPr>
                <w:b/>
                <w:i w:val="0"/>
                <w:sz w:val="22"/>
              </w:rPr>
            </w:pPr>
            <w:r w:rsidRPr="00607DEF">
              <w:rPr>
                <w:b/>
                <w:i w:val="0"/>
                <w:sz w:val="22"/>
              </w:rPr>
              <w:t>Justitiedepartementet</w:t>
            </w:r>
          </w:p>
        </w:tc>
      </w:tr>
      <w:tr w:rsidR="003A164D" w:rsidRPr="00607DEF">
        <w:tblPrEx>
          <w:tblCellMar>
            <w:top w:w="0" w:type="dxa"/>
            <w:bottom w:w="0" w:type="dxa"/>
          </w:tblCellMar>
        </w:tblPrEx>
        <w:trPr>
          <w:trHeight w:val="284"/>
        </w:trPr>
        <w:tc>
          <w:tcPr>
            <w:tcW w:w="4911" w:type="dxa"/>
          </w:tcPr>
          <w:p w:rsidR="003A164D" w:rsidRPr="00607DEF" w:rsidRDefault="003A164D">
            <w:pPr>
              <w:pStyle w:val="Avsndare"/>
              <w:framePr w:h="2483" w:wrap="notBeside" w:x="1504"/>
              <w:rPr>
                <w:bCs/>
                <w:iCs/>
              </w:rPr>
            </w:pPr>
          </w:p>
        </w:tc>
      </w:tr>
      <w:tr w:rsidR="003A164D" w:rsidRPr="00607DEF">
        <w:tblPrEx>
          <w:tblCellMar>
            <w:top w:w="0" w:type="dxa"/>
            <w:bottom w:w="0" w:type="dxa"/>
          </w:tblCellMar>
        </w:tblPrEx>
        <w:trPr>
          <w:trHeight w:val="284"/>
        </w:trPr>
        <w:tc>
          <w:tcPr>
            <w:tcW w:w="4911" w:type="dxa"/>
          </w:tcPr>
          <w:p w:rsidR="003A164D" w:rsidRPr="00607DEF" w:rsidRDefault="00005797">
            <w:pPr>
              <w:pStyle w:val="Avsndare"/>
              <w:framePr w:h="2483" w:wrap="notBeside" w:x="1504"/>
              <w:rPr>
                <w:bCs/>
                <w:iCs/>
              </w:rPr>
            </w:pPr>
            <w:r w:rsidRPr="00607DEF">
              <w:rPr>
                <w:bCs/>
                <w:iCs/>
              </w:rPr>
              <w:t xml:space="preserve">Enheten för familjerätt och allmän förmögenhetsrätt </w:t>
            </w:r>
          </w:p>
        </w:tc>
      </w:tr>
      <w:tr w:rsidR="003A164D" w:rsidRPr="00607DEF">
        <w:tblPrEx>
          <w:tblCellMar>
            <w:top w:w="0" w:type="dxa"/>
            <w:bottom w:w="0" w:type="dxa"/>
          </w:tblCellMar>
        </w:tblPrEx>
        <w:trPr>
          <w:trHeight w:val="284"/>
        </w:trPr>
        <w:tc>
          <w:tcPr>
            <w:tcW w:w="4911" w:type="dxa"/>
          </w:tcPr>
          <w:p w:rsidR="003A164D" w:rsidRPr="00607DEF" w:rsidRDefault="003A164D">
            <w:pPr>
              <w:pStyle w:val="Avsndare"/>
              <w:framePr w:h="2483" w:wrap="notBeside" w:x="1504"/>
              <w:rPr>
                <w:bCs/>
                <w:iCs/>
              </w:rPr>
            </w:pPr>
          </w:p>
        </w:tc>
      </w:tr>
      <w:tr w:rsidR="003A164D" w:rsidRPr="00607DEF">
        <w:tblPrEx>
          <w:tblCellMar>
            <w:top w:w="0" w:type="dxa"/>
            <w:bottom w:w="0" w:type="dxa"/>
          </w:tblCellMar>
        </w:tblPrEx>
        <w:trPr>
          <w:trHeight w:val="284"/>
        </w:trPr>
        <w:tc>
          <w:tcPr>
            <w:tcW w:w="4911" w:type="dxa"/>
          </w:tcPr>
          <w:p w:rsidR="003A164D" w:rsidRPr="00607DEF" w:rsidRDefault="003A164D">
            <w:pPr>
              <w:pStyle w:val="Avsndare"/>
              <w:framePr w:h="2483" w:wrap="notBeside" w:x="1504"/>
              <w:rPr>
                <w:bCs/>
                <w:iCs/>
              </w:rPr>
            </w:pPr>
          </w:p>
        </w:tc>
      </w:tr>
      <w:tr w:rsidR="003A164D" w:rsidRPr="00607DEF">
        <w:tblPrEx>
          <w:tblCellMar>
            <w:top w:w="0" w:type="dxa"/>
            <w:bottom w:w="0" w:type="dxa"/>
          </w:tblCellMar>
        </w:tblPrEx>
        <w:trPr>
          <w:trHeight w:val="284"/>
        </w:trPr>
        <w:tc>
          <w:tcPr>
            <w:tcW w:w="4911" w:type="dxa"/>
          </w:tcPr>
          <w:p w:rsidR="003A164D" w:rsidRPr="00607DEF" w:rsidRDefault="003A164D">
            <w:pPr>
              <w:pStyle w:val="Avsndare"/>
              <w:framePr w:h="2483" w:wrap="notBeside" w:x="1504"/>
              <w:rPr>
                <w:bCs/>
                <w:iCs/>
              </w:rPr>
            </w:pPr>
          </w:p>
        </w:tc>
      </w:tr>
      <w:tr w:rsidR="003A164D" w:rsidRPr="00607DEF">
        <w:tblPrEx>
          <w:tblCellMar>
            <w:top w:w="0" w:type="dxa"/>
            <w:bottom w:w="0" w:type="dxa"/>
          </w:tblCellMar>
        </w:tblPrEx>
        <w:trPr>
          <w:trHeight w:val="284"/>
        </w:trPr>
        <w:tc>
          <w:tcPr>
            <w:tcW w:w="4911" w:type="dxa"/>
          </w:tcPr>
          <w:p w:rsidR="003A164D" w:rsidRPr="00607DEF" w:rsidRDefault="003A164D">
            <w:pPr>
              <w:pStyle w:val="Avsndare"/>
              <w:framePr w:h="2483" w:wrap="notBeside" w:x="1504"/>
              <w:rPr>
                <w:bCs/>
                <w:iCs/>
              </w:rPr>
            </w:pPr>
          </w:p>
        </w:tc>
      </w:tr>
      <w:tr w:rsidR="003A164D" w:rsidRPr="00607DEF">
        <w:tblPrEx>
          <w:tblCellMar>
            <w:top w:w="0" w:type="dxa"/>
            <w:bottom w:w="0" w:type="dxa"/>
          </w:tblCellMar>
        </w:tblPrEx>
        <w:trPr>
          <w:trHeight w:val="284"/>
        </w:trPr>
        <w:tc>
          <w:tcPr>
            <w:tcW w:w="4911" w:type="dxa"/>
          </w:tcPr>
          <w:p w:rsidR="003A164D" w:rsidRPr="00607DEF" w:rsidRDefault="003A164D">
            <w:pPr>
              <w:pStyle w:val="Avsndare"/>
              <w:framePr w:h="2483" w:wrap="notBeside" w:x="1504"/>
              <w:rPr>
                <w:bCs/>
                <w:iCs/>
              </w:rPr>
            </w:pPr>
          </w:p>
        </w:tc>
      </w:tr>
      <w:tr w:rsidR="003A164D" w:rsidRPr="00607DEF">
        <w:tblPrEx>
          <w:tblCellMar>
            <w:top w:w="0" w:type="dxa"/>
            <w:bottom w:w="0" w:type="dxa"/>
          </w:tblCellMar>
        </w:tblPrEx>
        <w:trPr>
          <w:trHeight w:val="284"/>
        </w:trPr>
        <w:tc>
          <w:tcPr>
            <w:tcW w:w="4911" w:type="dxa"/>
          </w:tcPr>
          <w:p w:rsidR="003A164D" w:rsidRPr="00607DEF" w:rsidRDefault="003A164D">
            <w:pPr>
              <w:pStyle w:val="Avsndare"/>
              <w:framePr w:h="2483" w:wrap="notBeside" w:x="1504"/>
              <w:rPr>
                <w:bCs/>
                <w:iCs/>
              </w:rPr>
            </w:pPr>
          </w:p>
        </w:tc>
      </w:tr>
    </w:tbl>
    <w:p w:rsidR="003A164D" w:rsidRPr="00607DEF" w:rsidRDefault="003A164D">
      <w:pPr>
        <w:framePr w:w="4400" w:h="2523" w:wrap="notBeside" w:vAnchor="page" w:hAnchor="page" w:x="6453" w:y="2445"/>
        <w:ind w:left="142"/>
        <w:rPr>
          <w:b/>
        </w:rPr>
      </w:pPr>
    </w:p>
    <w:p w:rsidR="003A164D" w:rsidRPr="00607DEF" w:rsidRDefault="009D1A7A">
      <w:pPr>
        <w:pStyle w:val="RKrubrik"/>
        <w:pBdr>
          <w:bottom w:val="single" w:sz="6" w:space="1" w:color="auto"/>
        </w:pBdr>
      </w:pPr>
      <w:bookmarkStart w:id="0" w:name="bRubrik"/>
      <w:bookmarkEnd w:id="0"/>
      <w:r w:rsidRPr="00607DEF">
        <w:t>Rådets möte (</w:t>
      </w:r>
      <w:r w:rsidR="002D5A5E" w:rsidRPr="00607DEF">
        <w:t>rättsliga och inrikes frågor</w:t>
      </w:r>
      <w:r w:rsidR="003A164D" w:rsidRPr="00607DEF">
        <w:t xml:space="preserve">) den </w:t>
      </w:r>
      <w:r w:rsidRPr="00607DEF">
        <w:t>18 april 2008</w:t>
      </w:r>
    </w:p>
    <w:p w:rsidR="003A164D" w:rsidRPr="00607DEF" w:rsidRDefault="003A164D">
      <w:pPr>
        <w:pStyle w:val="RKnormal"/>
      </w:pPr>
    </w:p>
    <w:p w:rsidR="003A164D" w:rsidRPr="00607DEF" w:rsidRDefault="00B64254">
      <w:pPr>
        <w:pStyle w:val="RKnormal"/>
        <w:rPr>
          <w:b/>
        </w:rPr>
      </w:pPr>
      <w:r w:rsidRPr="00607DEF">
        <w:rPr>
          <w:b/>
        </w:rPr>
        <w:t>Dagordningspunkt 14</w:t>
      </w:r>
    </w:p>
    <w:p w:rsidR="003A164D" w:rsidRPr="00607DEF" w:rsidRDefault="003A164D">
      <w:pPr>
        <w:pStyle w:val="RKnormal"/>
      </w:pPr>
    </w:p>
    <w:p w:rsidR="003A164D" w:rsidRPr="00607DEF" w:rsidRDefault="002D5A5E">
      <w:pPr>
        <w:pStyle w:val="RKnormal"/>
        <w:rPr>
          <w:b/>
        </w:rPr>
      </w:pPr>
      <w:r w:rsidRPr="00607DEF">
        <w:rPr>
          <w:b/>
        </w:rPr>
        <w:t>Gemensam referensram för e</w:t>
      </w:r>
      <w:r w:rsidR="009D1A7A" w:rsidRPr="00607DEF">
        <w:rPr>
          <w:b/>
        </w:rPr>
        <w:t>uropeisk avtalsrätt</w:t>
      </w:r>
    </w:p>
    <w:p w:rsidR="003A164D" w:rsidRPr="00607DEF" w:rsidRDefault="003A164D">
      <w:pPr>
        <w:pStyle w:val="RKnormal"/>
      </w:pPr>
    </w:p>
    <w:p w:rsidR="003A164D" w:rsidRPr="00607DEF" w:rsidRDefault="003A164D">
      <w:pPr>
        <w:pStyle w:val="RKnormal"/>
      </w:pPr>
      <w:r w:rsidRPr="00607DEF">
        <w:t>Dokument:</w:t>
      </w:r>
      <w:r w:rsidR="00B64254" w:rsidRPr="00607DEF">
        <w:t xml:space="preserve"> </w:t>
      </w:r>
      <w:r w:rsidR="00F177E9" w:rsidRPr="00607DEF">
        <w:t xml:space="preserve">8092/08 </w:t>
      </w:r>
      <w:r w:rsidR="00B64254" w:rsidRPr="00607DEF">
        <w:t xml:space="preserve">JUSTCIV </w:t>
      </w:r>
      <w:r w:rsidR="00F177E9" w:rsidRPr="00607DEF">
        <w:t>64 CONSOM 37</w:t>
      </w:r>
      <w:r w:rsidR="00B64254" w:rsidRPr="00607DEF">
        <w:t xml:space="preserve"> (bifogas)</w:t>
      </w:r>
    </w:p>
    <w:p w:rsidR="003A164D" w:rsidRPr="00607DEF" w:rsidRDefault="003A164D">
      <w:pPr>
        <w:pStyle w:val="RKnormal"/>
      </w:pPr>
    </w:p>
    <w:p w:rsidR="003A164D" w:rsidRPr="00607DEF" w:rsidRDefault="009D1A7A">
      <w:pPr>
        <w:pStyle w:val="RKnormal"/>
      </w:pPr>
      <w:r w:rsidRPr="00607DEF">
        <w:t xml:space="preserve">Tidigare dokument: </w:t>
      </w:r>
      <w:r w:rsidR="0024755B" w:rsidRPr="00607DEF">
        <w:t>--</w:t>
      </w:r>
      <w:r w:rsidRPr="00607DEF">
        <w:t xml:space="preserve">      </w:t>
      </w:r>
    </w:p>
    <w:p w:rsidR="003A164D" w:rsidRPr="00607DEF" w:rsidRDefault="003A164D">
      <w:pPr>
        <w:pStyle w:val="RKnormal"/>
      </w:pPr>
    </w:p>
    <w:p w:rsidR="00DB1466" w:rsidRPr="00607DEF" w:rsidRDefault="003A164D">
      <w:pPr>
        <w:pStyle w:val="RKnormal"/>
      </w:pPr>
      <w:r w:rsidRPr="00607DEF">
        <w:t>Tidigare behandlad vid samråd med EU-nämnden:</w:t>
      </w:r>
      <w:r w:rsidR="00DB1466" w:rsidRPr="00607DEF">
        <w:t xml:space="preserve"> november 2005, </w:t>
      </w:r>
    </w:p>
    <w:p w:rsidR="003A164D" w:rsidRPr="00607DEF" w:rsidRDefault="00DB1466">
      <w:pPr>
        <w:pStyle w:val="RKnormal"/>
      </w:pPr>
      <w:r w:rsidRPr="00607DEF">
        <w:t>1 december</w:t>
      </w:r>
      <w:r w:rsidR="009D1A7A" w:rsidRPr="00607DEF">
        <w:t xml:space="preserve"> 2006 samt 13 april 2007</w:t>
      </w:r>
    </w:p>
    <w:p w:rsidR="003A164D" w:rsidRPr="00607DEF" w:rsidRDefault="003A164D">
      <w:pPr>
        <w:pStyle w:val="RKrubrik"/>
      </w:pPr>
      <w:r w:rsidRPr="00607DEF">
        <w:t>Bakgrund</w:t>
      </w:r>
    </w:p>
    <w:p w:rsidR="009D1A7A" w:rsidRPr="00607DEF" w:rsidRDefault="009D1A7A" w:rsidP="009D1A7A">
      <w:pPr>
        <w:pStyle w:val="Rubrik4"/>
        <w:spacing w:before="240"/>
      </w:pPr>
      <w:r w:rsidRPr="00607DEF">
        <w:t>Allmänt</w:t>
      </w:r>
    </w:p>
    <w:p w:rsidR="009D1A7A" w:rsidRPr="00607DEF" w:rsidRDefault="009D1A7A" w:rsidP="009D1A7A">
      <w:pPr>
        <w:pStyle w:val="RKnormal"/>
      </w:pPr>
      <w:r w:rsidRPr="00607DEF">
        <w:t>I Haagprogrammet uttalas att kvaliteten på det nuvarande och framtida gemenskapsrättsliga regelverket på avtalsrättens område bör förbättras.</w:t>
      </w:r>
    </w:p>
    <w:p w:rsidR="009D1A7A" w:rsidRPr="00607DEF" w:rsidRDefault="009D1A7A" w:rsidP="009D1A7A">
      <w:pPr>
        <w:pStyle w:val="Rubrik4"/>
      </w:pPr>
      <w:r w:rsidRPr="00607DEF">
        <w:t>Kommissionens arbete med frågan om europeisk avtalsrätt</w:t>
      </w:r>
    </w:p>
    <w:p w:rsidR="009D1A7A" w:rsidRPr="00607DEF" w:rsidRDefault="009D1A7A" w:rsidP="009D1A7A">
      <w:pPr>
        <w:pStyle w:val="RKnormal"/>
      </w:pPr>
      <w:r w:rsidRPr="00607DEF">
        <w:t>Kommissionen har lagt fram tre meddelanden om europeisk avtalsrätt.</w:t>
      </w:r>
    </w:p>
    <w:p w:rsidR="009D1A7A" w:rsidRPr="00607DEF" w:rsidRDefault="009D1A7A" w:rsidP="009D1A7A">
      <w:pPr>
        <w:pStyle w:val="RKnormal"/>
      </w:pPr>
      <w:r w:rsidRPr="00607DEF">
        <w:t>I meddelandena har ett antal vägar an</w:t>
      </w:r>
      <w:r w:rsidRPr="00607DEF">
        <w:softHyphen/>
        <w:t xml:space="preserve">visats för att uppnå avtalsrättslig samordning. </w:t>
      </w:r>
    </w:p>
    <w:p w:rsidR="009D1A7A" w:rsidRPr="00607DEF" w:rsidRDefault="009D1A7A" w:rsidP="009D1A7A">
      <w:pPr>
        <w:pStyle w:val="RKnormal"/>
      </w:pPr>
    </w:p>
    <w:p w:rsidR="009D1A7A" w:rsidRPr="00607DEF" w:rsidRDefault="009D1A7A" w:rsidP="009D1A7A">
      <w:pPr>
        <w:pStyle w:val="RKnormal"/>
      </w:pPr>
      <w:r w:rsidRPr="00607DEF">
        <w:t>En av dessa vägar – och den enda som nu är föremål för överväganden – utgörs av åtgär</w:t>
      </w:r>
      <w:r w:rsidRPr="00607DEF">
        <w:softHyphen/>
        <w:t>der för att förbättra kvaliteten på den del av det nuva</w:t>
      </w:r>
      <w:r w:rsidRPr="00607DEF">
        <w:softHyphen/>
        <w:t>rande och framtida gemenskapsrättsliga regelverket som har avtals</w:t>
      </w:r>
      <w:r w:rsidRPr="00607DEF">
        <w:softHyphen/>
        <w:t>rättslig in</w:t>
      </w:r>
      <w:r w:rsidRPr="00607DEF">
        <w:softHyphen/>
        <w:t>riktning. Den metod som anvisas för detta är skapan</w:t>
      </w:r>
      <w:r w:rsidRPr="00607DEF">
        <w:softHyphen/>
        <w:t>det av en gemen</w:t>
      </w:r>
      <w:r w:rsidRPr="00607DEF">
        <w:softHyphen/>
        <w:t xml:space="preserve">sam referensram (Common Frame of Reference, CFR). </w:t>
      </w:r>
    </w:p>
    <w:p w:rsidR="009D1A7A" w:rsidRPr="00607DEF" w:rsidRDefault="009D1A7A" w:rsidP="009D1A7A">
      <w:pPr>
        <w:pStyle w:val="RKnormal"/>
      </w:pPr>
    </w:p>
    <w:p w:rsidR="009D1A7A" w:rsidRPr="00607DEF" w:rsidRDefault="009D1A7A" w:rsidP="009D1A7A">
      <w:pPr>
        <w:pStyle w:val="RKnormal"/>
      </w:pPr>
      <w:r w:rsidRPr="00607DEF">
        <w:t>Referensramen ska vara ett dokument som antas av medlemsstaterna och ska syfta till att fastställa bl.a. gemensamma principer och gemen</w:t>
      </w:r>
      <w:r w:rsidRPr="00607DEF">
        <w:softHyphen/>
        <w:t>samma definitioner av centrala avtals</w:t>
      </w:r>
      <w:r w:rsidRPr="00607DEF">
        <w:softHyphen/>
        <w:t>rättsliga begrepp. Till grund för referens</w:t>
      </w:r>
      <w:r w:rsidRPr="00607DEF">
        <w:softHyphen/>
        <w:t>ramen ska ligga avtalsrättslig forsk</w:t>
      </w:r>
      <w:r w:rsidRPr="00607DEF">
        <w:softHyphen/>
        <w:t>ning som kommissionen har upp</w:t>
      </w:r>
      <w:r w:rsidRPr="00607DEF">
        <w:softHyphen/>
        <w:t>handlat. Fors</w:t>
      </w:r>
      <w:r w:rsidRPr="00607DEF">
        <w:lastRenderedPageBreak/>
        <w:t>karna har nyligen presenterat resultatet av sitt arbete i ett omfattande verk. När medlemsstaterna väl har enat sig om inne</w:t>
      </w:r>
      <w:r w:rsidRPr="00607DEF">
        <w:softHyphen/>
        <w:t>hållet i referensramen är det tänkt att den ska kunna användas som ett slags uppslagsbok när be</w:t>
      </w:r>
      <w:r w:rsidRPr="00607DEF">
        <w:softHyphen/>
        <w:t>fintliga gemenskapsinstrument revideras eller nya tas fram. Tankar på andra använd</w:t>
      </w:r>
      <w:r w:rsidRPr="00607DEF">
        <w:softHyphen/>
        <w:t>nin</w:t>
      </w:r>
      <w:r w:rsidR="00C23C01" w:rsidRPr="00607DEF">
        <w:t xml:space="preserve">gsområden har också </w:t>
      </w:r>
      <w:r w:rsidR="00D37F5C" w:rsidRPr="00607DEF">
        <w:t>fört</w:t>
      </w:r>
      <w:r w:rsidR="00C23C01" w:rsidRPr="00607DEF">
        <w:t>s</w:t>
      </w:r>
      <w:r w:rsidR="00D37F5C" w:rsidRPr="00607DEF">
        <w:t xml:space="preserve"> fram</w:t>
      </w:r>
      <w:r w:rsidR="00C23C01" w:rsidRPr="00607DEF">
        <w:t>.</w:t>
      </w:r>
    </w:p>
    <w:p w:rsidR="009D1A7A" w:rsidRPr="00607DEF" w:rsidRDefault="009D1A7A" w:rsidP="009D1A7A">
      <w:pPr>
        <w:pStyle w:val="RKnormal"/>
      </w:pPr>
    </w:p>
    <w:p w:rsidR="009D1A7A" w:rsidRPr="00607DEF" w:rsidRDefault="009D1A7A" w:rsidP="009D1A7A">
      <w:pPr>
        <w:pStyle w:val="RKnormal"/>
      </w:pPr>
      <w:r w:rsidRPr="00607DEF">
        <w:t>Enligt den presente</w:t>
      </w:r>
      <w:r w:rsidRPr="00607DEF">
        <w:softHyphen/>
        <w:t>rade tidsplanen har kommissionen som målsätt</w:t>
      </w:r>
      <w:r w:rsidRPr="00607DEF">
        <w:softHyphen/>
        <w:t>ning att lägga fram ett förslag till referensram under år 2009. Under samma år förutses att ramen ska kunna bli föremål för behandling av rådet. Det har ännu inte lämnats besked om vilket slags instrument (om något) som referensram</w:t>
      </w:r>
      <w:r w:rsidRPr="00607DEF">
        <w:softHyphen/>
        <w:t>en ska utgöra.</w:t>
      </w:r>
    </w:p>
    <w:p w:rsidR="009D1A7A" w:rsidRPr="00607DEF" w:rsidRDefault="009D1A7A" w:rsidP="009D1A7A">
      <w:pPr>
        <w:pStyle w:val="Rubrik4"/>
      </w:pPr>
      <w:r w:rsidRPr="00607DEF">
        <w:t>Frågans behandling vid RIF den 19–20 april 2007</w:t>
      </w:r>
    </w:p>
    <w:p w:rsidR="009D1A7A" w:rsidRPr="00607DEF" w:rsidRDefault="009D1A7A" w:rsidP="009D1A7A">
      <w:pPr>
        <w:pStyle w:val="RKnormal"/>
      </w:pPr>
      <w:r w:rsidRPr="00607DEF">
        <w:t>Vid rådets (RIF) möte den 19–20 april 2007 beslutades att det skulle in</w:t>
      </w:r>
      <w:r w:rsidRPr="00607DEF">
        <w:softHyphen/>
        <w:t>ledas ett arbete som syftar till att rådet ”i rimlig tid för att kunna bidra till kommis</w:t>
      </w:r>
      <w:r w:rsidRPr="00607DEF">
        <w:softHyphen/>
        <w:t>sionens arbete” ska ha nått en ståndpunkt om vissa grund</w:t>
      </w:r>
      <w:r w:rsidRPr="00607DEF">
        <w:softHyphen/>
        <w:t>läggande hu</w:t>
      </w:r>
      <w:r w:rsidRPr="00607DEF">
        <w:softHyphen/>
        <w:t>vuddrag i vad man förvän</w:t>
      </w:r>
      <w:r w:rsidRPr="00607DEF">
        <w:softHyphen/>
        <w:t>tar sig av den blivande gemensam</w:t>
      </w:r>
      <w:r w:rsidRPr="00607DEF">
        <w:softHyphen/>
        <w:t>ma refe</w:t>
      </w:r>
      <w:r w:rsidRPr="00607DEF">
        <w:softHyphen/>
        <w:t>rens</w:t>
      </w:r>
      <w:r w:rsidRPr="00607DEF">
        <w:softHyphen/>
        <w:t>ramen. Arbetet skulle bedrivas i Civilrättskommittén.</w:t>
      </w:r>
    </w:p>
    <w:p w:rsidR="009D1A7A" w:rsidRPr="00607DEF" w:rsidRDefault="009D1A7A" w:rsidP="009D1A7A">
      <w:pPr>
        <w:pStyle w:val="RKnormal"/>
      </w:pPr>
    </w:p>
    <w:p w:rsidR="0026659B" w:rsidRPr="00607DEF" w:rsidRDefault="0026659B" w:rsidP="009D1A7A">
      <w:pPr>
        <w:pStyle w:val="RKnormal"/>
        <w:rPr>
          <w:b/>
          <w:i/>
          <w:sz w:val="22"/>
          <w:szCs w:val="22"/>
        </w:rPr>
      </w:pPr>
      <w:r w:rsidRPr="00607DEF">
        <w:rPr>
          <w:b/>
          <w:i/>
          <w:sz w:val="22"/>
          <w:szCs w:val="22"/>
        </w:rPr>
        <w:t xml:space="preserve">Syftet med den nu förestående behandlingen i rådet </w:t>
      </w:r>
    </w:p>
    <w:p w:rsidR="009D1A7A" w:rsidRPr="00607DEF" w:rsidRDefault="009D1A7A" w:rsidP="009D1A7A">
      <w:pPr>
        <w:pStyle w:val="RKnormal"/>
      </w:pPr>
      <w:r w:rsidRPr="00607DEF">
        <w:t>Ordfö</w:t>
      </w:r>
      <w:r w:rsidRPr="00607DEF">
        <w:softHyphen/>
        <w:t>randeskapet vill nå överenskommelse om en rapport från Civil</w:t>
      </w:r>
      <w:r w:rsidRPr="00607DEF">
        <w:softHyphen/>
        <w:t>rätts</w:t>
      </w:r>
      <w:r w:rsidR="00C23C01" w:rsidRPr="00607DEF">
        <w:t xml:space="preserve">kommittén. Rapporten </w:t>
      </w:r>
      <w:r w:rsidRPr="00607DEF">
        <w:t>(i dok. 5665/</w:t>
      </w:r>
      <w:r w:rsidR="00151A35" w:rsidRPr="00607DEF">
        <w:t>1/</w:t>
      </w:r>
      <w:r w:rsidRPr="00607DEF">
        <w:t>08) innehåller en rekommendation att rådet ska</w:t>
      </w:r>
    </w:p>
    <w:p w:rsidR="009D1A7A" w:rsidRPr="00607DEF" w:rsidRDefault="009D1A7A" w:rsidP="009D1A7A">
      <w:pPr>
        <w:pStyle w:val="RKnormal"/>
        <w:numPr>
          <w:ilvl w:val="0"/>
          <w:numId w:val="1"/>
        </w:numPr>
      </w:pPr>
      <w:r w:rsidRPr="00607DEF">
        <w:t>inta viss ståndpunkt i fråga om de grund</w:t>
      </w:r>
      <w:r w:rsidRPr="00607DEF">
        <w:softHyphen/>
        <w:t>läggande dragen hos en eventuell framtida gemensam</w:t>
      </w:r>
      <w:r w:rsidRPr="00607DEF">
        <w:softHyphen/>
        <w:t xml:space="preserve"> refe</w:t>
      </w:r>
      <w:r w:rsidRPr="00607DEF">
        <w:softHyphen/>
        <w:t>rensram (fyra delfrågor s</w:t>
      </w:r>
      <w:r w:rsidR="00C23C01" w:rsidRPr="00607DEF">
        <w:t>om framgår under ”Svensk ståndpunkt</w:t>
      </w:r>
      <w:r w:rsidRPr="00607DEF">
        <w:t>”),</w:t>
      </w:r>
    </w:p>
    <w:p w:rsidR="009D1A7A" w:rsidRPr="00607DEF" w:rsidRDefault="009D1A7A" w:rsidP="009D1A7A">
      <w:pPr>
        <w:pStyle w:val="RKnormal"/>
        <w:numPr>
          <w:ilvl w:val="0"/>
          <w:numId w:val="1"/>
        </w:numPr>
      </w:pPr>
      <w:r w:rsidRPr="00607DEF">
        <w:t>be kommissionen att beakta rapporten och rådets ståndpunkt i det fortsatta arbetet</w:t>
      </w:r>
    </w:p>
    <w:p w:rsidR="009D1A7A" w:rsidRPr="00607DEF" w:rsidRDefault="009D1A7A" w:rsidP="009D1A7A">
      <w:pPr>
        <w:pStyle w:val="RKnormal"/>
        <w:numPr>
          <w:ilvl w:val="0"/>
          <w:numId w:val="1"/>
        </w:numPr>
      </w:pPr>
      <w:r w:rsidRPr="00607DEF">
        <w:t>samtycka till att rapporten sänds för kännedom till Europeiska rådet och Europaparlamentet och</w:t>
      </w:r>
    </w:p>
    <w:p w:rsidR="009D1A7A" w:rsidRPr="00607DEF" w:rsidRDefault="009D1A7A" w:rsidP="009D1A7A">
      <w:pPr>
        <w:pStyle w:val="RKnormal"/>
        <w:numPr>
          <w:ilvl w:val="0"/>
          <w:numId w:val="1"/>
        </w:numPr>
      </w:pPr>
      <w:r w:rsidRPr="00607DEF">
        <w:t>notera att civilrättskommittén kommer att följa kommissionens arbete.</w:t>
      </w:r>
    </w:p>
    <w:p w:rsidR="0026659B" w:rsidRPr="00607DEF" w:rsidRDefault="0026659B" w:rsidP="0026659B">
      <w:pPr>
        <w:pStyle w:val="RKnormal"/>
      </w:pPr>
    </w:p>
    <w:p w:rsidR="0026659B" w:rsidRPr="00607DEF" w:rsidRDefault="0026659B" w:rsidP="0026659B">
      <w:pPr>
        <w:pStyle w:val="RKnormal"/>
        <w:rPr>
          <w:rFonts w:ascii="TradeGothic" w:hAnsi="TradeGothic"/>
          <w:b/>
          <w:sz w:val="22"/>
          <w:szCs w:val="22"/>
        </w:rPr>
      </w:pPr>
      <w:r w:rsidRPr="00607DEF">
        <w:rPr>
          <w:rFonts w:ascii="TradeGothic" w:hAnsi="TradeGothic"/>
          <w:b/>
          <w:sz w:val="22"/>
          <w:szCs w:val="22"/>
        </w:rPr>
        <w:t>Rättslig grund och beslutsförfarande</w:t>
      </w:r>
    </w:p>
    <w:p w:rsidR="003A164D" w:rsidRPr="00607DEF" w:rsidRDefault="0026659B">
      <w:pPr>
        <w:pStyle w:val="RKnormal"/>
        <w:rPr>
          <w:szCs w:val="24"/>
        </w:rPr>
      </w:pPr>
      <w:r w:rsidRPr="00607DEF">
        <w:rPr>
          <w:szCs w:val="24"/>
        </w:rPr>
        <w:t xml:space="preserve">Det är f.n. oklart vilket slags instrument (om något) som referensramen kommer att utgöra. Några besked om </w:t>
      </w:r>
      <w:r w:rsidR="00B64254" w:rsidRPr="00607DEF">
        <w:rPr>
          <w:szCs w:val="24"/>
        </w:rPr>
        <w:t xml:space="preserve">rättslig grund och </w:t>
      </w:r>
      <w:r w:rsidRPr="00607DEF">
        <w:rPr>
          <w:szCs w:val="24"/>
        </w:rPr>
        <w:t xml:space="preserve">beslutsförfarande kan därför </w:t>
      </w:r>
      <w:r w:rsidR="00C23C01" w:rsidRPr="00607DEF">
        <w:rPr>
          <w:szCs w:val="24"/>
        </w:rPr>
        <w:t xml:space="preserve">ännu </w:t>
      </w:r>
      <w:r w:rsidRPr="00607DEF">
        <w:rPr>
          <w:szCs w:val="24"/>
        </w:rPr>
        <w:t xml:space="preserve">inte lämnas. </w:t>
      </w:r>
    </w:p>
    <w:p w:rsidR="003A164D" w:rsidRPr="00607DEF" w:rsidRDefault="003A164D">
      <w:pPr>
        <w:pStyle w:val="RKrubrik"/>
        <w:rPr>
          <w:i/>
          <w:iCs/>
        </w:rPr>
      </w:pPr>
      <w:r w:rsidRPr="00607DEF">
        <w:rPr>
          <w:i/>
          <w:iCs/>
        </w:rPr>
        <w:t>Svensk ståndpunkt</w:t>
      </w:r>
    </w:p>
    <w:p w:rsidR="00005797" w:rsidRPr="00607DEF" w:rsidRDefault="00005797" w:rsidP="00005797">
      <w:pPr>
        <w:pStyle w:val="Rubrik4"/>
        <w:spacing w:before="120"/>
        <w:rPr>
          <w:bCs/>
          <w:iCs/>
        </w:rPr>
      </w:pPr>
      <w:r w:rsidRPr="00607DEF">
        <w:rPr>
          <w:bCs/>
          <w:iCs/>
        </w:rPr>
        <w:t>Allmänt</w:t>
      </w:r>
    </w:p>
    <w:p w:rsidR="00005797" w:rsidRPr="00607DEF" w:rsidRDefault="00005797" w:rsidP="00005797">
      <w:pPr>
        <w:pStyle w:val="RKnormal"/>
      </w:pPr>
      <w:r w:rsidRPr="00607DEF">
        <w:t>Sverige anser att det finns skäl för rådet att intensifiera och för</w:t>
      </w:r>
      <w:r w:rsidRPr="00607DEF">
        <w:softHyphen/>
        <w:t>djupa sin bevakning av kom</w:t>
      </w:r>
      <w:r w:rsidRPr="00607DEF">
        <w:softHyphen/>
        <w:t>mis</w:t>
      </w:r>
      <w:r w:rsidRPr="00607DEF">
        <w:softHyphen/>
        <w:t xml:space="preserve">sionens pågående avtalsrättsliga arbete. </w:t>
      </w:r>
    </w:p>
    <w:p w:rsidR="00005797" w:rsidRPr="00607DEF" w:rsidRDefault="00005797" w:rsidP="00005797">
      <w:pPr>
        <w:pStyle w:val="RKnormal"/>
      </w:pPr>
    </w:p>
    <w:p w:rsidR="00005797" w:rsidRPr="00607DEF" w:rsidRDefault="00005797" w:rsidP="00005797">
      <w:pPr>
        <w:pStyle w:val="RKnormal"/>
      </w:pPr>
      <w:r w:rsidRPr="00607DEF">
        <w:t>Som övergripande mål bör för svensk del gälla att referensramen får en så praktisk inriktning som möjligt, att den beak</w:t>
      </w:r>
      <w:r w:rsidRPr="00607DEF">
        <w:softHyphen/>
        <w:t>tar olika rättsliga tra</w:t>
      </w:r>
      <w:r w:rsidRPr="00607DEF">
        <w:softHyphen/>
        <w:t>ditioner och att den i första hand ska vara ett frivilligt hjälpmedel för lagstifta</w:t>
      </w:r>
      <w:r w:rsidRPr="00607DEF">
        <w:softHyphen/>
        <w:t xml:space="preserve">ren. </w:t>
      </w:r>
    </w:p>
    <w:p w:rsidR="00005797" w:rsidRPr="00607DEF" w:rsidRDefault="00005797" w:rsidP="00005797">
      <w:pPr>
        <w:pStyle w:val="RKnormal"/>
      </w:pPr>
    </w:p>
    <w:p w:rsidR="00005797" w:rsidRPr="00607DEF" w:rsidRDefault="00005797" w:rsidP="00005797">
      <w:pPr>
        <w:pStyle w:val="RKnormal"/>
      </w:pPr>
      <w:r w:rsidRPr="00607DEF">
        <w:t>Sverige bör stödja ambitionen att rådet, för att påverka kommissionens arbete, vid mötet den 18 april ska ge uttryck för vad vissa av de grund</w:t>
      </w:r>
      <w:r w:rsidRPr="00607DEF">
        <w:softHyphen/>
        <w:t xml:space="preserve">läggande dragen hos den gemensamma referensramen bör vara. Sverige kan stödja en överenskommelse i kommittén som ligger i linje med ordförandens förslag och har ingen erinran mot dokumentet som det nu är utformat. Sverige har inget att erinra mot det avsedda tillvägagångssättet. </w:t>
      </w:r>
    </w:p>
    <w:p w:rsidR="00005797" w:rsidRPr="00607DEF" w:rsidRDefault="00005797" w:rsidP="00005797">
      <w:pPr>
        <w:pStyle w:val="RKnormal"/>
      </w:pPr>
    </w:p>
    <w:p w:rsidR="00005797" w:rsidRPr="00607DEF" w:rsidRDefault="00005797" w:rsidP="00005797">
      <w:pPr>
        <w:pStyle w:val="RKnormal"/>
      </w:pPr>
      <w:r w:rsidRPr="00607DEF">
        <w:t>Sverige samarbetar inom gruppordförandeskapet nära med Frankrike och Tjeckien i frågan. Samarbetet innefattar bl.a. anordnande av möten under Frankrikes och Sveriges ordförandeskap. Ordförandeskapen ser ut att vara överens om att ge uppmärksamhet åt projektet i 18-månaders</w:t>
      </w:r>
      <w:r w:rsidRPr="00607DEF">
        <w:softHyphen/>
        <w:t xml:space="preserve">programmet. Frankrike och Tjeckien synes ha en inställning i frågan som ligger i linje med Sveriges. Sverige bör, så långt det är möjligt, samverka med dessa medlemsstater. </w:t>
      </w:r>
    </w:p>
    <w:p w:rsidR="00005797" w:rsidRPr="00607DEF" w:rsidRDefault="00005797" w:rsidP="00005797">
      <w:pPr>
        <w:pStyle w:val="RKnormal"/>
      </w:pPr>
    </w:p>
    <w:p w:rsidR="00005797" w:rsidRPr="00607DEF" w:rsidRDefault="00005797" w:rsidP="00005797">
      <w:pPr>
        <w:pStyle w:val="RKnormal"/>
      </w:pPr>
      <w:r w:rsidRPr="00607DEF">
        <w:t>I de olika frågor det föreslås att rådet ska ta ställning bör Sverige ha den inställ</w:t>
      </w:r>
      <w:r w:rsidRPr="00607DEF">
        <w:softHyphen/>
        <w:t>ning som redovisas nedan.</w:t>
      </w:r>
    </w:p>
    <w:p w:rsidR="00005797" w:rsidRPr="00607DEF" w:rsidRDefault="00005797" w:rsidP="00005797">
      <w:pPr>
        <w:pStyle w:val="Rubrik4"/>
        <w:rPr>
          <w:bCs/>
          <w:iCs/>
        </w:rPr>
      </w:pPr>
      <w:r w:rsidRPr="00607DEF">
        <w:rPr>
          <w:bCs/>
          <w:iCs/>
        </w:rPr>
        <w:t>Syftet med referensramen</w:t>
      </w:r>
    </w:p>
    <w:p w:rsidR="00005797" w:rsidRPr="00607DEF" w:rsidRDefault="00005797" w:rsidP="00005797">
      <w:pPr>
        <w:pStyle w:val="RKnormal"/>
      </w:pPr>
      <w:r w:rsidRPr="00607DEF">
        <w:t xml:space="preserve">Sverige bör stödja förslaget att rådets ståndpunkt ska vara att referensramen bör vara ett verktyg för förbättrad lagstiftning, i första hand avsett för lagstiftare på gemenskapsnivå.    </w:t>
      </w:r>
    </w:p>
    <w:p w:rsidR="00005797" w:rsidRPr="00607DEF" w:rsidRDefault="00005797" w:rsidP="00005797">
      <w:pPr>
        <w:pStyle w:val="RKnormal"/>
      </w:pPr>
    </w:p>
    <w:p w:rsidR="00005797" w:rsidRPr="00607DEF" w:rsidRDefault="00005797" w:rsidP="00005797">
      <w:pPr>
        <w:pStyle w:val="RKnormal"/>
      </w:pPr>
      <w:r w:rsidRPr="00607DEF">
        <w:t>Sverige menar att referens</w:t>
      </w:r>
      <w:r w:rsidRPr="00607DEF">
        <w:softHyphen/>
        <w:t>ramen ska vara ett hjälpmedel för lagstiftaren. Den ska alltså kunna användas som ett slags uppslags</w:t>
      </w:r>
      <w:r w:rsidRPr="00607DEF">
        <w:softHyphen/>
        <w:t>bok eller ”verk</w:t>
      </w:r>
      <w:r w:rsidRPr="00607DEF">
        <w:softHyphen/>
        <w:t>tygslåda” när be</w:t>
      </w:r>
      <w:r w:rsidRPr="00607DEF">
        <w:softHyphen/>
        <w:t>fintliga gemenskapsinstrument med avtalsrättslig inrikt</w:t>
      </w:r>
      <w:r w:rsidRPr="00607DEF">
        <w:softHyphen/>
        <w:t>ning revide</w:t>
      </w:r>
      <w:r w:rsidRPr="00607DEF">
        <w:softHyphen/>
        <w:t>ras eller nya tas fram.</w:t>
      </w:r>
    </w:p>
    <w:p w:rsidR="00005797" w:rsidRPr="00607DEF" w:rsidRDefault="00005797" w:rsidP="00005797">
      <w:pPr>
        <w:pStyle w:val="RKnormal"/>
      </w:pPr>
    </w:p>
    <w:p w:rsidR="00005797" w:rsidRPr="00607DEF" w:rsidRDefault="00005797" w:rsidP="00005797">
      <w:pPr>
        <w:pStyle w:val="RKnormal"/>
      </w:pPr>
      <w:r w:rsidRPr="00607DEF">
        <w:t>Referensramen bör inte vara en uppsättning regler som enskilda par</w:t>
      </w:r>
      <w:r w:rsidRPr="00607DEF">
        <w:softHyphen/>
        <w:t>ter i ett avtal skulle kunna välja att göra till avtalsinnehåll. Något behov av ett sådant instrument kan inte heller sä</w:t>
      </w:r>
      <w:r w:rsidRPr="00607DEF">
        <w:softHyphen/>
        <w:t>gas föreligga, efter</w:t>
      </w:r>
      <w:r w:rsidRPr="00607DEF">
        <w:softHyphen/>
        <w:t>som adekvata internationella konventioner re</w:t>
      </w:r>
      <w:r w:rsidRPr="00607DEF">
        <w:softHyphen/>
        <w:t xml:space="preserve">dan finns (främst 1980 års FN-konvention om internationella köp, CISG).  </w:t>
      </w:r>
    </w:p>
    <w:p w:rsidR="00005797" w:rsidRPr="00607DEF" w:rsidRDefault="00005797" w:rsidP="00005797">
      <w:pPr>
        <w:pStyle w:val="Rubrik4"/>
        <w:rPr>
          <w:bCs/>
          <w:iCs/>
        </w:rPr>
      </w:pPr>
      <w:r w:rsidRPr="00607DEF">
        <w:rPr>
          <w:bCs/>
          <w:iCs/>
        </w:rPr>
        <w:t>Referensramens innehåll</w:t>
      </w:r>
    </w:p>
    <w:p w:rsidR="00005797" w:rsidRPr="00607DEF" w:rsidRDefault="00005797" w:rsidP="00005797">
      <w:pPr>
        <w:pStyle w:val="RKnormal"/>
      </w:pPr>
      <w:r w:rsidRPr="00607DEF">
        <w:t xml:space="preserve">Sverige kan stödja förslaget att rådets ståndpunkt ska vara att referensramen bör innehålla definitioner, allmänna principer och modellregler som kan vara lämpliga att inlemma i gemenskapsinstrument. </w:t>
      </w:r>
    </w:p>
    <w:p w:rsidR="00005797" w:rsidRPr="00607DEF" w:rsidRDefault="00005797" w:rsidP="00005797">
      <w:pPr>
        <w:pStyle w:val="RKnormal"/>
      </w:pPr>
    </w:p>
    <w:p w:rsidR="00005797" w:rsidRPr="00607DEF" w:rsidRDefault="00005797" w:rsidP="00005797">
      <w:pPr>
        <w:pStyle w:val="RKnormal"/>
      </w:pPr>
      <w:r w:rsidRPr="00607DEF">
        <w:t>Sverige anser att referensramen bör bygga på och redovisa nationella och gemenskapsrättsliga avtalsrättsliga prin</w:t>
      </w:r>
      <w:r w:rsidRPr="00607DEF">
        <w:softHyphen/>
        <w:t>ciper. För att fylla sitt syfte måste referensramen innehålla definitioner av centrala avtalsrätts</w:t>
      </w:r>
      <w:r w:rsidRPr="00607DEF">
        <w:softHyphen/>
        <w:t>liga begrepp.</w:t>
      </w:r>
    </w:p>
    <w:p w:rsidR="00005797" w:rsidRPr="00607DEF" w:rsidRDefault="00005797" w:rsidP="00005797">
      <w:pPr>
        <w:pStyle w:val="RKnormal"/>
      </w:pPr>
    </w:p>
    <w:p w:rsidR="00005797" w:rsidRPr="00607DEF" w:rsidRDefault="00005797" w:rsidP="00005797">
      <w:pPr>
        <w:pStyle w:val="RKnormal"/>
      </w:pPr>
      <w:r w:rsidRPr="00607DEF">
        <w:t xml:space="preserve">Sverige ser inget omedelbart behov av att referensramen också innehåller modellregler, men kan acceptera en sådan inriktning.  </w:t>
      </w:r>
    </w:p>
    <w:p w:rsidR="00005797" w:rsidRPr="00607DEF" w:rsidRDefault="00005797" w:rsidP="00005797">
      <w:pPr>
        <w:pStyle w:val="Rubrik4"/>
        <w:rPr>
          <w:bCs/>
          <w:iCs/>
        </w:rPr>
      </w:pPr>
      <w:r w:rsidRPr="00607DEF">
        <w:rPr>
          <w:bCs/>
          <w:iCs/>
        </w:rPr>
        <w:t>Tillämpningsområdet</w:t>
      </w:r>
    </w:p>
    <w:p w:rsidR="00005797" w:rsidRPr="00607DEF" w:rsidRDefault="00005797" w:rsidP="00005797">
      <w:pPr>
        <w:pStyle w:val="RKnormal"/>
      </w:pPr>
      <w:r w:rsidRPr="00607DEF">
        <w:t xml:space="preserve">Sverige bör stödja förslaget att rådets ståndpunkt ska vara att referensramen bör täcka hela avtalsrätten, inklusive den som berör konsumenter. </w:t>
      </w:r>
    </w:p>
    <w:p w:rsidR="00005797" w:rsidRPr="00607DEF" w:rsidRDefault="00005797" w:rsidP="00005797">
      <w:pPr>
        <w:pStyle w:val="RKnormal"/>
      </w:pPr>
    </w:p>
    <w:p w:rsidR="00005797" w:rsidRPr="00607DEF" w:rsidRDefault="00005797" w:rsidP="00005797">
      <w:pPr>
        <w:pStyle w:val="RKnormal"/>
      </w:pPr>
      <w:r w:rsidRPr="00607DEF">
        <w:t>Sverige anser att den färdiga referensramen ska om</w:t>
      </w:r>
      <w:r w:rsidRPr="00607DEF">
        <w:softHyphen/>
        <w:t>fatta alla aspekter av avtalsrä</w:t>
      </w:r>
      <w:r w:rsidR="00C23C01" w:rsidRPr="00607DEF">
        <w:t>tten</w:t>
      </w:r>
      <w:r w:rsidRPr="00607DEF">
        <w:t>. Det är bara på det sättet som refe</w:t>
      </w:r>
      <w:r w:rsidRPr="00607DEF">
        <w:softHyphen/>
        <w:t>rens</w:t>
      </w:r>
      <w:r w:rsidRPr="00607DEF">
        <w:softHyphen/>
        <w:t>ramen kan fylla sin uppgift som verktygslåda eller uppslagsbok. En av</w:t>
      </w:r>
      <w:r w:rsidRPr="00607DEF">
        <w:softHyphen/>
        <w:t>gränsning mellan avtalsrätt och ”konsumentavtalsrätt” är dessutom ona</w:t>
      </w:r>
      <w:r w:rsidRPr="00607DEF">
        <w:softHyphen/>
        <w:t>turlig och kan knappast upprätt</w:t>
      </w:r>
      <w:r w:rsidRPr="00607DEF">
        <w:softHyphen/>
        <w:t>hållas.</w:t>
      </w:r>
    </w:p>
    <w:p w:rsidR="00005797" w:rsidRPr="00607DEF" w:rsidRDefault="00005797" w:rsidP="00005797">
      <w:pPr>
        <w:pStyle w:val="RKnormal"/>
      </w:pPr>
    </w:p>
    <w:p w:rsidR="00005797" w:rsidRPr="00607DEF" w:rsidRDefault="00005797" w:rsidP="00005797">
      <w:pPr>
        <w:pStyle w:val="RKnormal"/>
      </w:pPr>
      <w:r w:rsidRPr="00607DEF">
        <w:t>Det är dock Sveriges mening att detta val av tillämpningsområde för re</w:t>
      </w:r>
      <w:r w:rsidRPr="00607DEF">
        <w:softHyphen/>
        <w:t>ferensramen inte får påverka intensiteten i det parallellt på</w:t>
      </w:r>
      <w:r w:rsidRPr="00607DEF">
        <w:softHyphen/>
        <w:t>gående arbe</w:t>
      </w:r>
      <w:r w:rsidRPr="00607DEF">
        <w:softHyphen/>
        <w:t>tet med att se över gemenskapens konsumenträttsliga regel</w:t>
      </w:r>
      <w:r w:rsidRPr="00607DEF">
        <w:softHyphen/>
        <w:t>verk. Av detta skäl har Sverige i och för sig inget att invända mot att kom</w:t>
      </w:r>
      <w:r w:rsidRPr="00607DEF">
        <w:softHyphen/>
        <w:t>missionens ar</w:t>
      </w:r>
      <w:r w:rsidRPr="00607DEF">
        <w:softHyphen/>
        <w:t>bete med referensramen först in</w:t>
      </w:r>
      <w:r w:rsidRPr="00607DEF">
        <w:softHyphen/>
        <w:t>riktas på ”konsument</w:t>
      </w:r>
      <w:r w:rsidRPr="00607DEF">
        <w:softHyphen/>
        <w:t>avtalsrätt”, förut</w:t>
      </w:r>
      <w:r w:rsidRPr="00607DEF">
        <w:softHyphen/>
        <w:t>satt att den färdiga referensram</w:t>
      </w:r>
      <w:r w:rsidRPr="00607DEF">
        <w:softHyphen/>
        <w:t xml:space="preserve"> som presenteras år 2009 tar sikte på alla aspekter av avtalsrätten. Sverige har alltså inte några syn</w:t>
      </w:r>
      <w:r w:rsidRPr="00607DEF">
        <w:softHyphen/>
        <w:t>punk</w:t>
      </w:r>
      <w:r w:rsidRPr="00607DEF">
        <w:softHyphen/>
        <w:t>ter på frå</w:t>
      </w:r>
      <w:r w:rsidRPr="00607DEF">
        <w:softHyphen/>
        <w:t>gan i vilken ordning arbetet ska utföras.</w:t>
      </w:r>
    </w:p>
    <w:p w:rsidR="00005797" w:rsidRPr="00607DEF" w:rsidRDefault="00005797" w:rsidP="00005797">
      <w:pPr>
        <w:pStyle w:val="Rubrik4"/>
      </w:pPr>
      <w:r w:rsidRPr="00607DEF">
        <w:t>Bindande verkan</w:t>
      </w:r>
    </w:p>
    <w:p w:rsidR="00005797" w:rsidRPr="00607DEF" w:rsidRDefault="00005797" w:rsidP="00005797">
      <w:pPr>
        <w:pStyle w:val="RKnormal"/>
      </w:pPr>
      <w:r w:rsidRPr="00607DEF">
        <w:t xml:space="preserve">Sverige bör stödja förslaget att rådets ståndpunkt ska vara att referensramen bör vara riktlinjer som lagstiftarna på gemenskapsnivå kommer överens om att följa så långt det är möjligt och lämpligt. </w:t>
      </w:r>
    </w:p>
    <w:p w:rsidR="00005797" w:rsidRPr="00607DEF" w:rsidRDefault="00005797" w:rsidP="00005797">
      <w:pPr>
        <w:pStyle w:val="RKnormal"/>
      </w:pPr>
    </w:p>
    <w:p w:rsidR="00005797" w:rsidRPr="00607DEF" w:rsidRDefault="00005797" w:rsidP="00005797">
      <w:pPr>
        <w:pStyle w:val="RKnormal"/>
      </w:pPr>
      <w:r w:rsidRPr="00607DEF">
        <w:t>Sverige anser att referensramen inte bör vara bindande, utan endast utgöra en rekom</w:t>
      </w:r>
      <w:r w:rsidRPr="00607DEF">
        <w:softHyphen/>
        <w:t>mendation. Något annat skulle innebära att man gick miste om den flexi</w:t>
      </w:r>
      <w:r w:rsidRPr="00607DEF">
        <w:softHyphen/>
        <w:t>bilitet som är nödvändig i alla slags förhandlingar om rättsliga instru</w:t>
      </w:r>
      <w:r w:rsidRPr="00607DEF">
        <w:softHyphen/>
        <w:t xml:space="preserve">ment där referensramen har betydelse. </w:t>
      </w:r>
    </w:p>
    <w:p w:rsidR="00005797" w:rsidRPr="00607DEF" w:rsidRDefault="00005797" w:rsidP="00005797">
      <w:pPr>
        <w:pStyle w:val="RKnormal"/>
      </w:pPr>
    </w:p>
    <w:p w:rsidR="00005797" w:rsidRPr="00607DEF" w:rsidRDefault="00005797" w:rsidP="00005797">
      <w:pPr>
        <w:pStyle w:val="RKnormal"/>
        <w:rPr>
          <w:b/>
          <w:i/>
        </w:rPr>
      </w:pPr>
      <w:r w:rsidRPr="00607DEF">
        <w:t xml:space="preserve">Om referensramen gjordes bindande skulle dessutom helt andra krav ställas på att hålla den aktuell och uppdaterad. En bindande referensram skulle riskera att låsa rättsläget.  </w:t>
      </w:r>
    </w:p>
    <w:p w:rsidR="00005797" w:rsidRPr="00607DEF" w:rsidRDefault="00005797" w:rsidP="00005797">
      <w:pPr>
        <w:pStyle w:val="RKnormal"/>
      </w:pPr>
    </w:p>
    <w:p w:rsidR="003A164D" w:rsidRPr="00607DEF" w:rsidRDefault="003A164D">
      <w:pPr>
        <w:pStyle w:val="RKnormal"/>
      </w:pPr>
    </w:p>
    <w:p w:rsidR="003A164D" w:rsidRPr="00607DEF" w:rsidRDefault="003A164D">
      <w:pPr>
        <w:pStyle w:val="RKrubrik"/>
      </w:pPr>
      <w:r w:rsidRPr="00607DEF">
        <w:t>Europaparlamentets inställning</w:t>
      </w:r>
    </w:p>
    <w:p w:rsidR="003A164D" w:rsidRPr="00607DEF" w:rsidRDefault="00005797">
      <w:pPr>
        <w:pStyle w:val="RKnormal"/>
      </w:pPr>
      <w:r w:rsidRPr="00607DEF">
        <w:t xml:space="preserve">Kommissionens arbete på det avtalsrättsliga området har uppmärksammats i ett par resolutioner. Det har då framgått att det finns visst stöd i parlamentet för avsevärt mer långtgående åtgärder, närmast tillskapandet av en gemensam europeisk civillag. </w:t>
      </w:r>
    </w:p>
    <w:p w:rsidR="003A164D" w:rsidRPr="00607DEF" w:rsidRDefault="003A164D">
      <w:pPr>
        <w:pStyle w:val="RKrubrik"/>
        <w:rPr>
          <w:i/>
          <w:iCs/>
        </w:rPr>
      </w:pPr>
      <w:r w:rsidRPr="00607DEF">
        <w:rPr>
          <w:i/>
          <w:iCs/>
        </w:rPr>
        <w:t>Förslaget</w:t>
      </w:r>
    </w:p>
    <w:p w:rsidR="003A164D" w:rsidRPr="00607DEF" w:rsidRDefault="00151A35">
      <w:pPr>
        <w:pStyle w:val="RKnormal"/>
      </w:pPr>
      <w:r w:rsidRPr="00607DEF">
        <w:t>Rapporten till rådet om upprättande av en gemensam referensram för europeisk avtalsrätt består av följande delar.</w:t>
      </w:r>
    </w:p>
    <w:p w:rsidR="00151A35" w:rsidRPr="00607DEF" w:rsidRDefault="00151A35">
      <w:pPr>
        <w:pStyle w:val="RKnormal"/>
      </w:pPr>
    </w:p>
    <w:p w:rsidR="00151A35" w:rsidRPr="00607DEF" w:rsidRDefault="00151A35">
      <w:pPr>
        <w:pStyle w:val="RKnormal"/>
      </w:pPr>
      <w:r w:rsidRPr="00607DEF">
        <w:t>I. Inledning</w:t>
      </w:r>
    </w:p>
    <w:p w:rsidR="00151A35" w:rsidRPr="00607DEF" w:rsidRDefault="00151A35">
      <w:pPr>
        <w:pStyle w:val="RKnormal"/>
      </w:pPr>
      <w:r w:rsidRPr="00607DEF">
        <w:t>II. Diskussionerna i kommittén för civilrättsliga frågor</w:t>
      </w:r>
    </w:p>
    <w:p w:rsidR="00151A35" w:rsidRPr="00607DEF" w:rsidRDefault="00151A35">
      <w:pPr>
        <w:pStyle w:val="RKnormal"/>
      </w:pPr>
      <w:r w:rsidRPr="00607DEF">
        <w:t xml:space="preserve">Diskussionerna har inriktats på fyra grundläggande aspekter, nämligen </w:t>
      </w:r>
    </w:p>
    <w:p w:rsidR="00151A35" w:rsidRPr="00607DEF" w:rsidRDefault="00151A35">
      <w:pPr>
        <w:pStyle w:val="RKnormal"/>
      </w:pPr>
      <w:r w:rsidRPr="00607DEF">
        <w:t>a) syfte, b) innehåll, c) tillämpningsområde och d) rättsliga konsekvenser.</w:t>
      </w:r>
    </w:p>
    <w:p w:rsidR="00151A35" w:rsidRPr="00607DEF" w:rsidRDefault="00151A35">
      <w:pPr>
        <w:pStyle w:val="RKnormal"/>
      </w:pPr>
    </w:p>
    <w:p w:rsidR="00151A35" w:rsidRPr="00607DEF" w:rsidRDefault="00151A35" w:rsidP="00151A35">
      <w:pPr>
        <w:pStyle w:val="RKnormal"/>
      </w:pPr>
      <w:r w:rsidRPr="00607DEF">
        <w:t>III. Utkast till rådets ståndpunkt</w:t>
      </w:r>
    </w:p>
    <w:p w:rsidR="00151A35" w:rsidRPr="00607DEF" w:rsidRDefault="00151A35" w:rsidP="00151A35">
      <w:pPr>
        <w:pStyle w:val="RKnormal"/>
      </w:pPr>
      <w:r w:rsidRPr="00607DEF">
        <w:t>Rådet uppmanas att</w:t>
      </w:r>
    </w:p>
    <w:p w:rsidR="00151A35" w:rsidRPr="00607DEF" w:rsidRDefault="00151A35" w:rsidP="00151A35">
      <w:pPr>
        <w:pStyle w:val="RKnormal"/>
        <w:numPr>
          <w:ilvl w:val="0"/>
          <w:numId w:val="3"/>
        </w:numPr>
      </w:pPr>
      <w:r w:rsidRPr="00607DEF">
        <w:t>inta viss ståndpunkt i fråga om de grund</w:t>
      </w:r>
      <w:r w:rsidRPr="00607DEF">
        <w:softHyphen/>
        <w:t>läggande dragen hos en eventuell framtida gemensam</w:t>
      </w:r>
      <w:r w:rsidRPr="00607DEF">
        <w:softHyphen/>
        <w:t xml:space="preserve"> refe</w:t>
      </w:r>
      <w:r w:rsidRPr="00607DEF">
        <w:softHyphen/>
        <w:t>rensram (fyra delfrågor som framgår under ”Svensk ståndpunkt”),</w:t>
      </w:r>
    </w:p>
    <w:p w:rsidR="00151A35" w:rsidRPr="00607DEF" w:rsidRDefault="00151A35" w:rsidP="00151A35">
      <w:pPr>
        <w:pStyle w:val="RKnormal"/>
        <w:numPr>
          <w:ilvl w:val="0"/>
          <w:numId w:val="3"/>
        </w:numPr>
      </w:pPr>
      <w:r w:rsidRPr="00607DEF">
        <w:t>be kommissionen att beakta rapporten och rådets ståndpunkt i det fortsatta arbetet</w:t>
      </w:r>
    </w:p>
    <w:p w:rsidR="00151A35" w:rsidRPr="00607DEF" w:rsidRDefault="00151A35" w:rsidP="00151A35">
      <w:pPr>
        <w:pStyle w:val="RKnormal"/>
        <w:numPr>
          <w:ilvl w:val="0"/>
          <w:numId w:val="3"/>
        </w:numPr>
      </w:pPr>
      <w:r w:rsidRPr="00607DEF">
        <w:t>samtycka till att rapporten sänds för kännedom till Europeiska rådet och Europaparlamentet och</w:t>
      </w:r>
    </w:p>
    <w:p w:rsidR="00151A35" w:rsidRPr="00607DEF" w:rsidRDefault="00151A35" w:rsidP="00151A35">
      <w:pPr>
        <w:pStyle w:val="RKnormal"/>
        <w:numPr>
          <w:ilvl w:val="0"/>
          <w:numId w:val="3"/>
        </w:numPr>
      </w:pPr>
      <w:r w:rsidRPr="00607DEF">
        <w:t>notera att civilrättskommittén kommer att följa kommissionens arbete.</w:t>
      </w:r>
    </w:p>
    <w:p w:rsidR="00151A35" w:rsidRPr="00607DEF" w:rsidRDefault="00151A35">
      <w:pPr>
        <w:pStyle w:val="RKnormal"/>
      </w:pPr>
    </w:p>
    <w:p w:rsidR="003A164D" w:rsidRPr="00607DEF" w:rsidRDefault="003A164D">
      <w:pPr>
        <w:pStyle w:val="RKrubrik"/>
        <w:rPr>
          <w:i/>
          <w:iCs/>
        </w:rPr>
      </w:pPr>
      <w:r w:rsidRPr="00607DEF">
        <w:rPr>
          <w:i/>
          <w:iCs/>
        </w:rPr>
        <w:t>Gällande svenska regler och förslagets effekter på dessa</w:t>
      </w:r>
    </w:p>
    <w:p w:rsidR="003A164D" w:rsidRPr="00607DEF" w:rsidRDefault="00005797">
      <w:pPr>
        <w:pStyle w:val="RKnormal"/>
      </w:pPr>
      <w:r w:rsidRPr="00607DEF">
        <w:t>--</w:t>
      </w:r>
    </w:p>
    <w:p w:rsidR="003A164D" w:rsidRPr="00607DEF" w:rsidRDefault="003A164D">
      <w:pPr>
        <w:pStyle w:val="RKrubrik"/>
      </w:pPr>
      <w:r w:rsidRPr="00607DEF">
        <w:t>Ekonomiska konsekvenser</w:t>
      </w:r>
    </w:p>
    <w:p w:rsidR="003A164D" w:rsidRPr="00607DEF" w:rsidRDefault="00005797">
      <w:pPr>
        <w:pStyle w:val="RKnormal"/>
      </w:pPr>
      <w:r w:rsidRPr="00607DEF">
        <w:t>--</w:t>
      </w:r>
    </w:p>
    <w:p w:rsidR="003A164D" w:rsidRPr="00607DEF" w:rsidRDefault="003A164D">
      <w:pPr>
        <w:pStyle w:val="RKrubrik"/>
      </w:pPr>
      <w:r w:rsidRPr="00607DEF">
        <w:t>Övrigt</w:t>
      </w:r>
    </w:p>
    <w:p w:rsidR="003A164D" w:rsidRPr="00607DEF" w:rsidRDefault="003A164D">
      <w:pPr>
        <w:pStyle w:val="RKnormal"/>
      </w:pPr>
    </w:p>
    <w:p w:rsidR="003A164D" w:rsidRPr="00607DEF" w:rsidRDefault="003A164D">
      <w:pPr>
        <w:pStyle w:val="RKnormal"/>
        <w:rPr>
          <w:i/>
          <w:iCs/>
        </w:rPr>
      </w:pPr>
    </w:p>
    <w:p w:rsidR="003A164D" w:rsidRPr="00607DEF" w:rsidRDefault="003A164D">
      <w:pPr>
        <w:pStyle w:val="RKnormal"/>
        <w:ind w:left="-1134"/>
      </w:pPr>
    </w:p>
    <w:p w:rsidR="003A164D" w:rsidRPr="00607DEF" w:rsidRDefault="003A164D">
      <w:pPr>
        <w:pStyle w:val="RKrubrik"/>
        <w:spacing w:before="0" w:after="0"/>
      </w:pPr>
    </w:p>
    <w:p w:rsidR="003A164D" w:rsidRPr="00607DEF" w:rsidRDefault="003A164D">
      <w:pPr>
        <w:pStyle w:val="RKnormal"/>
      </w:pPr>
    </w:p>
    <w:p w:rsidR="003A164D" w:rsidRPr="00607DEF" w:rsidRDefault="003A164D">
      <w:pPr>
        <w:pStyle w:val="RKnormal"/>
      </w:pPr>
    </w:p>
    <w:sectPr w:rsidR="003A164D" w:rsidRPr="00607DEF">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7F2B" w:rsidRPr="00607DEF" w:rsidRDefault="00727F2B">
      <w:r w:rsidRPr="00607DEF">
        <w:separator/>
      </w:r>
    </w:p>
  </w:endnote>
  <w:endnote w:type="continuationSeparator" w:id="0">
    <w:p w:rsidR="00727F2B" w:rsidRPr="00607DEF" w:rsidRDefault="00727F2B">
      <w:r w:rsidRPr="00607D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7F2B" w:rsidRPr="00607DEF" w:rsidRDefault="00727F2B">
      <w:r w:rsidRPr="00607DEF">
        <w:separator/>
      </w:r>
    </w:p>
  </w:footnote>
  <w:footnote w:type="continuationSeparator" w:id="0">
    <w:p w:rsidR="00727F2B" w:rsidRPr="00607DEF" w:rsidRDefault="00727F2B">
      <w:r w:rsidRPr="00607D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A35" w:rsidRPr="00607DEF" w:rsidRDefault="00151A35">
    <w:pPr>
      <w:pStyle w:val="Sidhuvud"/>
      <w:framePr w:wrap="around" w:vAnchor="text" w:hAnchor="margin" w:xAlign="right" w:y="1"/>
      <w:rPr>
        <w:rStyle w:val="Sidnummer"/>
      </w:rPr>
    </w:pPr>
    <w:r w:rsidRPr="00607DEF">
      <w:rPr>
        <w:rStyle w:val="Sidnummer"/>
      </w:rPr>
      <w:fldChar w:fldCharType="begin" w:fldLock="1"/>
    </w:r>
    <w:r w:rsidRPr="00607DEF">
      <w:rPr>
        <w:rStyle w:val="Sidnummer"/>
      </w:rPr>
      <w:instrText xml:space="preserve">PAGE  </w:instrText>
    </w:r>
    <w:r w:rsidRPr="00607DEF">
      <w:rPr>
        <w:rStyle w:val="Sidnummer"/>
      </w:rPr>
      <w:fldChar w:fldCharType="separate"/>
    </w:r>
    <w:r w:rsidR="00C002EE" w:rsidRPr="00607DEF">
      <w:rPr>
        <w:rStyle w:val="Sidnummer"/>
      </w:rPr>
      <w:t>4</w:t>
    </w:r>
    <w:r w:rsidRPr="00607DE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51A35" w:rsidRPr="00607DEF">
      <w:tblPrEx>
        <w:tblCellMar>
          <w:top w:w="0" w:type="dxa"/>
          <w:bottom w:w="0" w:type="dxa"/>
        </w:tblCellMar>
      </w:tblPrEx>
      <w:trPr>
        <w:cantSplit/>
      </w:trPr>
      <w:tc>
        <w:tcPr>
          <w:tcW w:w="3119" w:type="dxa"/>
        </w:tcPr>
        <w:p w:rsidR="00151A35" w:rsidRPr="00607DEF" w:rsidRDefault="00151A35">
          <w:pPr>
            <w:pStyle w:val="Sidhuvud"/>
            <w:spacing w:line="200" w:lineRule="atLeast"/>
            <w:ind w:right="357"/>
            <w:rPr>
              <w:rFonts w:ascii="TradeGothic" w:hAnsi="TradeGothic"/>
              <w:b/>
              <w:bCs/>
              <w:sz w:val="16"/>
            </w:rPr>
          </w:pPr>
        </w:p>
      </w:tc>
      <w:tc>
        <w:tcPr>
          <w:tcW w:w="4111" w:type="dxa"/>
          <w:tcMar>
            <w:left w:w="567" w:type="dxa"/>
          </w:tcMar>
        </w:tcPr>
        <w:p w:rsidR="00151A35" w:rsidRPr="00607DEF" w:rsidRDefault="00151A35">
          <w:pPr>
            <w:pStyle w:val="Sidhuvud"/>
            <w:ind w:right="360"/>
          </w:pPr>
        </w:p>
      </w:tc>
      <w:tc>
        <w:tcPr>
          <w:tcW w:w="1525" w:type="dxa"/>
        </w:tcPr>
        <w:p w:rsidR="00151A35" w:rsidRPr="00607DEF" w:rsidRDefault="00151A35">
          <w:pPr>
            <w:pStyle w:val="Sidhuvud"/>
            <w:ind w:right="360"/>
          </w:pPr>
        </w:p>
      </w:tc>
    </w:tr>
  </w:tbl>
  <w:p w:rsidR="00151A35" w:rsidRPr="00607DEF" w:rsidRDefault="00151A3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A35" w:rsidRPr="00607DEF" w:rsidRDefault="00151A35">
    <w:pPr>
      <w:pStyle w:val="Sidhuvud"/>
      <w:framePr w:wrap="around" w:vAnchor="text" w:hAnchor="margin" w:xAlign="right" w:y="1"/>
      <w:rPr>
        <w:rStyle w:val="Sidnummer"/>
      </w:rPr>
    </w:pPr>
    <w:r w:rsidRPr="00607DEF">
      <w:rPr>
        <w:rStyle w:val="Sidnummer"/>
      </w:rPr>
      <w:fldChar w:fldCharType="begin" w:fldLock="1"/>
    </w:r>
    <w:r w:rsidRPr="00607DEF">
      <w:rPr>
        <w:rStyle w:val="Sidnummer"/>
      </w:rPr>
      <w:instrText xml:space="preserve">PAGE  </w:instrText>
    </w:r>
    <w:r w:rsidRPr="00607DEF">
      <w:rPr>
        <w:rStyle w:val="Sidnummer"/>
      </w:rPr>
      <w:fldChar w:fldCharType="separate"/>
    </w:r>
    <w:r w:rsidR="00C002EE" w:rsidRPr="00607DEF">
      <w:rPr>
        <w:rStyle w:val="Sidnummer"/>
      </w:rPr>
      <w:t>5</w:t>
    </w:r>
    <w:r w:rsidRPr="00607DE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51A35" w:rsidRPr="00607DEF">
      <w:tblPrEx>
        <w:tblCellMar>
          <w:top w:w="0" w:type="dxa"/>
          <w:bottom w:w="0" w:type="dxa"/>
        </w:tblCellMar>
      </w:tblPrEx>
      <w:trPr>
        <w:cantSplit/>
      </w:trPr>
      <w:tc>
        <w:tcPr>
          <w:tcW w:w="3119" w:type="dxa"/>
        </w:tcPr>
        <w:p w:rsidR="00151A35" w:rsidRPr="00607DEF" w:rsidRDefault="00151A35">
          <w:pPr>
            <w:pStyle w:val="Sidhuvud"/>
            <w:spacing w:line="200" w:lineRule="atLeast"/>
            <w:ind w:right="357"/>
            <w:rPr>
              <w:rFonts w:ascii="TradeGothic" w:hAnsi="TradeGothic"/>
              <w:b/>
              <w:bCs/>
              <w:sz w:val="16"/>
            </w:rPr>
          </w:pPr>
        </w:p>
      </w:tc>
      <w:tc>
        <w:tcPr>
          <w:tcW w:w="4111" w:type="dxa"/>
          <w:tcMar>
            <w:left w:w="567" w:type="dxa"/>
          </w:tcMar>
        </w:tcPr>
        <w:p w:rsidR="00151A35" w:rsidRPr="00607DEF" w:rsidRDefault="00151A35">
          <w:pPr>
            <w:pStyle w:val="Sidhuvud"/>
            <w:ind w:right="360"/>
          </w:pPr>
        </w:p>
      </w:tc>
      <w:tc>
        <w:tcPr>
          <w:tcW w:w="1525" w:type="dxa"/>
        </w:tcPr>
        <w:p w:rsidR="00151A35" w:rsidRPr="00607DEF" w:rsidRDefault="00151A35">
          <w:pPr>
            <w:pStyle w:val="Sidhuvud"/>
            <w:ind w:right="360"/>
          </w:pPr>
        </w:p>
      </w:tc>
    </w:tr>
  </w:tbl>
  <w:p w:rsidR="00151A35" w:rsidRPr="00607DEF" w:rsidRDefault="00151A3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A35" w:rsidRPr="00607DEF" w:rsidRDefault="00607DEF">
    <w:pPr>
      <w:framePr w:w="2948" w:h="1321" w:hRule="exact" w:wrap="notBeside" w:vAnchor="page" w:hAnchor="page" w:x="1362" w:y="653"/>
    </w:pPr>
    <w:r w:rsidRPr="00607DEF">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151A35" w:rsidRPr="00607DEF" w:rsidRDefault="00151A35">
    <w:pPr>
      <w:pStyle w:val="RKrubrik"/>
      <w:keepNext w:val="0"/>
      <w:tabs>
        <w:tab w:val="clear" w:pos="1134"/>
        <w:tab w:val="clear" w:pos="2835"/>
      </w:tabs>
      <w:spacing w:before="0" w:after="0" w:line="320" w:lineRule="atLeast"/>
      <w:rPr>
        <w:bCs/>
      </w:rPr>
    </w:pPr>
  </w:p>
  <w:p w:rsidR="00151A35" w:rsidRPr="00607DEF" w:rsidRDefault="00151A35">
    <w:pPr>
      <w:rPr>
        <w:rFonts w:ascii="TradeGothic" w:hAnsi="TradeGothic"/>
        <w:b/>
        <w:bCs/>
        <w:spacing w:val="12"/>
        <w:sz w:val="22"/>
      </w:rPr>
    </w:pPr>
  </w:p>
  <w:p w:rsidR="00151A35" w:rsidRPr="00607DEF" w:rsidRDefault="00151A35">
    <w:pPr>
      <w:pStyle w:val="RKrubrik"/>
      <w:keepNext w:val="0"/>
      <w:tabs>
        <w:tab w:val="clear" w:pos="1134"/>
        <w:tab w:val="clear" w:pos="2835"/>
      </w:tabs>
      <w:spacing w:before="0" w:after="0" w:line="320" w:lineRule="atLeast"/>
      <w:rPr>
        <w:bCs/>
      </w:rPr>
    </w:pPr>
  </w:p>
  <w:p w:rsidR="00151A35" w:rsidRPr="00607DEF" w:rsidRDefault="00151A35">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C07DE"/>
    <w:multiLevelType w:val="hybridMultilevel"/>
    <w:tmpl w:val="E110B18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5DD51E4"/>
    <w:multiLevelType w:val="hybridMultilevel"/>
    <w:tmpl w:val="B8CE5B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5105D22"/>
    <w:multiLevelType w:val="hybridMultilevel"/>
    <w:tmpl w:val="3E4C5098"/>
    <w:lvl w:ilvl="0" w:tplc="041D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57885585">
    <w:abstractNumId w:val="2"/>
  </w:num>
  <w:num w:numId="2" w16cid:durableId="767895586">
    <w:abstractNumId w:val="0"/>
  </w:num>
  <w:num w:numId="3" w16cid:durableId="1343508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9E190D"/>
    <w:rsid w:val="00005797"/>
    <w:rsid w:val="000B4D43"/>
    <w:rsid w:val="00151A35"/>
    <w:rsid w:val="001C1F2E"/>
    <w:rsid w:val="0024755B"/>
    <w:rsid w:val="0026659B"/>
    <w:rsid w:val="002D5A5E"/>
    <w:rsid w:val="003A164D"/>
    <w:rsid w:val="003B3BBB"/>
    <w:rsid w:val="004677DF"/>
    <w:rsid w:val="004B14DC"/>
    <w:rsid w:val="00607DEF"/>
    <w:rsid w:val="00727F2B"/>
    <w:rsid w:val="008231B4"/>
    <w:rsid w:val="009D1A7A"/>
    <w:rsid w:val="009E190D"/>
    <w:rsid w:val="00B64254"/>
    <w:rsid w:val="00C002EE"/>
    <w:rsid w:val="00C166A4"/>
    <w:rsid w:val="00C23C01"/>
    <w:rsid w:val="00C476C2"/>
    <w:rsid w:val="00D37F5C"/>
    <w:rsid w:val="00DB1466"/>
    <w:rsid w:val="00E64A63"/>
    <w:rsid w:val="00F177E9"/>
    <w:rsid w:val="00F558EA"/>
    <w:rsid w:val="00F55B6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D2333C-90B4-4C88-889B-F966E3E09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basedOn w:val="Standardstycketeckensnitt"/>
    <w:semiHidden/>
    <w:rsid w:val="009D1A7A"/>
    <w:rPr>
      <w:sz w:val="16"/>
      <w:szCs w:val="16"/>
    </w:rPr>
  </w:style>
  <w:style w:type="paragraph" w:styleId="Kommentarer">
    <w:name w:val="annotation text"/>
    <w:basedOn w:val="Normal"/>
    <w:semiHidden/>
    <w:rsid w:val="009D1A7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1267</Words>
  <Characters>7717</Characters>
  <Application>Microsoft Office Word</Application>
  <DocSecurity>4</DocSecurity>
  <Lines>214</Lines>
  <Paragraphs>84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2008-04-03T15:20:00Z</cp:lastPrinted>
  <dcterms:created xsi:type="dcterms:W3CDTF">2025-12-17T13:14:00Z</dcterms:created>
  <dcterms:modified xsi:type="dcterms:W3CDTF">2025-12-17T13:14:00Z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