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176F18" w:rsidRPr="00005077">
        <w:tc>
          <w:tcPr>
            <w:tcW w:w="2268" w:type="dxa"/>
          </w:tcPr>
          <w:p w:rsidR="00176F18" w:rsidRPr="00005077" w:rsidRDefault="00176F18" w:rsidP="007242A3">
            <w:pPr>
              <w:framePr w:w="5035" w:h="1644" w:wrap="notBeside" w:vAnchor="page" w:hAnchor="page" w:x="6573" w:y="721"/>
              <w:rPr>
                <w:rFonts w:ascii="TradeGothic" w:hAnsi="TradeGothic"/>
                <w:i/>
                <w:sz w:val="18"/>
              </w:rPr>
            </w:pPr>
          </w:p>
        </w:tc>
        <w:tc>
          <w:tcPr>
            <w:tcW w:w="2999" w:type="dxa"/>
            <w:gridSpan w:val="2"/>
          </w:tcPr>
          <w:p w:rsidR="00176F18" w:rsidRPr="00005077" w:rsidRDefault="00176F18" w:rsidP="007242A3">
            <w:pPr>
              <w:framePr w:w="5035" w:h="1644" w:wrap="notBeside" w:vAnchor="page" w:hAnchor="page" w:x="6573" w:y="721"/>
              <w:rPr>
                <w:rFonts w:ascii="TradeGothic" w:hAnsi="TradeGothic"/>
                <w:i/>
                <w:sz w:val="18"/>
              </w:rPr>
            </w:pPr>
          </w:p>
        </w:tc>
      </w:tr>
      <w:tr w:rsidR="00176F18" w:rsidRPr="00005077">
        <w:tc>
          <w:tcPr>
            <w:tcW w:w="2268" w:type="dxa"/>
          </w:tcPr>
          <w:p w:rsidR="00176F18" w:rsidRPr="00005077" w:rsidRDefault="00176F18"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176F18" w:rsidRPr="00005077" w:rsidRDefault="00176F18" w:rsidP="007242A3">
            <w:pPr>
              <w:framePr w:w="5035" w:h="1644" w:wrap="notBeside" w:vAnchor="page" w:hAnchor="page" w:x="6573" w:y="721"/>
              <w:rPr>
                <w:rFonts w:ascii="TradeGothic" w:hAnsi="TradeGothic"/>
                <w:b/>
                <w:sz w:val="22"/>
              </w:rPr>
            </w:pPr>
            <w:bookmarkStart w:id="0" w:name="_GoBack"/>
            <w:bookmarkEnd w:id="0"/>
          </w:p>
        </w:tc>
      </w:tr>
      <w:tr w:rsidR="00176F18" w:rsidRPr="00005077">
        <w:tc>
          <w:tcPr>
            <w:tcW w:w="3402" w:type="dxa"/>
            <w:gridSpan w:val="2"/>
          </w:tcPr>
          <w:p w:rsidR="00176F18" w:rsidRPr="00005077" w:rsidRDefault="00176F18" w:rsidP="007242A3">
            <w:pPr>
              <w:framePr w:w="5035" w:h="1644" w:wrap="notBeside" w:vAnchor="page" w:hAnchor="page" w:x="6573" w:y="721"/>
            </w:pPr>
          </w:p>
        </w:tc>
        <w:tc>
          <w:tcPr>
            <w:tcW w:w="1865" w:type="dxa"/>
          </w:tcPr>
          <w:p w:rsidR="00176F18" w:rsidRPr="00005077" w:rsidRDefault="00176F18" w:rsidP="007242A3">
            <w:pPr>
              <w:framePr w:w="5035" w:h="1644" w:wrap="notBeside" w:vAnchor="page" w:hAnchor="page" w:x="6573" w:y="721"/>
            </w:pPr>
          </w:p>
        </w:tc>
      </w:tr>
      <w:tr w:rsidR="00176F18" w:rsidRPr="00005077">
        <w:tc>
          <w:tcPr>
            <w:tcW w:w="2268" w:type="dxa"/>
          </w:tcPr>
          <w:p w:rsidR="00176F18" w:rsidRPr="00005077" w:rsidRDefault="00176F18" w:rsidP="00603DD1">
            <w:pPr>
              <w:framePr w:w="5035" w:h="1644" w:wrap="notBeside" w:vAnchor="page" w:hAnchor="page" w:x="6573" w:y="721"/>
            </w:pPr>
            <w:r>
              <w:t>2013-02-04</w:t>
            </w:r>
          </w:p>
        </w:tc>
        <w:tc>
          <w:tcPr>
            <w:tcW w:w="2999" w:type="dxa"/>
            <w:gridSpan w:val="2"/>
          </w:tcPr>
          <w:p w:rsidR="00176F18" w:rsidRPr="00005077" w:rsidRDefault="00176F18" w:rsidP="00761BFC">
            <w:pPr>
              <w:framePr w:w="5035" w:h="1644" w:wrap="notBeside" w:vAnchor="page" w:hAnchor="page" w:x="6573" w:y="721"/>
              <w:rPr>
                <w:sz w:val="20"/>
              </w:rPr>
            </w:pPr>
            <w:r>
              <w:rPr>
                <w:sz w:val="20"/>
              </w:rPr>
              <w:t>Fi 2013/147</w:t>
            </w:r>
          </w:p>
        </w:tc>
      </w:tr>
      <w:tr w:rsidR="00176F18" w:rsidRPr="00005077">
        <w:tc>
          <w:tcPr>
            <w:tcW w:w="2268" w:type="dxa"/>
          </w:tcPr>
          <w:p w:rsidR="00176F18" w:rsidRPr="00005077" w:rsidRDefault="00176F18" w:rsidP="007242A3">
            <w:pPr>
              <w:framePr w:w="5035" w:h="1644" w:wrap="notBeside" w:vAnchor="page" w:hAnchor="page" w:x="6573" w:y="721"/>
            </w:pPr>
          </w:p>
        </w:tc>
        <w:tc>
          <w:tcPr>
            <w:tcW w:w="2999" w:type="dxa"/>
            <w:gridSpan w:val="2"/>
          </w:tcPr>
          <w:p w:rsidR="00176F18" w:rsidRPr="00005077" w:rsidRDefault="00176F18" w:rsidP="007242A3">
            <w:pPr>
              <w:framePr w:w="5035" w:h="1644" w:wrap="notBeside" w:vAnchor="page" w:hAnchor="page" w:x="6573" w:y="721"/>
            </w:pPr>
          </w:p>
        </w:tc>
      </w:tr>
    </w:tbl>
    <w:p w:rsidR="00176F18" w:rsidRPr="00F31507" w:rsidRDefault="00176F18" w:rsidP="00F31507">
      <w:pPr>
        <w:rPr>
          <w:vanish/>
        </w:rPr>
      </w:pPr>
    </w:p>
    <w:tbl>
      <w:tblPr>
        <w:tblW w:w="0" w:type="auto"/>
        <w:tblLayout w:type="fixed"/>
        <w:tblLook w:val="0000"/>
      </w:tblPr>
      <w:tblGrid>
        <w:gridCol w:w="4911"/>
      </w:tblGrid>
      <w:tr w:rsidR="00176F18" w:rsidRPr="00005077">
        <w:trPr>
          <w:trHeight w:val="284"/>
        </w:trPr>
        <w:tc>
          <w:tcPr>
            <w:tcW w:w="4911" w:type="dxa"/>
          </w:tcPr>
          <w:p w:rsidR="00176F18" w:rsidRPr="00005077" w:rsidRDefault="00176F18">
            <w:pPr>
              <w:pStyle w:val="Avsndare"/>
              <w:framePr w:h="2483" w:wrap="notBeside" w:x="1504"/>
              <w:rPr>
                <w:b/>
                <w:i w:val="0"/>
                <w:sz w:val="22"/>
              </w:rPr>
            </w:pPr>
            <w:r>
              <w:rPr>
                <w:b/>
                <w:i w:val="0"/>
                <w:sz w:val="22"/>
              </w:rPr>
              <w:t>Finansdepartementet</w:t>
            </w:r>
          </w:p>
        </w:tc>
      </w:tr>
      <w:tr w:rsidR="00176F18" w:rsidRPr="00005077">
        <w:trPr>
          <w:trHeight w:val="284"/>
        </w:trPr>
        <w:tc>
          <w:tcPr>
            <w:tcW w:w="4911" w:type="dxa"/>
          </w:tcPr>
          <w:p w:rsidR="00176F18" w:rsidRPr="00005077" w:rsidRDefault="00176F18">
            <w:pPr>
              <w:pStyle w:val="Avsndare"/>
              <w:framePr w:h="2483" w:wrap="notBeside" w:x="1504"/>
              <w:rPr>
                <w:bCs/>
                <w:iCs/>
              </w:rPr>
            </w:pPr>
          </w:p>
        </w:tc>
      </w:tr>
      <w:tr w:rsidR="00176F18" w:rsidRPr="00005077">
        <w:trPr>
          <w:trHeight w:val="284"/>
        </w:trPr>
        <w:tc>
          <w:tcPr>
            <w:tcW w:w="4911" w:type="dxa"/>
          </w:tcPr>
          <w:p w:rsidR="00176F18" w:rsidRPr="00005077" w:rsidRDefault="00176F18">
            <w:pPr>
              <w:pStyle w:val="Avsndare"/>
              <w:framePr w:h="2483" w:wrap="notBeside" w:x="1504"/>
              <w:rPr>
                <w:bCs/>
                <w:iCs/>
              </w:rPr>
            </w:pPr>
          </w:p>
        </w:tc>
      </w:tr>
      <w:tr w:rsidR="00176F18" w:rsidRPr="00005077">
        <w:trPr>
          <w:trHeight w:val="284"/>
        </w:trPr>
        <w:tc>
          <w:tcPr>
            <w:tcW w:w="4911" w:type="dxa"/>
          </w:tcPr>
          <w:p w:rsidR="00176F18" w:rsidRPr="00005077" w:rsidRDefault="00176F18">
            <w:pPr>
              <w:pStyle w:val="Avsndare"/>
              <w:framePr w:h="2483" w:wrap="notBeside" w:x="1504"/>
              <w:rPr>
                <w:bCs/>
                <w:iCs/>
              </w:rPr>
            </w:pPr>
          </w:p>
        </w:tc>
      </w:tr>
      <w:tr w:rsidR="00176F18" w:rsidRPr="00005077">
        <w:trPr>
          <w:trHeight w:val="284"/>
        </w:trPr>
        <w:tc>
          <w:tcPr>
            <w:tcW w:w="4911" w:type="dxa"/>
          </w:tcPr>
          <w:p w:rsidR="00176F18" w:rsidRPr="00005077" w:rsidRDefault="00176F18">
            <w:pPr>
              <w:pStyle w:val="Avsndare"/>
              <w:framePr w:h="2483" w:wrap="notBeside" w:x="1504"/>
              <w:rPr>
                <w:bCs/>
                <w:iCs/>
              </w:rPr>
            </w:pPr>
          </w:p>
        </w:tc>
      </w:tr>
      <w:tr w:rsidR="00176F18" w:rsidRPr="00005077">
        <w:trPr>
          <w:trHeight w:val="284"/>
        </w:trPr>
        <w:tc>
          <w:tcPr>
            <w:tcW w:w="4911" w:type="dxa"/>
          </w:tcPr>
          <w:p w:rsidR="00176F18" w:rsidRPr="00005077" w:rsidRDefault="00176F18">
            <w:pPr>
              <w:pStyle w:val="Avsndare"/>
              <w:framePr w:h="2483" w:wrap="notBeside" w:x="1504"/>
              <w:rPr>
                <w:bCs/>
                <w:iCs/>
              </w:rPr>
            </w:pPr>
          </w:p>
        </w:tc>
      </w:tr>
      <w:tr w:rsidR="00176F18" w:rsidRPr="00005077">
        <w:trPr>
          <w:trHeight w:val="284"/>
        </w:trPr>
        <w:tc>
          <w:tcPr>
            <w:tcW w:w="4911" w:type="dxa"/>
          </w:tcPr>
          <w:p w:rsidR="00176F18" w:rsidRPr="00005077" w:rsidRDefault="00176F18">
            <w:pPr>
              <w:pStyle w:val="Avsndare"/>
              <w:framePr w:h="2483" w:wrap="notBeside" w:x="1504"/>
              <w:rPr>
                <w:bCs/>
                <w:iCs/>
              </w:rPr>
            </w:pPr>
          </w:p>
        </w:tc>
      </w:tr>
    </w:tbl>
    <w:p w:rsidR="00176F18" w:rsidRDefault="00176F18">
      <w:pPr>
        <w:framePr w:w="4400" w:h="2523" w:wrap="notBeside" w:vAnchor="page" w:hAnchor="page" w:x="6453" w:y="2445"/>
        <w:ind w:left="142"/>
      </w:pPr>
      <w:r>
        <w:t>Till: Riksdagen</w:t>
      </w:r>
    </w:p>
    <w:p w:rsidR="00176F18" w:rsidRDefault="00176F18">
      <w:pPr>
        <w:framePr w:w="4400" w:h="2523" w:wrap="notBeside" w:vAnchor="page" w:hAnchor="page" w:x="6453" w:y="2445"/>
        <w:ind w:left="142"/>
      </w:pPr>
    </w:p>
    <w:p w:rsidR="00176F18" w:rsidRDefault="00176F18">
      <w:pPr>
        <w:framePr w:w="4400" w:h="2523" w:wrap="notBeside" w:vAnchor="page" w:hAnchor="page" w:x="6453" w:y="2445"/>
        <w:ind w:left="142"/>
      </w:pPr>
      <w:r>
        <w:t xml:space="preserve">Ekofinrådets möte den </w:t>
      </w:r>
    </w:p>
    <w:p w:rsidR="00176F18" w:rsidRPr="00005077" w:rsidRDefault="00176F18">
      <w:pPr>
        <w:framePr w:w="4400" w:h="2523" w:wrap="notBeside" w:vAnchor="page" w:hAnchor="page" w:x="6453" w:y="2445"/>
        <w:ind w:left="142"/>
      </w:pPr>
      <w:r>
        <w:t>12 februari i Bryssel</w:t>
      </w:r>
    </w:p>
    <w:p w:rsidR="00176F18" w:rsidRPr="00005077" w:rsidRDefault="00176F18" w:rsidP="00005077">
      <w:pPr>
        <w:pStyle w:val="RKrubrik"/>
        <w:pBdr>
          <w:bottom w:val="single" w:sz="4" w:space="1" w:color="000000"/>
        </w:pBdr>
        <w:spacing w:before="0" w:after="0"/>
      </w:pPr>
      <w:r>
        <w:t>Kommenterad dagordning</w:t>
      </w:r>
    </w:p>
    <w:p w:rsidR="00176F18" w:rsidRPr="00005077" w:rsidRDefault="00176F18">
      <w:pPr>
        <w:pStyle w:val="RKnormal"/>
        <w:rPr>
          <w:sz w:val="20"/>
        </w:rPr>
      </w:pPr>
      <w:r>
        <w:rPr>
          <w:sz w:val="20"/>
        </w:rPr>
        <w:t>- enligt den preliminära dagordning som framkom i Coreper den 23 januari</w:t>
      </w:r>
    </w:p>
    <w:p w:rsidR="00176F18" w:rsidRDefault="00176F18" w:rsidP="00013C04">
      <w:pPr>
        <w:pStyle w:val="Heading2"/>
        <w:numPr>
          <w:ilvl w:val="0"/>
          <w:numId w:val="7"/>
        </w:numPr>
        <w:rPr>
          <w:lang w:eastAsia="sv-SE"/>
        </w:rPr>
      </w:pPr>
      <w:r>
        <w:rPr>
          <w:lang w:eastAsia="sv-SE"/>
        </w:rPr>
        <w:t>Godkännande av den preliminära dagordningen</w:t>
      </w:r>
    </w:p>
    <w:p w:rsidR="00176F18" w:rsidRPr="00B40850" w:rsidRDefault="00176F18" w:rsidP="00013C04">
      <w:pPr>
        <w:pStyle w:val="Heading2"/>
        <w:rPr>
          <w:u w:val="single"/>
          <w:lang w:eastAsia="sv-SE"/>
        </w:rPr>
      </w:pPr>
      <w:r>
        <w:rPr>
          <w:u w:val="single"/>
          <w:lang w:eastAsia="sv-SE"/>
        </w:rPr>
        <w:t>Lagstiftningsöverläggningar</w:t>
      </w:r>
    </w:p>
    <w:p w:rsidR="00176F18" w:rsidRDefault="00176F18" w:rsidP="0028134B">
      <w:pPr>
        <w:pStyle w:val="Heading2"/>
        <w:numPr>
          <w:ilvl w:val="0"/>
          <w:numId w:val="7"/>
        </w:numPr>
        <w:rPr>
          <w:rStyle w:val="Strong"/>
          <w:b/>
        </w:rPr>
      </w:pPr>
      <w:r w:rsidRPr="0028134B">
        <w:rPr>
          <w:rStyle w:val="Strong"/>
          <w:b/>
        </w:rPr>
        <w:t>(ev.) Godkännande av listan över A-punkter</w:t>
      </w:r>
    </w:p>
    <w:p w:rsidR="00176F18" w:rsidRDefault="00176F18" w:rsidP="00603DD1">
      <w:pPr>
        <w:pStyle w:val="RKnormal"/>
      </w:pPr>
    </w:p>
    <w:p w:rsidR="00176F18" w:rsidRPr="00451C5D" w:rsidRDefault="00176F18" w:rsidP="00603DD1">
      <w:pPr>
        <w:pStyle w:val="Heading2"/>
        <w:numPr>
          <w:ilvl w:val="0"/>
          <w:numId w:val="7"/>
        </w:numPr>
      </w:pPr>
      <w:r>
        <w:t>Ekonomisk styrning – ”tvåpacket</w:t>
      </w:r>
    </w:p>
    <w:p w:rsidR="00176F18" w:rsidRDefault="00176F18" w:rsidP="00603DD1">
      <w:pPr>
        <w:pStyle w:val="Heading4"/>
      </w:pPr>
      <w:r>
        <w:tab/>
        <w:t>- Politisk överenskommelse</w:t>
      </w:r>
    </w:p>
    <w:p w:rsidR="00176F18" w:rsidRPr="009F5874" w:rsidRDefault="00176F18" w:rsidP="00007EB3">
      <w:pPr>
        <w:pStyle w:val="Default"/>
      </w:pPr>
      <w:r w:rsidRPr="009F5874">
        <w:t xml:space="preserve">Ekofinrådet ska nå en </w:t>
      </w:r>
      <w:r>
        <w:t xml:space="preserve">politisk överenskommelse </w:t>
      </w:r>
      <w:r w:rsidRPr="009F5874">
        <w:t xml:space="preserve">om de båda förslagen till förordningar. </w:t>
      </w:r>
    </w:p>
    <w:p w:rsidR="00176F18" w:rsidRDefault="00176F18" w:rsidP="00007EB3">
      <w:pPr>
        <w:spacing w:line="240" w:lineRule="auto"/>
      </w:pPr>
    </w:p>
    <w:p w:rsidR="00176F18" w:rsidRPr="00810DC4" w:rsidRDefault="00176F18" w:rsidP="00007EB3">
      <w:pPr>
        <w:spacing w:line="240" w:lineRule="auto"/>
      </w:pPr>
      <w:r>
        <w:t>Överläggning</w:t>
      </w:r>
      <w:r w:rsidRPr="00810DC4">
        <w:t xml:space="preserve"> har skett med Finansutskottet 17 januari 2012. Samråd med EU-nämnden har skett vid ett flertal tillfällen, senast </w:t>
      </w:r>
      <w:r>
        <w:t>30 november</w:t>
      </w:r>
      <w:r w:rsidRPr="00810DC4">
        <w:t xml:space="preserve"> 2012. </w:t>
      </w:r>
    </w:p>
    <w:p w:rsidR="00176F18" w:rsidRDefault="00176F18" w:rsidP="00007EB3">
      <w:pPr>
        <w:pStyle w:val="Default"/>
      </w:pPr>
    </w:p>
    <w:p w:rsidR="00176F18" w:rsidRDefault="00176F18" w:rsidP="00007EB3">
      <w:pPr>
        <w:pStyle w:val="Default"/>
      </w:pPr>
      <w:r w:rsidRPr="009F5874">
        <w:t xml:space="preserve">De två förslagen till förordningar rör förstärkning av budgetövervakningen i euroområdet och stärkt övervakning av euroländer som har, eller hotas av, allvarliga problem med sin finansiella stabilitet (se vidare Fakta-PM 2011/12:FPM70). </w:t>
      </w:r>
    </w:p>
    <w:p w:rsidR="00176F18" w:rsidRPr="009F5874" w:rsidRDefault="00176F18" w:rsidP="00007EB3">
      <w:pPr>
        <w:pStyle w:val="Default"/>
      </w:pPr>
    </w:p>
    <w:p w:rsidR="00176F18" w:rsidRPr="009F5874" w:rsidRDefault="00176F18" w:rsidP="00007EB3">
      <w:pPr>
        <w:pStyle w:val="Default"/>
      </w:pPr>
      <w:r w:rsidRPr="009F5874">
        <w:t xml:space="preserve">Ekofinrådet nådde den 21 februari </w:t>
      </w:r>
      <w:r>
        <w:t xml:space="preserve">2012 </w:t>
      </w:r>
      <w:r w:rsidRPr="009F5874">
        <w:t xml:space="preserve">en allmän inriktning. Europaparlamentet avslutade sin interna </w:t>
      </w:r>
      <w:r>
        <w:t>behandling av förslagen i juni 2013 och därefter inleddes</w:t>
      </w:r>
      <w:r w:rsidRPr="009F5874">
        <w:t xml:space="preserve"> trilogförhandlingar mellan rådet och Europaparlamentet. </w:t>
      </w:r>
    </w:p>
    <w:p w:rsidR="00176F18" w:rsidRDefault="00176F18" w:rsidP="00007EB3">
      <w:pPr>
        <w:spacing w:line="240" w:lineRule="auto"/>
        <w:rPr>
          <w:szCs w:val="24"/>
        </w:rPr>
      </w:pPr>
    </w:p>
    <w:p w:rsidR="00176F18" w:rsidRPr="009F5874" w:rsidRDefault="00176F18" w:rsidP="00007EB3">
      <w:pPr>
        <w:spacing w:line="240" w:lineRule="auto"/>
        <w:rPr>
          <w:color w:val="000000"/>
          <w:szCs w:val="24"/>
        </w:rPr>
      </w:pPr>
      <w:r w:rsidRPr="009F5874">
        <w:rPr>
          <w:szCs w:val="24"/>
        </w:rPr>
        <w:t>Regeringen anser att de senaste årens utveckling tydligt har visat på behovet av stärkt efterlevnad av det ekonomiska regelverket i EU, och i synnerhet inom euroområdet. Det är därför rimligt att euroländerna vidtar åtgärder som möter de allvarliga utmaningar som det gemensamma valutasamarbetet nu står inför, bland annat genom åtgärder som gör det befintliga regelverket tydligare. Detta förbättrar förutsättningarna för medlemsstaternas efterlevnad av reglerna.</w:t>
      </w:r>
    </w:p>
    <w:p w:rsidR="00176F18" w:rsidRDefault="00176F18" w:rsidP="00603DD1">
      <w:pPr>
        <w:pStyle w:val="Heading2"/>
        <w:numPr>
          <w:ilvl w:val="0"/>
          <w:numId w:val="7"/>
        </w:numPr>
        <w:rPr>
          <w:lang w:eastAsia="sv-SE"/>
        </w:rPr>
      </w:pPr>
      <w:r>
        <w:rPr>
          <w:lang w:eastAsia="sv-SE"/>
        </w:rPr>
        <w:t>Övriga frågor – aktuella lagstiftningsförslag</w:t>
      </w:r>
    </w:p>
    <w:p w:rsidR="00176F18" w:rsidRDefault="00176F18" w:rsidP="00013C04">
      <w:pPr>
        <w:pStyle w:val="Heading4"/>
        <w:rPr>
          <w:lang w:eastAsia="sv-SE"/>
        </w:rPr>
      </w:pPr>
      <w:r>
        <w:rPr>
          <w:lang w:eastAsia="sv-SE"/>
        </w:rPr>
        <w:tab/>
        <w:t>- Information från ordförandeskapet</w:t>
      </w:r>
    </w:p>
    <w:p w:rsidR="00176F18" w:rsidRDefault="00176F18" w:rsidP="00013C04">
      <w:pPr>
        <w:pStyle w:val="RKnormal"/>
        <w:tabs>
          <w:tab w:val="left" w:pos="0"/>
        </w:tabs>
      </w:pPr>
      <w:r>
        <w:t xml:space="preserve">Ordförandeskapet har signalerat att man ska informera om hur förhandlingarna med Europaparlamentet fortskrider vad gäller förslagen om den gemensamma tillsynsmekanismen för banker (SSM) och de reviderade kapitaltäckningsreglerna (CRDIV/CRR). </w:t>
      </w:r>
    </w:p>
    <w:p w:rsidR="00176F18" w:rsidRDefault="00176F18" w:rsidP="00125C5F">
      <w:pPr>
        <w:pStyle w:val="Heading2"/>
        <w:rPr>
          <w:u w:val="single"/>
        </w:rPr>
      </w:pPr>
      <w:r>
        <w:rPr>
          <w:u w:val="single"/>
        </w:rPr>
        <w:t>Icke lagstiftande verksamhet</w:t>
      </w:r>
    </w:p>
    <w:p w:rsidR="00176F18" w:rsidRPr="00125C5F" w:rsidRDefault="00176F18" w:rsidP="00603DD1">
      <w:pPr>
        <w:pStyle w:val="Heading2"/>
        <w:numPr>
          <w:ilvl w:val="0"/>
          <w:numId w:val="7"/>
        </w:numPr>
        <w:rPr>
          <w:u w:val="single"/>
        </w:rPr>
      </w:pPr>
      <w:r w:rsidRPr="00125C5F">
        <w:t>Godkännande av listan över A-punkter</w:t>
      </w:r>
    </w:p>
    <w:p w:rsidR="00176F18" w:rsidRPr="00451C5D" w:rsidRDefault="00176F18" w:rsidP="00603DD1">
      <w:pPr>
        <w:pStyle w:val="Heading2"/>
        <w:numPr>
          <w:ilvl w:val="0"/>
          <w:numId w:val="7"/>
        </w:numPr>
        <w:ind w:left="1134" w:hanging="708"/>
      </w:pPr>
      <w:r>
        <w:t>Beviljande av ansvarsfrihet för kommissionen för genomförande av budgeten för 2011</w:t>
      </w:r>
    </w:p>
    <w:p w:rsidR="00176F18" w:rsidRDefault="00176F18" w:rsidP="00603DD1">
      <w:pPr>
        <w:pStyle w:val="Heading4"/>
        <w:ind w:firstLine="1134"/>
      </w:pPr>
      <w:r>
        <w:t>- Rådets rekommendation</w:t>
      </w:r>
    </w:p>
    <w:p w:rsidR="00176F18" w:rsidRDefault="00176F18" w:rsidP="00007EB3">
      <w:pPr>
        <w:pStyle w:val="RKnormal"/>
      </w:pPr>
      <w:r>
        <w:t xml:space="preserve">Ekofinrådet ska anta en rekommendation till Europaparlamentet om huruvida kommissionen ska beviljas ansvarsfrihet för genomförandet av budgeten för 2011. Ansvarsfrihetsprövningen sker varje år och baseras främst på den Europeiska revisionsrättens årsrapport från granskningen av genomförandet av budgeten för aktuellt budgetår. </w:t>
      </w:r>
    </w:p>
    <w:p w:rsidR="00176F18" w:rsidRDefault="00176F18" w:rsidP="00007EB3">
      <w:pPr>
        <w:pStyle w:val="RKnormal"/>
      </w:pPr>
    </w:p>
    <w:p w:rsidR="00176F18" w:rsidRDefault="00176F18" w:rsidP="00007EB3">
      <w:pPr>
        <w:pStyle w:val="RKnormal"/>
        <w:keepNext/>
      </w:pPr>
      <w:r>
        <w:t>Revisionsrättens granskning av kommissionens genomförande av budgeten för 2011 visade på en felnivå i linje med föregående år och lämnar för 18:e året i rad en revisionsförklaring med reservation vad gäller lagligheten och korrektheten i transaktionerna.</w:t>
      </w:r>
      <w:r w:rsidRPr="00E943D7">
        <w:t xml:space="preserve"> </w:t>
      </w:r>
      <w:r>
        <w:t>HG Wessberg (Sveriges ledamot i revisionsrätten) presenterade årsrapporten för EU-nämnden den 7 november.</w:t>
      </w:r>
    </w:p>
    <w:p w:rsidR="00176F18" w:rsidRDefault="00176F18" w:rsidP="00007EB3">
      <w:pPr>
        <w:pStyle w:val="RKnormal"/>
      </w:pPr>
    </w:p>
    <w:p w:rsidR="00176F18" w:rsidRDefault="00176F18" w:rsidP="00007EB3">
      <w:pPr>
        <w:pStyle w:val="RKnormal"/>
      </w:pPr>
      <w:r>
        <w:t xml:space="preserve">Ordförandeskapets förslag är att rådet ska rekommendera Europaparlamentet att bevilja kommissionen ansvarsfrihet. </w:t>
      </w:r>
    </w:p>
    <w:p w:rsidR="00176F18" w:rsidRDefault="00176F18" w:rsidP="00007EB3">
      <w:pPr>
        <w:pStyle w:val="RKnormal"/>
      </w:pPr>
    </w:p>
    <w:p w:rsidR="00176F18" w:rsidRDefault="00176F18" w:rsidP="00007EB3">
      <w:pPr>
        <w:pStyle w:val="RKnormal"/>
      </w:pPr>
      <w:r>
        <w:t xml:space="preserve">Regeringen ser allvarligt på det faktum att kommissionen inte har erhållit en revisionsförklaring utan reservation för alla delar av budgeten. Det är angeläget att kommissionen vidtar åtgärder för att förbättra genomförandet så att en revisionsförklaring utan reservation kan erhållas för hela budgeten. Förra året röstade Sverige nej till att rekommendera kommissionen ansvarsfrihet. </w:t>
      </w:r>
    </w:p>
    <w:p w:rsidR="00176F18" w:rsidRDefault="00176F18" w:rsidP="00007EB3">
      <w:pPr>
        <w:pStyle w:val="RKnormal"/>
      </w:pPr>
    </w:p>
    <w:p w:rsidR="00176F18" w:rsidRDefault="00176F18" w:rsidP="00007EB3">
      <w:pPr>
        <w:pStyle w:val="RKnormal"/>
      </w:pPr>
      <w:r>
        <w:t xml:space="preserve">Regeringen avser att återkomma till EU-nämnden i frågan om hur Sverige ska rösta vid Ekofinrådet. </w:t>
      </w:r>
    </w:p>
    <w:p w:rsidR="00176F18" w:rsidRDefault="00176F18" w:rsidP="00007EB3">
      <w:pPr>
        <w:pStyle w:val="RKnormal"/>
      </w:pPr>
    </w:p>
    <w:p w:rsidR="00176F18" w:rsidRPr="00007EB3" w:rsidRDefault="00176F18" w:rsidP="00007EB3">
      <w:pPr>
        <w:pStyle w:val="RKnormal"/>
      </w:pPr>
      <w:r>
        <w:t>Rådet beslutar i frågan med kvalificerad majoritet.</w:t>
      </w:r>
    </w:p>
    <w:p w:rsidR="00176F18" w:rsidRPr="00451C5D" w:rsidRDefault="00176F18" w:rsidP="00603DD1">
      <w:pPr>
        <w:pStyle w:val="Heading2"/>
        <w:numPr>
          <w:ilvl w:val="0"/>
          <w:numId w:val="7"/>
        </w:numPr>
      </w:pPr>
      <w:r>
        <w:t>Rådets budgetriktlinjer för 2014</w:t>
      </w:r>
    </w:p>
    <w:p w:rsidR="00176F18" w:rsidRDefault="00176F18" w:rsidP="00603DD1">
      <w:pPr>
        <w:pStyle w:val="Heading4"/>
        <w:ind w:left="1134"/>
      </w:pPr>
      <w:r>
        <w:t>- Antagande av slutsatser</w:t>
      </w:r>
    </w:p>
    <w:p w:rsidR="00176F18" w:rsidRDefault="00176F18" w:rsidP="00007EB3">
      <w:pPr>
        <w:pStyle w:val="RKnormal"/>
        <w:rPr>
          <w:lang w:eastAsia="sv-SE"/>
        </w:rPr>
      </w:pPr>
      <w:r>
        <w:rPr>
          <w:lang w:eastAsia="sv-SE"/>
        </w:rPr>
        <w:t xml:space="preserve">Rådet ska anta slutsatser om vilka prioriteringar som man vill se i kommissionens förslag till EU-budget för 2014. </w:t>
      </w:r>
    </w:p>
    <w:p w:rsidR="00176F18" w:rsidRDefault="00176F18" w:rsidP="00007EB3"/>
    <w:p w:rsidR="00176F18" w:rsidRDefault="00176F18" w:rsidP="00007EB3">
      <w:pPr>
        <w:rPr>
          <w:i/>
        </w:rPr>
      </w:pPr>
      <w:r>
        <w:t xml:space="preserve">Ärendet har inte tidigare behandlats i riksdagen. </w:t>
      </w:r>
    </w:p>
    <w:p w:rsidR="00176F18" w:rsidRDefault="00176F18" w:rsidP="00007EB3">
      <w:pPr>
        <w:pStyle w:val="RKnormal"/>
        <w:rPr>
          <w:lang w:eastAsia="sv-SE"/>
        </w:rPr>
      </w:pPr>
    </w:p>
    <w:p w:rsidR="00176F18" w:rsidRDefault="00176F18" w:rsidP="00007EB3">
      <w:pPr>
        <w:pStyle w:val="RKnormal"/>
        <w:rPr>
          <w:lang w:eastAsia="sv-SE"/>
        </w:rPr>
      </w:pPr>
      <w:r w:rsidRPr="005928D2">
        <w:rPr>
          <w:lang w:eastAsia="sv-SE"/>
        </w:rPr>
        <w:t>I budgetriktlinjerna understryker rådet nödvändigheten av att vid upprättandet av EU-budgeten för 2014 ta hänsyn till de budgetära begränsningar som återfinns på nationell nivå i syfte att reducera underskott och skuldsättning</w:t>
      </w:r>
      <w:r>
        <w:rPr>
          <w:lang w:eastAsia="sv-SE"/>
        </w:rPr>
        <w:t xml:space="preserve"> samt </w:t>
      </w:r>
      <w:r w:rsidRPr="005928D2">
        <w:rPr>
          <w:lang w:eastAsia="sv-SE"/>
        </w:rPr>
        <w:t>behovet av att bevara bud</w:t>
      </w:r>
      <w:r>
        <w:rPr>
          <w:lang w:eastAsia="sv-SE"/>
        </w:rPr>
        <w:t>getdisciplin på alla nivåer</w:t>
      </w:r>
      <w:r w:rsidRPr="005928D2">
        <w:rPr>
          <w:lang w:eastAsia="sv-SE"/>
        </w:rPr>
        <w:t xml:space="preserve">. Rådet anser att EU:s budget bör ta hänsyn till rådande situation, men även mildra dess negativa effekter genom att tillhandahålla resurser i syfte att stimulera tillväxt och sysselsättning. </w:t>
      </w:r>
    </w:p>
    <w:p w:rsidR="00176F18" w:rsidRDefault="00176F18" w:rsidP="00007EB3">
      <w:pPr>
        <w:pStyle w:val="RKnormal"/>
        <w:rPr>
          <w:lang w:eastAsia="sv-SE"/>
        </w:rPr>
      </w:pPr>
    </w:p>
    <w:p w:rsidR="00176F18" w:rsidRPr="00007EB3" w:rsidRDefault="00176F18" w:rsidP="00007EB3">
      <w:pPr>
        <w:pStyle w:val="RKnormal"/>
        <w:rPr>
          <w:lang w:eastAsia="sv-SE"/>
        </w:rPr>
      </w:pPr>
      <w:r w:rsidRPr="005928D2">
        <w:rPr>
          <w:lang w:eastAsia="sv-SE"/>
        </w:rPr>
        <w:t xml:space="preserve">Därutöver uppmanas kommissionen att budgetera med tillräckliga marginaler för att möjliggöra hantering av oförutsedda händelser, göra mer realistiska prognoser samt återkommande redovisa genomförandet av budgeten. </w:t>
      </w:r>
    </w:p>
    <w:p w:rsidR="00176F18" w:rsidRPr="005928D2" w:rsidRDefault="00176F18" w:rsidP="00007EB3">
      <w:pPr>
        <w:pStyle w:val="RKnormal"/>
        <w:rPr>
          <w:lang w:eastAsia="sv-SE"/>
        </w:rPr>
      </w:pPr>
    </w:p>
    <w:p w:rsidR="00176F18" w:rsidRPr="005928D2" w:rsidRDefault="00176F18" w:rsidP="00007EB3">
      <w:pPr>
        <w:pStyle w:val="RKnormal"/>
        <w:rPr>
          <w:lang w:eastAsia="sv-SE"/>
        </w:rPr>
      </w:pPr>
      <w:r w:rsidRPr="005928D2">
        <w:rPr>
          <w:lang w:eastAsia="sv-SE"/>
        </w:rPr>
        <w:t>Rådet lyfter även fram mängden utestående åtaganden (</w:t>
      </w:r>
      <w:r w:rsidRPr="005928D2">
        <w:rPr>
          <w:szCs w:val="24"/>
        </w:rPr>
        <w:t xml:space="preserve">RAL – reste à liquider)som en central fråga som kommissionen i årsbudgetprocessen uppmanas bevaka och beakta i sitt budgetförslag. </w:t>
      </w:r>
    </w:p>
    <w:p w:rsidR="00176F18" w:rsidRPr="005928D2" w:rsidRDefault="00176F18" w:rsidP="00007EB3">
      <w:pPr>
        <w:pStyle w:val="RKnormal"/>
        <w:rPr>
          <w:lang w:eastAsia="sv-SE"/>
        </w:rPr>
      </w:pPr>
    </w:p>
    <w:p w:rsidR="00176F18" w:rsidRPr="005928D2" w:rsidRDefault="00176F18" w:rsidP="00007EB3">
      <w:pPr>
        <w:pStyle w:val="RKnormal"/>
        <w:rPr>
          <w:lang w:eastAsia="sv-SE"/>
        </w:rPr>
      </w:pPr>
      <w:r w:rsidRPr="005928D2">
        <w:rPr>
          <w:lang w:eastAsia="sv-SE"/>
        </w:rPr>
        <w:t>Kommissionen uppmanas att fortsätta arbetet med att dels utveckla transparens och tydlighet i dokumenten som biläggs budgetförslaget, dels förbättra resultatinforma</w:t>
      </w:r>
      <w:r w:rsidRPr="005928D2">
        <w:rPr>
          <w:lang w:eastAsia="sv-SE"/>
        </w:rPr>
        <w:softHyphen/>
        <w:t xml:space="preserve">tionen i verksamhetsförklaringarna samt förbättra budgeteringen för myndigheterna. </w:t>
      </w:r>
    </w:p>
    <w:p w:rsidR="00176F18" w:rsidRPr="005928D2" w:rsidRDefault="00176F18" w:rsidP="00007EB3">
      <w:pPr>
        <w:pStyle w:val="RKnormal"/>
        <w:rPr>
          <w:lang w:eastAsia="sv-SE"/>
        </w:rPr>
      </w:pPr>
    </w:p>
    <w:p w:rsidR="00176F18" w:rsidRPr="005928D2" w:rsidRDefault="00176F18" w:rsidP="00007EB3">
      <w:pPr>
        <w:pStyle w:val="RKnormal"/>
      </w:pPr>
      <w:r w:rsidRPr="005928D2">
        <w:rPr>
          <w:lang w:eastAsia="sv-SE"/>
        </w:rPr>
        <w:t xml:space="preserve">I ljuset av att de nationella förvaltningarna, givet </w:t>
      </w:r>
      <w:r>
        <w:rPr>
          <w:lang w:eastAsia="sv-SE"/>
        </w:rPr>
        <w:t>det ekonomiska läget</w:t>
      </w:r>
      <w:r w:rsidRPr="005928D2">
        <w:rPr>
          <w:lang w:eastAsia="sv-SE"/>
        </w:rPr>
        <w:t>, måste optimera sin användning av begränsade resurser uppmanar rådet</w:t>
      </w:r>
      <w:r>
        <w:rPr>
          <w:lang w:eastAsia="sv-SE"/>
        </w:rPr>
        <w:t xml:space="preserve"> </w:t>
      </w:r>
      <w:r w:rsidRPr="005928D2">
        <w:rPr>
          <w:lang w:eastAsia="sv-SE"/>
        </w:rPr>
        <w:t>EU:s institutioner att under 2014 inte öka de administrativa utgifterna och samtidigt fortsätta att minska antalet tjänster under 2014.</w:t>
      </w:r>
    </w:p>
    <w:p w:rsidR="00176F18" w:rsidRDefault="00176F18" w:rsidP="00007EB3">
      <w:pPr>
        <w:pStyle w:val="RKnormal"/>
        <w:tabs>
          <w:tab w:val="clear" w:pos="2835"/>
          <w:tab w:val="left" w:pos="1701"/>
        </w:tabs>
      </w:pPr>
    </w:p>
    <w:p w:rsidR="00176F18" w:rsidRPr="004C7AD0" w:rsidRDefault="00176F18" w:rsidP="00007EB3">
      <w:pPr>
        <w:pStyle w:val="RKnormal"/>
        <w:tabs>
          <w:tab w:val="clear" w:pos="2835"/>
          <w:tab w:val="left" w:pos="1701"/>
        </w:tabs>
      </w:pPr>
      <w:r>
        <w:t>Regeringen kan ställa sig bakom utkastet till slutsatser.</w:t>
      </w:r>
    </w:p>
    <w:p w:rsidR="00176F18" w:rsidRPr="00451C5D" w:rsidRDefault="00176F18" w:rsidP="00603DD1">
      <w:pPr>
        <w:pStyle w:val="Heading2"/>
        <w:numPr>
          <w:ilvl w:val="0"/>
          <w:numId w:val="7"/>
        </w:numPr>
        <w:ind w:left="1134" w:hanging="708"/>
      </w:pPr>
      <w:r>
        <w:t>Förberedelser inför G20-mötet med ministrar och centralbankschefer 15-16 februari 2013</w:t>
      </w:r>
      <w:r w:rsidRPr="0008297A">
        <w:rPr>
          <w:i/>
        </w:rPr>
        <w:t xml:space="preserve"> </w:t>
      </w:r>
    </w:p>
    <w:p w:rsidR="00176F18" w:rsidRDefault="00176F18" w:rsidP="00013C04">
      <w:pPr>
        <w:pStyle w:val="Heading4"/>
        <w:ind w:left="1080"/>
      </w:pPr>
      <w:r>
        <w:t>- Mandat</w:t>
      </w:r>
    </w:p>
    <w:p w:rsidR="00176F18" w:rsidRDefault="00176F18" w:rsidP="00C44696">
      <w:pPr>
        <w:pStyle w:val="RKnormal"/>
        <w:spacing w:line="240" w:lineRule="auto"/>
        <w:rPr>
          <w:szCs w:val="24"/>
        </w:rPr>
      </w:pPr>
      <w:r>
        <w:t xml:space="preserve">Rådet ska godkänna den Terms-of-Reference som utarbetats inför mötet mellan G20:s finansministrar och centralbankschefer den 15-16 februari i Moskva. </w:t>
      </w:r>
    </w:p>
    <w:p w:rsidR="00176F18" w:rsidRDefault="00176F18" w:rsidP="00C44696">
      <w:pPr>
        <w:pStyle w:val="RKnormal"/>
        <w:spacing w:line="240" w:lineRule="auto"/>
        <w:rPr>
          <w:sz w:val="20"/>
        </w:rPr>
      </w:pPr>
    </w:p>
    <w:p w:rsidR="00176F18" w:rsidRDefault="00176F18" w:rsidP="00C44696">
      <w:pPr>
        <w:pStyle w:val="RKnormal"/>
        <w:spacing w:line="240" w:lineRule="auto"/>
      </w:pPr>
      <w:r>
        <w:t xml:space="preserve">Som ett led i de reguljära förberedelserna inför G20:s finansministermöten tas ärendet upp i Ekofinrådet. Ett utkast till mandat, Terms-of-Reference, har tagits fram i medlemskretsen. De generella huvudbudskapen i texten har tidigare diskuterats i rådet i andra sammanhang och ligger i linje med kända svenska ståndpunkter. </w:t>
      </w:r>
    </w:p>
    <w:p w:rsidR="00176F18" w:rsidRDefault="00176F18" w:rsidP="00C44696">
      <w:pPr>
        <w:pStyle w:val="RKnormal"/>
        <w:spacing w:line="240" w:lineRule="auto"/>
      </w:pPr>
    </w:p>
    <w:p w:rsidR="00176F18" w:rsidRDefault="00176F18" w:rsidP="00C44696">
      <w:pPr>
        <w:pStyle w:val="RKnormal"/>
        <w:spacing w:line="240" w:lineRule="auto"/>
      </w:pPr>
      <w:r>
        <w:t>Regeringen kan ställa sig bakom huvudbudskapen i utkastet till Terms-of-Reference.</w:t>
      </w:r>
    </w:p>
    <w:p w:rsidR="00176F18" w:rsidRPr="00451C5D" w:rsidRDefault="00176F18" w:rsidP="00603DD1">
      <w:pPr>
        <w:pStyle w:val="Heading2"/>
        <w:numPr>
          <w:ilvl w:val="0"/>
          <w:numId w:val="7"/>
        </w:numPr>
      </w:pPr>
      <w:r>
        <w:t>Kommissionens tillväxtöversikt (AGS) 2013</w:t>
      </w:r>
    </w:p>
    <w:p w:rsidR="00176F18" w:rsidRPr="00451C5D" w:rsidRDefault="00176F18" w:rsidP="00BC554D">
      <w:pPr>
        <w:pStyle w:val="Heading4"/>
        <w:ind w:left="1080"/>
      </w:pPr>
      <w:r>
        <w:t>- Antagande av slutsatser</w:t>
      </w:r>
    </w:p>
    <w:p w:rsidR="00176F18" w:rsidRPr="00096406" w:rsidRDefault="00176F18" w:rsidP="001F2C5E">
      <w:pPr>
        <w:pStyle w:val="RKnormal"/>
        <w:spacing w:line="240" w:lineRule="auto"/>
        <w:rPr>
          <w:color w:val="000000"/>
        </w:rPr>
      </w:pPr>
      <w:r>
        <w:rPr>
          <w:color w:val="000000"/>
        </w:rPr>
        <w:t xml:space="preserve">Kommissionen presenterade i slutet av november den årliga tillväxtrapporten för 2013. Ekofinrådet ska nu, efter att ha diskuterat rapporten vid det förra mötet i januari, anta rådslutsatser om densamma. </w:t>
      </w:r>
    </w:p>
    <w:p w:rsidR="00176F18" w:rsidRPr="002C18A5" w:rsidRDefault="00176F18" w:rsidP="001F2C5E">
      <w:r>
        <w:t>Rapporten har behandlats i EU-nämnden vid flera tillfällen, bl.a. inför Ekofin 4 december 2012 och 21 januari 2013. Regeringen har ställt sig bakom dem fem övergripande målen för rapporten, vilka också överensstämmer med de prioriteringar/mål som slogs fast i förra årets rapport.</w:t>
      </w:r>
    </w:p>
    <w:p w:rsidR="00176F18" w:rsidRDefault="00176F18" w:rsidP="001F2C5E">
      <w:pPr>
        <w:pStyle w:val="RKnormal"/>
        <w:spacing w:line="240" w:lineRule="auto"/>
      </w:pPr>
    </w:p>
    <w:p w:rsidR="00176F18" w:rsidRDefault="00176F18" w:rsidP="001F2C5E">
      <w:pPr>
        <w:pStyle w:val="RKnormal"/>
        <w:spacing w:line="240" w:lineRule="auto"/>
        <w:rPr>
          <w:color w:val="000000"/>
        </w:rPr>
      </w:pPr>
      <w:r>
        <w:t xml:space="preserve">Kommissionens årliga tillväxtrapport utgör startskottet för den kommande europeiska terminen för förstärkt ekonomisk samordning inom EU. </w:t>
      </w:r>
      <w:r>
        <w:rPr>
          <w:color w:val="000000"/>
        </w:rPr>
        <w:t xml:space="preserve">En faktapromemoria om tillväxtrapporten har överlämnats till riksdagen (2012/12: FPM32). </w:t>
      </w:r>
    </w:p>
    <w:p w:rsidR="00176F18" w:rsidRDefault="00176F18" w:rsidP="001F2C5E">
      <w:pPr>
        <w:pStyle w:val="RKnormal"/>
        <w:spacing w:line="240" w:lineRule="auto"/>
        <w:rPr>
          <w:color w:val="000000"/>
        </w:rPr>
      </w:pPr>
    </w:p>
    <w:p w:rsidR="00176F18" w:rsidRDefault="00176F18" w:rsidP="001F2C5E">
      <w:pPr>
        <w:pStyle w:val="RKnormal"/>
        <w:spacing w:line="240" w:lineRule="auto"/>
      </w:pPr>
      <w:r>
        <w:t xml:space="preserve">På basis av rapporten har </w:t>
      </w:r>
      <w:r>
        <w:rPr>
          <w:color w:val="000000"/>
        </w:rPr>
        <w:t xml:space="preserve">ett utkast till rådslutsatser tagits fram. </w:t>
      </w:r>
      <w:r>
        <w:t xml:space="preserve">Ekofinrådets slutsatser kommer att ligga till grund för de slutsatser som ska antas vid Europeiska rådets möte den 14-15 mars 2013. </w:t>
      </w:r>
    </w:p>
    <w:p w:rsidR="00176F18" w:rsidRDefault="00176F18" w:rsidP="001F2C5E">
      <w:pPr>
        <w:spacing w:line="240" w:lineRule="auto"/>
        <w:rPr>
          <w:color w:val="000000"/>
        </w:rPr>
      </w:pPr>
    </w:p>
    <w:p w:rsidR="00176F18" w:rsidRDefault="00176F18" w:rsidP="001F2C5E">
      <w:pPr>
        <w:pStyle w:val="RKnormal"/>
      </w:pPr>
      <w:r w:rsidRPr="00694726">
        <w:rPr>
          <w:color w:val="000000"/>
        </w:rPr>
        <w:t xml:space="preserve">Regeringen kan ställa sig bakom utkastet till slutsatser. </w:t>
      </w:r>
    </w:p>
    <w:p w:rsidR="00176F18" w:rsidRPr="00451C5D" w:rsidRDefault="00176F18" w:rsidP="00603DD1">
      <w:pPr>
        <w:pStyle w:val="Heading2"/>
        <w:numPr>
          <w:ilvl w:val="0"/>
          <w:numId w:val="7"/>
        </w:numPr>
      </w:pPr>
      <w:r>
        <w:t>Förvarningsmekanismen 2013</w:t>
      </w:r>
    </w:p>
    <w:p w:rsidR="00176F18" w:rsidRPr="00451C5D" w:rsidRDefault="00176F18" w:rsidP="00603DD1">
      <w:pPr>
        <w:pStyle w:val="Heading4"/>
        <w:ind w:left="1080"/>
      </w:pPr>
      <w:r>
        <w:t>- Antagande av slutsatser</w:t>
      </w:r>
    </w:p>
    <w:p w:rsidR="00176F18" w:rsidRPr="005351D5" w:rsidRDefault="00176F18" w:rsidP="005351D5">
      <w:r w:rsidRPr="005351D5">
        <w:t>Kommissionen presenterade den 28 november 2012 den årliga förvarningsrapporten</w:t>
      </w:r>
      <w:r>
        <w:t xml:space="preserve"> (AMR)</w:t>
      </w:r>
      <w:r w:rsidRPr="005351D5">
        <w:t>. Ekofinrådet ska nu</w:t>
      </w:r>
      <w:r>
        <w:t xml:space="preserve"> </w:t>
      </w:r>
      <w:r w:rsidRPr="005351D5">
        <w:t xml:space="preserve">anta rådslutsatser om </w:t>
      </w:r>
      <w:r>
        <w:t>rapporten</w:t>
      </w:r>
      <w:r w:rsidRPr="005351D5">
        <w:t xml:space="preserve">. </w:t>
      </w:r>
    </w:p>
    <w:p w:rsidR="00176F18" w:rsidRDefault="00176F18" w:rsidP="005351D5"/>
    <w:p w:rsidR="00176F18" w:rsidRPr="005351D5" w:rsidRDefault="00176F18" w:rsidP="005351D5">
      <w:r w:rsidRPr="005351D5">
        <w:t xml:space="preserve">Rapporten har behandlats i EU-nämnden inför Ekofin den 4 december 2012. </w:t>
      </w:r>
    </w:p>
    <w:p w:rsidR="00176F18" w:rsidRPr="005351D5" w:rsidRDefault="00176F18" w:rsidP="005351D5"/>
    <w:p w:rsidR="00176F18" w:rsidRPr="005351D5" w:rsidRDefault="00176F18" w:rsidP="005351D5">
      <w:r w:rsidRPr="005351D5">
        <w:t xml:space="preserve">Kommissionens förvarningsrapport ingår i den europeiska terminen för förstärkt ekonomisk samordning inom EU. Kommissionen pekar i AMR 2013 på att fjorton länder kommer att bli föremål för djupgranskning under 2013. Förutom länderna som granskades med anledning av AMR 2012 ska också Nederländerna och Malta djupgranskas. Sverige blir föremål för en förnyad fördjupad analysgranskning, där kommissionen anför som motiv, dels de obalanser som identifierades våren 2012 (däribland hög privat skuldsättning), dels utfallet av AMR 2013 (där </w:t>
      </w:r>
      <w:r>
        <w:t xml:space="preserve">den privata </w:t>
      </w:r>
      <w:r w:rsidRPr="005351D5">
        <w:t>skuldsättningen överstiger gränsvärdet).</w:t>
      </w:r>
    </w:p>
    <w:p w:rsidR="00176F18" w:rsidRPr="005351D5" w:rsidRDefault="00176F18" w:rsidP="005351D5"/>
    <w:p w:rsidR="00176F18" w:rsidRPr="005351D5" w:rsidRDefault="00176F18" w:rsidP="005351D5">
      <w:r w:rsidRPr="005351D5">
        <w:t xml:space="preserve">På basis av rapporten har ett utkast till rådslutsatser tagits fram. Ekofinrådets slutsatser kommer att ligga till grund för de slutsatser som ska antas vid Europeiska rådets möte den 14-15 mars 2013. </w:t>
      </w:r>
    </w:p>
    <w:p w:rsidR="00176F18" w:rsidRPr="005351D5" w:rsidRDefault="00176F18" w:rsidP="005351D5"/>
    <w:p w:rsidR="00176F18" w:rsidRDefault="00176F18" w:rsidP="005351D5">
      <w:r w:rsidRPr="005351D5">
        <w:t>Regeringen kan ställa sig bakom utkastet till slutsatser. Regeringen välkomnar publiceringen av förvarningsrapporten som e</w:t>
      </w:r>
      <w:r>
        <w:t>tt led</w:t>
      </w:r>
      <w:r w:rsidRPr="005351D5">
        <w:t xml:space="preserve"> i arbetet med att tidigt upptäcka obalanser. </w:t>
      </w:r>
    </w:p>
    <w:p w:rsidR="00176F18" w:rsidRPr="00451C5D" w:rsidRDefault="00176F18" w:rsidP="00603DD1">
      <w:pPr>
        <w:pStyle w:val="Heading2"/>
        <w:numPr>
          <w:ilvl w:val="0"/>
          <w:numId w:val="7"/>
        </w:numPr>
      </w:pPr>
      <w:r>
        <w:t>Rapport om de offentliga finansernas hållbarhet 2012</w:t>
      </w:r>
    </w:p>
    <w:p w:rsidR="00176F18" w:rsidRPr="00451C5D" w:rsidRDefault="00176F18" w:rsidP="00603DD1">
      <w:pPr>
        <w:pStyle w:val="Heading4"/>
        <w:ind w:left="1080"/>
      </w:pPr>
      <w:r>
        <w:t>- Antagande av slutsatser</w:t>
      </w:r>
    </w:p>
    <w:p w:rsidR="00176F18" w:rsidRPr="00007EB3" w:rsidRDefault="00176F18" w:rsidP="00007EB3">
      <w:pPr>
        <w:spacing w:line="240" w:lineRule="atLeast"/>
      </w:pPr>
      <w:r w:rsidRPr="00007EB3">
        <w:t>Rådet ska anta slutsatser om kommissionens hållbarhetsrapport 2012.</w:t>
      </w:r>
    </w:p>
    <w:p w:rsidR="00176F18" w:rsidRDefault="00176F18" w:rsidP="00007EB3">
      <w:pPr>
        <w:spacing w:line="240" w:lineRule="atLeast"/>
      </w:pPr>
    </w:p>
    <w:p w:rsidR="00176F18" w:rsidRPr="00007EB3" w:rsidRDefault="00176F18" w:rsidP="00007EB3">
      <w:pPr>
        <w:spacing w:line="240" w:lineRule="atLeast"/>
      </w:pPr>
      <w:r>
        <w:t>2012 års h</w:t>
      </w:r>
      <w:r w:rsidRPr="00007EB3">
        <w:t>ållbarhetsrapport har inte behandlats tidigare</w:t>
      </w:r>
      <w:r>
        <w:t xml:space="preserve"> i EU-nämnden</w:t>
      </w:r>
      <w:r w:rsidRPr="00007EB3">
        <w:t>. Däremot skedde samråd med EU-nämnden den 11 maj 2012 om slutsatser rörande åldranderapporten 2012</w:t>
      </w:r>
      <w:r>
        <w:t>, vilken är en av grunderna för hållbarhetsrapporten.</w:t>
      </w:r>
      <w:r w:rsidRPr="00007EB3">
        <w:t>.</w:t>
      </w:r>
    </w:p>
    <w:p w:rsidR="00176F18" w:rsidRDefault="00176F18" w:rsidP="00007EB3">
      <w:pPr>
        <w:spacing w:line="240" w:lineRule="atLeast"/>
      </w:pPr>
    </w:p>
    <w:p w:rsidR="00176F18" w:rsidRPr="00007EB3" w:rsidRDefault="00176F18" w:rsidP="00007EB3">
      <w:pPr>
        <w:spacing w:line="240" w:lineRule="atLeast"/>
      </w:pPr>
      <w:r w:rsidRPr="00007EB3">
        <w:t xml:space="preserve">Den 2 maj 2012 presenterades åldranderapporten 2012 som tagits fram av kommissionen och en underkommitté till Ekofinrådet. Rapporten innehåller demografiska framskrivningar av de åldersrelaterade offentliga utgifterna för medlemsländerna. </w:t>
      </w:r>
      <w:r>
        <w:t xml:space="preserve">Mot bakgrund av åldranderapporten uppmanade </w:t>
      </w:r>
      <w:r w:rsidRPr="00007EB3">
        <w:t xml:space="preserve">Ekofinrådet kommissionen att presentera en rapport om hållbarheten i de offentliga finanserna. </w:t>
      </w:r>
    </w:p>
    <w:p w:rsidR="00176F18" w:rsidRPr="00007EB3" w:rsidRDefault="00176F18" w:rsidP="00007EB3">
      <w:pPr>
        <w:spacing w:line="240" w:lineRule="atLeast"/>
      </w:pPr>
    </w:p>
    <w:p w:rsidR="00176F18" w:rsidRPr="00007EB3" w:rsidRDefault="00176F18" w:rsidP="00007EB3">
      <w:pPr>
        <w:spacing w:line="240" w:lineRule="atLeast"/>
      </w:pPr>
      <w:r w:rsidRPr="00007EB3">
        <w:t>Hållbarhetsrapporten, som presenterades 21 november 2012, innehåller en bedömning av hållbarheten i medlemsstaternas offentliga finanser på kort, medel</w:t>
      </w:r>
      <w:r>
        <w:t>-</w:t>
      </w:r>
      <w:r w:rsidRPr="00007EB3">
        <w:t xml:space="preserve"> och lång sikt. I rapporten konstateras att hållbarhetsrisken är fortsatt stor i många EU-länder. Medan hållbarhetsrisken i vissa länder huvudsakligen utgör ett problem på kort- och medellång sikt, är den i andra länder i första hand ett långsiktigt problem.</w:t>
      </w:r>
    </w:p>
    <w:p w:rsidR="00176F18" w:rsidRPr="00007EB3" w:rsidRDefault="00176F18" w:rsidP="00007EB3">
      <w:pPr>
        <w:spacing w:line="240" w:lineRule="atLeast"/>
      </w:pPr>
    </w:p>
    <w:p w:rsidR="00176F18" w:rsidRPr="00007EB3" w:rsidRDefault="00176F18" w:rsidP="00007EB3">
      <w:pPr>
        <w:spacing w:line="240" w:lineRule="atLeast"/>
      </w:pPr>
      <w:r w:rsidRPr="00007EB3">
        <w:t xml:space="preserve">Kommissionen bedömer i rapporten att Sverige inte står inför hållbarhetsproblem </w:t>
      </w:r>
      <w:r>
        <w:t xml:space="preserve">vare sig </w:t>
      </w:r>
      <w:r w:rsidRPr="00007EB3">
        <w:t>på kort, medel</w:t>
      </w:r>
      <w:r>
        <w:t>-</w:t>
      </w:r>
      <w:r w:rsidRPr="00007EB3">
        <w:t xml:space="preserve"> eller lång sikt. Förutom Sverige är det endast Tyskland, Estland, Lettland och Ungern som bedöms ha låg hållbarhetsrisk </w:t>
      </w:r>
      <w:r>
        <w:t xml:space="preserve">ur samtliga </w:t>
      </w:r>
      <w:r w:rsidRPr="00007EB3">
        <w:t>tre tids</w:t>
      </w:r>
      <w:r>
        <w:t>perspektiv</w:t>
      </w:r>
      <w:r w:rsidRPr="00007EB3">
        <w:t xml:space="preserve">. </w:t>
      </w:r>
    </w:p>
    <w:p w:rsidR="00176F18" w:rsidRDefault="00176F18" w:rsidP="00007EB3">
      <w:pPr>
        <w:spacing w:line="240" w:lineRule="atLeast"/>
      </w:pPr>
    </w:p>
    <w:p w:rsidR="00176F18" w:rsidRDefault="00176F18" w:rsidP="00007EB3">
      <w:pPr>
        <w:spacing w:line="240" w:lineRule="atLeast"/>
      </w:pPr>
      <w:r w:rsidRPr="00007EB3">
        <w:t>Regeringen kan ställa sig bakom utkastet till slutsatser.</w:t>
      </w:r>
    </w:p>
    <w:p w:rsidR="00176F18" w:rsidRPr="00451C5D" w:rsidRDefault="00176F18" w:rsidP="00603DD1">
      <w:pPr>
        <w:pStyle w:val="Heading2"/>
        <w:numPr>
          <w:ilvl w:val="0"/>
          <w:numId w:val="7"/>
        </w:numPr>
      </w:pPr>
      <w:r>
        <w:t>Övriga frågor</w:t>
      </w:r>
      <w:r w:rsidRPr="0008297A">
        <w:rPr>
          <w:i/>
        </w:rPr>
        <w:t xml:space="preserve"> </w:t>
      </w:r>
    </w:p>
    <w:p w:rsidR="00176F18" w:rsidRPr="00005077" w:rsidRDefault="00176F18">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176F18"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F18" w:rsidRDefault="00176F18">
      <w:r>
        <w:separator/>
      </w:r>
    </w:p>
  </w:endnote>
  <w:endnote w:type="continuationSeparator" w:id="0">
    <w:p w:rsidR="00176F18" w:rsidRDefault="00176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F18" w:rsidRDefault="00176F18">
      <w:r>
        <w:separator/>
      </w:r>
    </w:p>
  </w:footnote>
  <w:footnote w:type="continuationSeparator" w:id="0">
    <w:p w:rsidR="00176F18" w:rsidRDefault="00176F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F18" w:rsidRDefault="00176F18"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176F18">
      <w:trPr>
        <w:cantSplit/>
      </w:trPr>
      <w:tc>
        <w:tcPr>
          <w:tcW w:w="3119" w:type="dxa"/>
        </w:tcPr>
        <w:p w:rsidR="00176F18" w:rsidRDefault="00176F18" w:rsidP="00005077">
          <w:pPr>
            <w:pStyle w:val="Header"/>
            <w:spacing w:line="200" w:lineRule="atLeast"/>
            <w:ind w:right="360" w:firstLine="360"/>
            <w:rPr>
              <w:rFonts w:ascii="TradeGothic" w:hAnsi="TradeGothic"/>
              <w:b/>
              <w:bCs/>
              <w:sz w:val="16"/>
            </w:rPr>
          </w:pPr>
        </w:p>
      </w:tc>
      <w:tc>
        <w:tcPr>
          <w:tcW w:w="4111" w:type="dxa"/>
          <w:tcMar>
            <w:left w:w="567" w:type="dxa"/>
          </w:tcMar>
        </w:tcPr>
        <w:p w:rsidR="00176F18" w:rsidRDefault="00176F18">
          <w:pPr>
            <w:pStyle w:val="Header"/>
            <w:ind w:right="360"/>
          </w:pPr>
        </w:p>
      </w:tc>
      <w:tc>
        <w:tcPr>
          <w:tcW w:w="1525" w:type="dxa"/>
        </w:tcPr>
        <w:p w:rsidR="00176F18" w:rsidRDefault="00176F18">
          <w:pPr>
            <w:pStyle w:val="Header"/>
            <w:ind w:right="360"/>
          </w:pPr>
        </w:p>
      </w:tc>
    </w:tr>
  </w:tbl>
  <w:p w:rsidR="00176F18" w:rsidRDefault="00176F18">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F18" w:rsidRDefault="00176F18"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176F18">
      <w:trPr>
        <w:cantSplit/>
      </w:trPr>
      <w:tc>
        <w:tcPr>
          <w:tcW w:w="3119" w:type="dxa"/>
        </w:tcPr>
        <w:p w:rsidR="00176F18" w:rsidRDefault="00176F18" w:rsidP="00005077">
          <w:pPr>
            <w:pStyle w:val="Header"/>
            <w:spacing w:line="200" w:lineRule="atLeast"/>
            <w:ind w:right="360" w:firstLine="360"/>
            <w:rPr>
              <w:rFonts w:ascii="TradeGothic" w:hAnsi="TradeGothic"/>
              <w:b/>
              <w:bCs/>
              <w:sz w:val="16"/>
            </w:rPr>
          </w:pPr>
        </w:p>
      </w:tc>
      <w:tc>
        <w:tcPr>
          <w:tcW w:w="4111" w:type="dxa"/>
          <w:tcMar>
            <w:left w:w="567" w:type="dxa"/>
          </w:tcMar>
        </w:tcPr>
        <w:p w:rsidR="00176F18" w:rsidRDefault="00176F18">
          <w:pPr>
            <w:pStyle w:val="Header"/>
            <w:ind w:right="360"/>
          </w:pPr>
        </w:p>
      </w:tc>
      <w:tc>
        <w:tcPr>
          <w:tcW w:w="1525" w:type="dxa"/>
        </w:tcPr>
        <w:p w:rsidR="00176F18" w:rsidRDefault="00176F18">
          <w:pPr>
            <w:pStyle w:val="Header"/>
            <w:ind w:right="360"/>
          </w:pPr>
        </w:p>
      </w:tc>
    </w:tr>
  </w:tbl>
  <w:p w:rsidR="00176F18" w:rsidRDefault="00176F18">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F18" w:rsidRDefault="00176F18">
    <w:pPr>
      <w:framePr w:w="2948" w:h="1321" w:hRule="exact" w:wrap="notBeside" w:vAnchor="page" w:hAnchor="page" w:x="1362" w:y="653"/>
    </w:pPr>
    <w:r w:rsidRPr="004A00E6">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76F18" w:rsidRPr="00005077" w:rsidRDefault="00176F18">
    <w:pPr>
      <w:pStyle w:val="RKrubrik"/>
      <w:keepNext w:val="0"/>
      <w:tabs>
        <w:tab w:val="clear" w:pos="1134"/>
        <w:tab w:val="clear" w:pos="2835"/>
      </w:tabs>
      <w:spacing w:before="0" w:after="0" w:line="320" w:lineRule="atLeast"/>
      <w:rPr>
        <w:bCs/>
      </w:rPr>
    </w:pPr>
  </w:p>
  <w:p w:rsidR="00176F18" w:rsidRPr="00005077" w:rsidRDefault="00176F18">
    <w:pPr>
      <w:rPr>
        <w:rFonts w:ascii="TradeGothic" w:hAnsi="TradeGothic"/>
        <w:b/>
        <w:bCs/>
        <w:spacing w:val="12"/>
        <w:sz w:val="22"/>
      </w:rPr>
    </w:pPr>
  </w:p>
  <w:p w:rsidR="00176F18" w:rsidRPr="00005077" w:rsidRDefault="00176F18">
    <w:pPr>
      <w:pStyle w:val="RKrubrik"/>
      <w:keepNext w:val="0"/>
      <w:tabs>
        <w:tab w:val="clear" w:pos="1134"/>
        <w:tab w:val="clear" w:pos="2835"/>
      </w:tabs>
      <w:spacing w:before="0" w:after="0" w:line="320" w:lineRule="atLeast"/>
      <w:rPr>
        <w:bCs/>
      </w:rPr>
    </w:pPr>
  </w:p>
  <w:p w:rsidR="00176F18" w:rsidRPr="00005077" w:rsidRDefault="00176F18">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89D"/>
    <w:multiLevelType w:val="hybridMultilevel"/>
    <w:tmpl w:val="28D4CBB2"/>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
    <w:nsid w:val="04305BDF"/>
    <w:multiLevelType w:val="hybridMultilevel"/>
    <w:tmpl w:val="70E21DE0"/>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
    <w:nsid w:val="05EE3A8F"/>
    <w:multiLevelType w:val="hybridMultilevel"/>
    <w:tmpl w:val="7AAEEE6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1139791D"/>
    <w:multiLevelType w:val="hybridMultilevel"/>
    <w:tmpl w:val="283ABA76"/>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4">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201C0010"/>
    <w:multiLevelType w:val="hybridMultilevel"/>
    <w:tmpl w:val="5EE625E4"/>
    <w:lvl w:ilvl="0" w:tplc="88ACA30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6F70AB3"/>
    <w:multiLevelType w:val="hybridMultilevel"/>
    <w:tmpl w:val="34C8392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28810B46"/>
    <w:multiLevelType w:val="hybridMultilevel"/>
    <w:tmpl w:val="4862517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9">
    <w:nsid w:val="2ABF0BEC"/>
    <w:multiLevelType w:val="hybridMultilevel"/>
    <w:tmpl w:val="F9B05ACE"/>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0">
    <w:nsid w:val="30531472"/>
    <w:multiLevelType w:val="hybridMultilevel"/>
    <w:tmpl w:val="2C923FFA"/>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1">
    <w:nsid w:val="31083D2F"/>
    <w:multiLevelType w:val="hybridMultilevel"/>
    <w:tmpl w:val="F6F26552"/>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36675B7E"/>
    <w:multiLevelType w:val="hybridMultilevel"/>
    <w:tmpl w:val="92C61D4E"/>
    <w:lvl w:ilvl="0" w:tplc="2F3A3DFC">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3">
    <w:nsid w:val="453C61CF"/>
    <w:multiLevelType w:val="hybridMultilevel"/>
    <w:tmpl w:val="1CD6A6F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4">
    <w:nsid w:val="4818751D"/>
    <w:multiLevelType w:val="hybridMultilevel"/>
    <w:tmpl w:val="6DE692F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5">
    <w:nsid w:val="491A4049"/>
    <w:multiLevelType w:val="hybridMultilevel"/>
    <w:tmpl w:val="2222D2DA"/>
    <w:lvl w:ilvl="0" w:tplc="2F3A3DFC">
      <w:start w:val="1"/>
      <w:numFmt w:val="decimal"/>
      <w:lvlText w:val="%1."/>
      <w:lvlJc w:val="left"/>
      <w:pPr>
        <w:ind w:left="1800" w:hanging="1440"/>
      </w:pPr>
      <w:rPr>
        <w:rFonts w:cs="Times New Roman" w:hint="default"/>
      </w:rPr>
    </w:lvl>
    <w:lvl w:ilvl="1" w:tplc="B450DE6E">
      <w:numFmt w:val="bullet"/>
      <w:lvlText w:val="-"/>
      <w:lvlJc w:val="left"/>
      <w:pPr>
        <w:ind w:left="1440" w:hanging="360"/>
      </w:pPr>
      <w:rPr>
        <w:rFonts w:ascii="OrigGarmnd BT" w:eastAsia="Times New Roman" w:hAnsi="OrigGarmnd BT"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6">
    <w:nsid w:val="4BEE38C9"/>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7">
    <w:nsid w:val="4CFE7B0F"/>
    <w:multiLevelType w:val="hybridMultilevel"/>
    <w:tmpl w:val="D682F81E"/>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8">
    <w:nsid w:val="4D3F2D74"/>
    <w:multiLevelType w:val="hybridMultilevel"/>
    <w:tmpl w:val="E77ACA1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9">
    <w:nsid w:val="4D7125B0"/>
    <w:multiLevelType w:val="hybridMultilevel"/>
    <w:tmpl w:val="0D7EF31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0">
    <w:nsid w:val="5B3835E4"/>
    <w:multiLevelType w:val="hybridMultilevel"/>
    <w:tmpl w:val="33C80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61BE76BD"/>
    <w:multiLevelType w:val="hybridMultilevel"/>
    <w:tmpl w:val="10944466"/>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nsid w:val="6DD259B3"/>
    <w:multiLevelType w:val="hybridMultilevel"/>
    <w:tmpl w:val="E9700D0C"/>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3">
    <w:nsid w:val="70006D1A"/>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nsid w:val="708E3CEC"/>
    <w:multiLevelType w:val="hybridMultilevel"/>
    <w:tmpl w:val="10E8138E"/>
    <w:lvl w:ilvl="0" w:tplc="A46C4C5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79A75354"/>
    <w:multiLevelType w:val="hybridMultilevel"/>
    <w:tmpl w:val="1A3CC486"/>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6">
    <w:nsid w:val="7F7576F0"/>
    <w:multiLevelType w:val="hybridMultilevel"/>
    <w:tmpl w:val="5052E99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16"/>
  </w:num>
  <w:num w:numId="3">
    <w:abstractNumId w:val="4"/>
  </w:num>
  <w:num w:numId="4">
    <w:abstractNumId w:val="23"/>
  </w:num>
  <w:num w:numId="5">
    <w:abstractNumId w:val="3"/>
  </w:num>
  <w:num w:numId="6">
    <w:abstractNumId w:val="15"/>
  </w:num>
  <w:num w:numId="7">
    <w:abstractNumId w:val="11"/>
  </w:num>
  <w:num w:numId="8">
    <w:abstractNumId w:val="20"/>
  </w:num>
  <w:num w:numId="9">
    <w:abstractNumId w:val="24"/>
  </w:num>
  <w:num w:numId="10">
    <w:abstractNumId w:val="26"/>
  </w:num>
  <w:num w:numId="11">
    <w:abstractNumId w:val="5"/>
  </w:num>
  <w:num w:numId="12">
    <w:abstractNumId w:val="2"/>
  </w:num>
  <w:num w:numId="13">
    <w:abstractNumId w:val="6"/>
  </w:num>
  <w:num w:numId="14">
    <w:abstractNumId w:val="18"/>
  </w:num>
  <w:num w:numId="15">
    <w:abstractNumId w:val="19"/>
  </w:num>
  <w:num w:numId="16">
    <w:abstractNumId w:val="17"/>
  </w:num>
  <w:num w:numId="17">
    <w:abstractNumId w:val="14"/>
  </w:num>
  <w:num w:numId="18">
    <w:abstractNumId w:val="10"/>
  </w:num>
  <w:num w:numId="19">
    <w:abstractNumId w:val="1"/>
  </w:num>
  <w:num w:numId="20">
    <w:abstractNumId w:val="13"/>
  </w:num>
  <w:num w:numId="21">
    <w:abstractNumId w:val="8"/>
  </w:num>
  <w:num w:numId="22">
    <w:abstractNumId w:val="12"/>
  </w:num>
  <w:num w:numId="23">
    <w:abstractNumId w:val="9"/>
  </w:num>
  <w:num w:numId="24">
    <w:abstractNumId w:val="0"/>
  </w:num>
  <w:num w:numId="25">
    <w:abstractNumId w:val="21"/>
  </w:num>
  <w:num w:numId="26">
    <w:abstractNumId w:val="22"/>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trackRevisions/>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3C04"/>
    <w:rsid w:val="00075F57"/>
    <w:rsid w:val="0008297A"/>
    <w:rsid w:val="00096406"/>
    <w:rsid w:val="00111D68"/>
    <w:rsid w:val="00125C5F"/>
    <w:rsid w:val="00150384"/>
    <w:rsid w:val="001566AF"/>
    <w:rsid w:val="00176F18"/>
    <w:rsid w:val="001805B7"/>
    <w:rsid w:val="001F2C5E"/>
    <w:rsid w:val="0028134B"/>
    <w:rsid w:val="002822B6"/>
    <w:rsid w:val="002B7618"/>
    <w:rsid w:val="002C18A5"/>
    <w:rsid w:val="00341667"/>
    <w:rsid w:val="003F6BFA"/>
    <w:rsid w:val="00441071"/>
    <w:rsid w:val="00451C5D"/>
    <w:rsid w:val="004A00E6"/>
    <w:rsid w:val="004A328D"/>
    <w:rsid w:val="004C7AD0"/>
    <w:rsid w:val="005351D5"/>
    <w:rsid w:val="00555859"/>
    <w:rsid w:val="0058762B"/>
    <w:rsid w:val="00590AB7"/>
    <w:rsid w:val="005928D2"/>
    <w:rsid w:val="005A065B"/>
    <w:rsid w:val="005B6466"/>
    <w:rsid w:val="005C081F"/>
    <w:rsid w:val="005E3E96"/>
    <w:rsid w:val="00603DD1"/>
    <w:rsid w:val="00653027"/>
    <w:rsid w:val="00670E1E"/>
    <w:rsid w:val="00694726"/>
    <w:rsid w:val="006E4E11"/>
    <w:rsid w:val="007242A3"/>
    <w:rsid w:val="00761BFC"/>
    <w:rsid w:val="007A6855"/>
    <w:rsid w:val="0080685A"/>
    <w:rsid w:val="00810DC4"/>
    <w:rsid w:val="00856A83"/>
    <w:rsid w:val="0089288D"/>
    <w:rsid w:val="0099679A"/>
    <w:rsid w:val="009B4B9F"/>
    <w:rsid w:val="009F5874"/>
    <w:rsid w:val="00A33BCE"/>
    <w:rsid w:val="00A93C5B"/>
    <w:rsid w:val="00AF473C"/>
    <w:rsid w:val="00B145B9"/>
    <w:rsid w:val="00B40850"/>
    <w:rsid w:val="00B52320"/>
    <w:rsid w:val="00BC554D"/>
    <w:rsid w:val="00BF789C"/>
    <w:rsid w:val="00C1707D"/>
    <w:rsid w:val="00C44696"/>
    <w:rsid w:val="00C47ECF"/>
    <w:rsid w:val="00C73B64"/>
    <w:rsid w:val="00C806CE"/>
    <w:rsid w:val="00CF5630"/>
    <w:rsid w:val="00D133D7"/>
    <w:rsid w:val="00D2677F"/>
    <w:rsid w:val="00E943D7"/>
    <w:rsid w:val="00EC25F9"/>
    <w:rsid w:val="00EC5A21"/>
    <w:rsid w:val="00ED583F"/>
    <w:rsid w:val="00F31507"/>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9C"/>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F789C"/>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BF789C"/>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E7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CA6E79"/>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CA6E7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CA6E79"/>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F789C"/>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F789C"/>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CA6E79"/>
    <w:rPr>
      <w:rFonts w:ascii="OrigGarmnd BT" w:hAnsi="OrigGarmnd BT"/>
      <w:sz w:val="24"/>
      <w:szCs w:val="20"/>
      <w:lang w:eastAsia="en-US"/>
    </w:rPr>
  </w:style>
  <w:style w:type="paragraph" w:styleId="Header">
    <w:name w:val="header"/>
    <w:basedOn w:val="Normal"/>
    <w:link w:val="HeaderChar"/>
    <w:uiPriority w:val="99"/>
    <w:rsid w:val="00BF789C"/>
    <w:pPr>
      <w:tabs>
        <w:tab w:val="center" w:pos="4153"/>
        <w:tab w:val="right" w:pos="8306"/>
      </w:tabs>
    </w:pPr>
  </w:style>
  <w:style w:type="character" w:customStyle="1" w:styleId="HeaderChar">
    <w:name w:val="Header Char"/>
    <w:basedOn w:val="DefaultParagraphFont"/>
    <w:link w:val="Header"/>
    <w:uiPriority w:val="99"/>
    <w:semiHidden/>
    <w:rsid w:val="00CA6E79"/>
    <w:rPr>
      <w:rFonts w:ascii="OrigGarmnd BT" w:hAnsi="OrigGarmnd BT"/>
      <w:sz w:val="24"/>
      <w:szCs w:val="20"/>
      <w:lang w:eastAsia="en-US"/>
    </w:rPr>
  </w:style>
  <w:style w:type="paragraph" w:customStyle="1" w:styleId="RKnormal">
    <w:name w:val="RKnormal"/>
    <w:basedOn w:val="Normal"/>
    <w:link w:val="RKnormalChar"/>
    <w:uiPriority w:val="99"/>
    <w:rsid w:val="00BF789C"/>
    <w:pPr>
      <w:tabs>
        <w:tab w:val="left" w:pos="2835"/>
      </w:tabs>
      <w:spacing w:line="240" w:lineRule="atLeast"/>
    </w:pPr>
  </w:style>
  <w:style w:type="paragraph" w:customStyle="1" w:styleId="RKrubrik">
    <w:name w:val="RKrubrik"/>
    <w:basedOn w:val="RKnormal"/>
    <w:next w:val="RKnormal"/>
    <w:uiPriority w:val="99"/>
    <w:rsid w:val="00BF789C"/>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F789C"/>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s>
</file>

<file path=word/webSettings.xml><?xml version="1.0" encoding="utf-8"?>
<w:webSettings xmlns:r="http://schemas.openxmlformats.org/officeDocument/2006/relationships" xmlns:w="http://schemas.openxmlformats.org/wordprocessingml/2006/main">
  <w:divs>
    <w:div w:id="1787920325">
      <w:marLeft w:val="0"/>
      <w:marRight w:val="0"/>
      <w:marTop w:val="0"/>
      <w:marBottom w:val="0"/>
      <w:divBdr>
        <w:top w:val="none" w:sz="0" w:space="0" w:color="auto"/>
        <w:left w:val="none" w:sz="0" w:space="0" w:color="auto"/>
        <w:bottom w:val="none" w:sz="0" w:space="0" w:color="auto"/>
        <w:right w:val="none" w:sz="0" w:space="0" w:color="auto"/>
      </w:divBdr>
    </w:div>
    <w:div w:id="1787920326">
      <w:marLeft w:val="0"/>
      <w:marRight w:val="0"/>
      <w:marTop w:val="0"/>
      <w:marBottom w:val="0"/>
      <w:divBdr>
        <w:top w:val="none" w:sz="0" w:space="0" w:color="auto"/>
        <w:left w:val="none" w:sz="0" w:space="0" w:color="auto"/>
        <w:bottom w:val="none" w:sz="0" w:space="0" w:color="auto"/>
        <w:right w:val="none" w:sz="0" w:space="0" w:color="auto"/>
      </w:divBdr>
    </w:div>
    <w:div w:id="1787920327">
      <w:marLeft w:val="0"/>
      <w:marRight w:val="0"/>
      <w:marTop w:val="0"/>
      <w:marBottom w:val="0"/>
      <w:divBdr>
        <w:top w:val="none" w:sz="0" w:space="0" w:color="auto"/>
        <w:left w:val="none" w:sz="0" w:space="0" w:color="auto"/>
        <w:bottom w:val="none" w:sz="0" w:space="0" w:color="auto"/>
        <w:right w:val="none" w:sz="0" w:space="0" w:color="auto"/>
      </w:divBdr>
    </w:div>
    <w:div w:id="17879203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1288</Words>
  <Characters>8325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jb0525aa</cp:lastModifiedBy>
  <cp:revision>2</cp:revision>
  <cp:lastPrinted>2013-02-01T11:23:00Z</cp:lastPrinted>
  <dcterms:created xsi:type="dcterms:W3CDTF">2013-02-04T13:01:00Z</dcterms:created>
  <dcterms:modified xsi:type="dcterms:W3CDTF">2013-02-04T13:01:00Z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9e31699e-30d6-4d9f-a31a-d0ac39dfcb7d</vt:lpwstr>
  </property>
  <property fmtid="{D5CDD505-2E9C-101B-9397-08002B2CF9AE}" pid="9" name="TaxCatchAll">
    <vt:lpwstr>17;#;#1;#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4.1.2. Rådsarbete1af30613-4dfb-4481-b80b-5c962e3e508b</vt:lpwstr>
  </property>
  <property fmtid="{D5CDD505-2E9C-101B-9397-08002B2CF9AE}" pid="13" name="ja01b8bc4bea4d6683c0d8279d494392">
    <vt:lpwstr>Finansdepartementet0b2f41b1-db50-472c-80a1-d21b0254fb2b</vt:lpwstr>
  </property>
  <property fmtid="{D5CDD505-2E9C-101B-9397-08002B2CF9AE}" pid="14" name="Sekretess m.m.">
    <vt:lpwstr/>
  </property>
  <property fmtid="{D5CDD505-2E9C-101B-9397-08002B2CF9AE}" pid="15" name="_dlc_DocId">
    <vt:lpwstr>M623RS5WZCRU-223-168</vt:lpwstr>
  </property>
  <property fmtid="{D5CDD505-2E9C-101B-9397-08002B2CF9AE}" pid="16" name="_dlc_DocIdUrl">
    <vt:lpwstr>http://rkdhs-fi/ECOFIN/_layouts/DocIdRedir.aspx?ID=M623RS5WZCRU-223-168, M623RS5WZCRU-223-168</vt:lpwstr>
  </property>
</Properties>
</file>