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15A4C">
        <w:tblPrEx>
          <w:tblCellMar>
            <w:top w:w="0" w:type="dxa"/>
            <w:bottom w:w="0" w:type="dxa"/>
          </w:tblCellMar>
        </w:tblPrEx>
        <w:trPr>
          <w:cantSplit/>
          <w:trHeight w:val="1720"/>
        </w:trPr>
        <w:tc>
          <w:tcPr>
            <w:tcW w:w="6024" w:type="dxa"/>
            <w:gridSpan w:val="2"/>
          </w:tcPr>
          <w:p w:rsidR="00322A77" w:rsidRPr="00515A4C" w:rsidRDefault="00322A77">
            <w:pPr>
              <w:pStyle w:val="HuvudRubrik"/>
            </w:pPr>
            <w:r w:rsidRPr="00515A4C">
              <w:t>Konstitutionsutskottets betänkande</w:t>
            </w:r>
          </w:p>
          <w:p w:rsidR="00322A77" w:rsidRPr="00515A4C" w:rsidRDefault="00322A77">
            <w:pPr>
              <w:pStyle w:val="HuvudRubrikRad2"/>
            </w:pPr>
            <w:bookmarkStart w:id="0" w:name="BetänkandeNr"/>
            <w:bookmarkEnd w:id="0"/>
            <w:r w:rsidRPr="00515A4C">
              <w:t>2002/03:KU26</w:t>
            </w:r>
          </w:p>
        </w:tc>
        <w:tc>
          <w:tcPr>
            <w:tcW w:w="1418" w:type="dxa"/>
            <w:tcBorders>
              <w:bottom w:val="nil"/>
            </w:tcBorders>
          </w:tcPr>
          <w:p w:rsidR="00322A77" w:rsidRPr="00515A4C" w:rsidRDefault="00515A4C">
            <w:pPr>
              <w:spacing w:line="230" w:lineRule="auto"/>
              <w:jc w:val="center"/>
            </w:pPr>
            <w:r w:rsidRPr="00515A4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22A77" w:rsidRPr="00515A4C" w:rsidRDefault="00322A77">
            <w:pPr>
              <w:pStyle w:val="Normaltindrag"/>
              <w:jc w:val="center"/>
            </w:pPr>
          </w:p>
          <w:p w:rsidR="00322A77" w:rsidRPr="00515A4C" w:rsidRDefault="00322A77">
            <w:pPr>
              <w:pStyle w:val="StatusSida1"/>
            </w:pPr>
          </w:p>
          <w:p w:rsidR="00322A77" w:rsidRPr="00515A4C" w:rsidRDefault="00322A77">
            <w:pPr>
              <w:pStyle w:val="UtskriftsdatumSida1"/>
              <w:framePr w:wrap="around"/>
            </w:pPr>
          </w:p>
        </w:tc>
      </w:tr>
      <w:tr w:rsidR="00000000" w:rsidRPr="00515A4C">
        <w:tblPrEx>
          <w:tblCellMar>
            <w:top w:w="0" w:type="dxa"/>
            <w:bottom w:w="0" w:type="dxa"/>
          </w:tblCellMar>
        </w:tblPrEx>
        <w:trPr>
          <w:cantSplit/>
        </w:trPr>
        <w:tc>
          <w:tcPr>
            <w:tcW w:w="6024" w:type="dxa"/>
            <w:gridSpan w:val="2"/>
            <w:tcBorders>
              <w:bottom w:val="single" w:sz="4" w:space="0" w:color="auto"/>
            </w:tcBorders>
          </w:tcPr>
          <w:p w:rsidR="00322A77" w:rsidRPr="00515A4C" w:rsidRDefault="00322A77">
            <w:pPr>
              <w:pStyle w:val="DokumentRubrik"/>
              <w:rPr>
                <w:noProof w:val="0"/>
              </w:rPr>
            </w:pPr>
            <w:bookmarkStart w:id="1" w:name="Huvudrubrik"/>
            <w:bookmarkEnd w:id="1"/>
            <w:r w:rsidRPr="00515A4C">
              <w:rPr>
                <w:noProof w:val="0"/>
              </w:rPr>
              <w:t>Fri- och rättighetsskyddsfrågor</w:t>
            </w:r>
          </w:p>
        </w:tc>
        <w:tc>
          <w:tcPr>
            <w:tcW w:w="1418" w:type="dxa"/>
            <w:tcBorders>
              <w:bottom w:val="nil"/>
            </w:tcBorders>
          </w:tcPr>
          <w:p w:rsidR="00322A77" w:rsidRPr="00515A4C" w:rsidRDefault="00322A77"/>
        </w:tc>
      </w:tr>
      <w:tr w:rsidR="00000000" w:rsidRPr="00515A4C">
        <w:tblPrEx>
          <w:tblCellMar>
            <w:top w:w="0" w:type="dxa"/>
            <w:bottom w:w="0" w:type="dxa"/>
          </w:tblCellMar>
        </w:tblPrEx>
        <w:trPr>
          <w:cantSplit/>
          <w:trHeight w:hRule="exact" w:val="360"/>
        </w:trPr>
        <w:tc>
          <w:tcPr>
            <w:tcW w:w="3012" w:type="dxa"/>
          </w:tcPr>
          <w:p w:rsidR="00322A77" w:rsidRPr="00515A4C" w:rsidRDefault="00322A77"/>
        </w:tc>
        <w:tc>
          <w:tcPr>
            <w:tcW w:w="3012" w:type="dxa"/>
          </w:tcPr>
          <w:p w:rsidR="00322A77" w:rsidRPr="00515A4C" w:rsidRDefault="00322A77"/>
        </w:tc>
        <w:tc>
          <w:tcPr>
            <w:tcW w:w="1418" w:type="dxa"/>
          </w:tcPr>
          <w:p w:rsidR="00322A77" w:rsidRPr="00515A4C" w:rsidRDefault="00322A77"/>
        </w:tc>
      </w:tr>
    </w:tbl>
    <w:p w:rsidR="00322A77" w:rsidRPr="00515A4C" w:rsidRDefault="00322A77"/>
    <w:p w:rsidR="00322A77" w:rsidRPr="00515A4C" w:rsidRDefault="00322A77">
      <w:pPr>
        <w:pStyle w:val="Rubrik1"/>
        <w:spacing w:after="180"/>
        <w:rPr>
          <w:noProof w:val="0"/>
        </w:rPr>
      </w:pPr>
      <w:bookmarkStart w:id="2" w:name="_Toc34039136"/>
      <w:r w:rsidRPr="00515A4C">
        <w:rPr>
          <w:noProof w:val="0"/>
        </w:rPr>
        <w:t>Sammanfattning</w:t>
      </w:r>
      <w:bookmarkEnd w:id="2"/>
    </w:p>
    <w:p w:rsidR="00322A77" w:rsidRPr="00515A4C" w:rsidRDefault="00322A77">
      <w:bookmarkStart w:id="3" w:name="TextStart"/>
      <w:bookmarkEnd w:id="3"/>
      <w:r w:rsidRPr="00515A4C">
        <w:t>I detta betänkande behandlas 55 motionsyrkanden från den allmänna m</w:t>
      </w:r>
      <w:r w:rsidRPr="00515A4C">
        <w:t>o</w:t>
      </w:r>
      <w:r w:rsidRPr="00515A4C">
        <w:t>tionstiden 2002. Motionerna gäller ett förstärkt skydd för fri- och rättighete</w:t>
      </w:r>
      <w:r w:rsidRPr="00515A4C">
        <w:t>r</w:t>
      </w:r>
      <w:r w:rsidRPr="00515A4C">
        <w:t>na, skydd för livsåskådning, förbud mot rasistiska organisationer m.m., ett skydd för negativ föreningsfrihet och mot retroaktiv lagstiftning, antidiskr</w:t>
      </w:r>
      <w:r w:rsidRPr="00515A4C">
        <w:t>i</w:t>
      </w:r>
      <w:r w:rsidRPr="00515A4C">
        <w:t>mineringslagstiftningen, de nationella minoriteterna, skydd för teckenspråket, möjlighet att återkalla ett svenskt medborgarskap, skyddet för äganderätten, och ett skydd för samvetsfrihet. Vidare behandlas motioner om stöd till åtgä</w:t>
      </w:r>
      <w:r w:rsidRPr="00515A4C">
        <w:t>r</w:t>
      </w:r>
      <w:r w:rsidRPr="00515A4C">
        <w:t>der mot rasism och främlingsfientlighet, inter</w:t>
      </w:r>
      <w:r w:rsidRPr="00515A4C">
        <w:t>nationella kvinnodagen som helgdag, upprättelse för personer som placerats i interneringsläger och rätti</w:t>
      </w:r>
      <w:r w:rsidRPr="00515A4C">
        <w:t>g</w:t>
      </w:r>
      <w:r w:rsidRPr="00515A4C">
        <w:t>heter för människoapor.</w:t>
      </w:r>
    </w:p>
    <w:p w:rsidR="00322A77" w:rsidRPr="00515A4C" w:rsidRDefault="00322A77">
      <w:pPr>
        <w:pStyle w:val="Normaltindrag"/>
      </w:pPr>
      <w:r w:rsidRPr="00515A4C">
        <w:t>Utskottet har avstyrkt samtliga motionsyrkanden. 20 reservationer har a</w:t>
      </w:r>
      <w:r w:rsidRPr="00515A4C">
        <w:t>v</w:t>
      </w:r>
      <w:r w:rsidRPr="00515A4C">
        <w:t>getts.</w:t>
      </w:r>
    </w:p>
    <w:p w:rsidR="00322A77" w:rsidRPr="00515A4C" w:rsidRDefault="00322A77">
      <w:pPr>
        <w:pStyle w:val="Normaltindrag"/>
        <w:sectPr w:rsidR="00000000" w:rsidRPr="00515A4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22A77" w:rsidRPr="00515A4C" w:rsidRDefault="00322A77">
      <w:pPr>
        <w:pStyle w:val="Rubrik1"/>
        <w:rPr>
          <w:noProof w:val="0"/>
        </w:rPr>
      </w:pPr>
      <w:bookmarkStart w:id="4" w:name="_Toc34039137"/>
      <w:r w:rsidRPr="00515A4C">
        <w:rPr>
          <w:noProof w:val="0"/>
        </w:rPr>
        <w:lastRenderedPageBreak/>
        <w:t>Innehållsförteckning</w:t>
      </w:r>
      <w:bookmarkEnd w:id="4"/>
    </w:p>
    <w:p w:rsidR="00322A77" w:rsidRPr="00515A4C" w:rsidRDefault="00322A77">
      <w:pPr>
        <w:pStyle w:val="Innehll1"/>
      </w:pPr>
      <w:r w:rsidRPr="00515A4C">
        <w:t>Sammanfattning</w:t>
      </w:r>
      <w:r w:rsidRPr="00515A4C">
        <w:tab/>
        <w:t>1</w:t>
      </w:r>
    </w:p>
    <w:p w:rsidR="00322A77" w:rsidRPr="00515A4C" w:rsidRDefault="00322A77">
      <w:pPr>
        <w:pStyle w:val="Innehll1"/>
      </w:pPr>
      <w:r w:rsidRPr="00515A4C">
        <w:t>Innehållsförteckning</w:t>
      </w:r>
      <w:r w:rsidRPr="00515A4C">
        <w:tab/>
        <w:t>2</w:t>
      </w:r>
    </w:p>
    <w:p w:rsidR="00322A77" w:rsidRPr="00515A4C" w:rsidRDefault="00322A77">
      <w:pPr>
        <w:pStyle w:val="Innehll1"/>
      </w:pPr>
      <w:r w:rsidRPr="00515A4C">
        <w:t>Utskottets förslag till riksdagsbeslut</w:t>
      </w:r>
      <w:r w:rsidRPr="00515A4C">
        <w:tab/>
        <w:t>5</w:t>
      </w:r>
    </w:p>
    <w:p w:rsidR="00322A77" w:rsidRPr="00515A4C" w:rsidRDefault="00322A77">
      <w:pPr>
        <w:pStyle w:val="Innehll1"/>
      </w:pPr>
      <w:r w:rsidRPr="00515A4C">
        <w:t>Utskottets överväganden</w:t>
      </w:r>
      <w:r w:rsidRPr="00515A4C">
        <w:tab/>
        <w:t>9</w:t>
      </w:r>
    </w:p>
    <w:p w:rsidR="00322A77" w:rsidRPr="00515A4C" w:rsidRDefault="00322A77">
      <w:pPr>
        <w:pStyle w:val="Innehll2"/>
      </w:pPr>
      <w:r w:rsidRPr="00515A4C">
        <w:t>Framväxten av det svenska fri- och rättighetsskyddet</w:t>
      </w:r>
      <w:r w:rsidRPr="00515A4C">
        <w:tab/>
        <w:t>9</w:t>
      </w:r>
    </w:p>
    <w:p w:rsidR="00322A77" w:rsidRPr="00515A4C" w:rsidRDefault="00322A77">
      <w:pPr>
        <w:pStyle w:val="Innehll3"/>
      </w:pPr>
      <w:r w:rsidRPr="00515A4C">
        <w:t>1974 års regeringsform</w:t>
      </w:r>
      <w:r w:rsidRPr="00515A4C">
        <w:tab/>
        <w:t>10</w:t>
      </w:r>
    </w:p>
    <w:p w:rsidR="00322A77" w:rsidRPr="00515A4C" w:rsidRDefault="00322A77">
      <w:pPr>
        <w:pStyle w:val="Innehll3"/>
      </w:pPr>
      <w:r w:rsidRPr="00515A4C">
        <w:t>Förstärkta fri- och rättigheter 1976</w:t>
      </w:r>
      <w:r w:rsidRPr="00515A4C">
        <w:tab/>
        <w:t>10</w:t>
      </w:r>
    </w:p>
    <w:p w:rsidR="00322A77" w:rsidRPr="00515A4C" w:rsidRDefault="00322A77">
      <w:pPr>
        <w:pStyle w:val="Innehll3"/>
      </w:pPr>
      <w:r w:rsidRPr="00515A4C">
        <w:t>1979 års reform</w:t>
      </w:r>
      <w:r w:rsidRPr="00515A4C">
        <w:tab/>
        <w:t>10</w:t>
      </w:r>
    </w:p>
    <w:p w:rsidR="00322A77" w:rsidRPr="00515A4C" w:rsidRDefault="00322A77">
      <w:pPr>
        <w:pStyle w:val="Innehll3"/>
      </w:pPr>
      <w:r w:rsidRPr="00515A4C">
        <w:t>Grundlagsfäst integritetsskydd</w:t>
      </w:r>
      <w:r w:rsidRPr="00515A4C">
        <w:tab/>
        <w:t>11</w:t>
      </w:r>
    </w:p>
    <w:p w:rsidR="00322A77" w:rsidRPr="00515A4C" w:rsidRDefault="00322A77">
      <w:pPr>
        <w:pStyle w:val="Innehll3"/>
      </w:pPr>
      <w:r w:rsidRPr="00515A4C">
        <w:t>Inkorporering av Europakonventionen och andra fri- och rättighetsfrågor</w:t>
      </w:r>
      <w:r w:rsidRPr="00515A4C">
        <w:tab/>
        <w:t>11</w:t>
      </w:r>
    </w:p>
    <w:p w:rsidR="00322A77" w:rsidRPr="00515A4C" w:rsidRDefault="00322A77">
      <w:pPr>
        <w:pStyle w:val="Innehll3"/>
      </w:pPr>
      <w:r w:rsidRPr="00515A4C">
        <w:t>Förstärkt skydd för utsatta grupper och ett skydd för miljön</w:t>
      </w:r>
      <w:r w:rsidRPr="00515A4C">
        <w:tab/>
        <w:t>12</w:t>
      </w:r>
    </w:p>
    <w:p w:rsidR="00322A77" w:rsidRPr="00515A4C" w:rsidRDefault="00322A77">
      <w:pPr>
        <w:pStyle w:val="Innehll2"/>
      </w:pPr>
      <w:r w:rsidRPr="00515A4C">
        <w:t>Gällande bestämmelser</w:t>
      </w:r>
      <w:r w:rsidRPr="00515A4C">
        <w:tab/>
        <w:t>13</w:t>
      </w:r>
    </w:p>
    <w:p w:rsidR="00322A77" w:rsidRPr="00515A4C" w:rsidRDefault="00322A77">
      <w:pPr>
        <w:pStyle w:val="Innehll3"/>
      </w:pPr>
      <w:r w:rsidRPr="00515A4C">
        <w:t>Regeringsformen</w:t>
      </w:r>
      <w:r w:rsidRPr="00515A4C">
        <w:tab/>
        <w:t>13</w:t>
      </w:r>
    </w:p>
    <w:p w:rsidR="00322A77" w:rsidRPr="00515A4C" w:rsidRDefault="00322A77">
      <w:pPr>
        <w:pStyle w:val="Innehll3"/>
      </w:pPr>
      <w:r w:rsidRPr="00515A4C">
        <w:t>Europakonventionen</w:t>
      </w:r>
      <w:r w:rsidRPr="00515A4C">
        <w:tab/>
        <w:t>14</w:t>
      </w:r>
    </w:p>
    <w:p w:rsidR="00322A77" w:rsidRPr="00515A4C" w:rsidRDefault="00322A77">
      <w:pPr>
        <w:pStyle w:val="Innehll3"/>
      </w:pPr>
      <w:r w:rsidRPr="00515A4C">
        <w:t>EU-stadga om de grundläggande rättigheterna</w:t>
      </w:r>
      <w:r w:rsidRPr="00515A4C">
        <w:tab/>
        <w:t>14</w:t>
      </w:r>
    </w:p>
    <w:p w:rsidR="00322A77" w:rsidRPr="00515A4C" w:rsidRDefault="00322A77">
      <w:pPr>
        <w:pStyle w:val="Innehll2"/>
      </w:pPr>
      <w:r w:rsidRPr="00515A4C">
        <w:t>Förstärkt skydd för fri- och rättigheterna, m.m.</w:t>
      </w:r>
      <w:r w:rsidRPr="00515A4C">
        <w:tab/>
        <w:t>15</w:t>
      </w:r>
    </w:p>
    <w:p w:rsidR="00322A77" w:rsidRPr="00515A4C" w:rsidRDefault="00322A77">
      <w:pPr>
        <w:pStyle w:val="Innehll4"/>
      </w:pPr>
      <w:r w:rsidRPr="00515A4C">
        <w:t>Motionerna</w:t>
      </w:r>
      <w:r w:rsidRPr="00515A4C">
        <w:tab/>
        <w:t>15</w:t>
      </w:r>
    </w:p>
    <w:p w:rsidR="00322A77" w:rsidRPr="00515A4C" w:rsidRDefault="00322A77">
      <w:pPr>
        <w:pStyle w:val="Innehll4"/>
      </w:pPr>
      <w:r w:rsidRPr="00515A4C">
        <w:t>Bakgrund</w:t>
      </w:r>
      <w:r w:rsidRPr="00515A4C">
        <w:tab/>
        <w:t>17</w:t>
      </w:r>
    </w:p>
    <w:p w:rsidR="00322A77" w:rsidRPr="00515A4C" w:rsidRDefault="00322A77">
      <w:pPr>
        <w:pStyle w:val="Innehll4"/>
      </w:pPr>
      <w:r w:rsidRPr="00515A4C">
        <w:t>Utskottets ställningstagande</w:t>
      </w:r>
      <w:r w:rsidRPr="00515A4C">
        <w:tab/>
        <w:t>25</w:t>
      </w:r>
    </w:p>
    <w:p w:rsidR="00322A77" w:rsidRPr="00515A4C" w:rsidRDefault="00322A77">
      <w:pPr>
        <w:pStyle w:val="Innehll2"/>
      </w:pPr>
      <w:r w:rsidRPr="00515A4C">
        <w:t>Livsåskådning</w:t>
      </w:r>
      <w:r w:rsidRPr="00515A4C">
        <w:tab/>
        <w:t>27</w:t>
      </w:r>
    </w:p>
    <w:p w:rsidR="00322A77" w:rsidRPr="00515A4C" w:rsidRDefault="00322A77">
      <w:pPr>
        <w:pStyle w:val="Innehll4"/>
      </w:pPr>
      <w:r w:rsidRPr="00515A4C">
        <w:t>Motionen</w:t>
      </w:r>
      <w:r w:rsidRPr="00515A4C">
        <w:tab/>
        <w:t>27</w:t>
      </w:r>
    </w:p>
    <w:p w:rsidR="00322A77" w:rsidRPr="00515A4C" w:rsidRDefault="00322A77">
      <w:pPr>
        <w:pStyle w:val="Innehll4"/>
      </w:pPr>
      <w:r w:rsidRPr="00515A4C">
        <w:t>Bakgrund</w:t>
      </w:r>
      <w:r w:rsidRPr="00515A4C">
        <w:tab/>
        <w:t>27</w:t>
      </w:r>
    </w:p>
    <w:p w:rsidR="00322A77" w:rsidRPr="00515A4C" w:rsidRDefault="00322A77">
      <w:pPr>
        <w:pStyle w:val="Innehll4"/>
      </w:pPr>
      <w:r w:rsidRPr="00515A4C">
        <w:t>Tidigare behandling</w:t>
      </w:r>
      <w:r w:rsidRPr="00515A4C">
        <w:tab/>
        <w:t>30</w:t>
      </w:r>
    </w:p>
    <w:p w:rsidR="00322A77" w:rsidRPr="00515A4C" w:rsidRDefault="00322A77">
      <w:pPr>
        <w:pStyle w:val="Innehll4"/>
      </w:pPr>
      <w:r w:rsidRPr="00515A4C">
        <w:t>Utskottets ställningstagande</w:t>
      </w:r>
      <w:r w:rsidRPr="00515A4C">
        <w:tab/>
        <w:t>30</w:t>
      </w:r>
    </w:p>
    <w:p w:rsidR="00322A77" w:rsidRPr="00515A4C" w:rsidRDefault="00322A77">
      <w:pPr>
        <w:pStyle w:val="Innehll2"/>
      </w:pPr>
      <w:r w:rsidRPr="00515A4C">
        <w:t>Samvetsklausul</w:t>
      </w:r>
      <w:r w:rsidRPr="00515A4C">
        <w:tab/>
        <w:t>31</w:t>
      </w:r>
    </w:p>
    <w:p w:rsidR="00322A77" w:rsidRPr="00515A4C" w:rsidRDefault="00322A77">
      <w:pPr>
        <w:pStyle w:val="Innehll4"/>
      </w:pPr>
      <w:r w:rsidRPr="00515A4C">
        <w:t>Motionen</w:t>
      </w:r>
      <w:r w:rsidRPr="00515A4C">
        <w:tab/>
        <w:t>31</w:t>
      </w:r>
    </w:p>
    <w:p w:rsidR="00322A77" w:rsidRPr="00515A4C" w:rsidRDefault="00322A77">
      <w:pPr>
        <w:pStyle w:val="Innehll4"/>
      </w:pPr>
      <w:r w:rsidRPr="00515A4C">
        <w:t>Bakgrund</w:t>
      </w:r>
      <w:r w:rsidRPr="00515A4C">
        <w:tab/>
        <w:t>31</w:t>
      </w:r>
    </w:p>
    <w:p w:rsidR="00322A77" w:rsidRPr="00515A4C" w:rsidRDefault="00322A77">
      <w:pPr>
        <w:pStyle w:val="Innehll4"/>
      </w:pPr>
      <w:r w:rsidRPr="00515A4C">
        <w:t>Tidigare behandling</w:t>
      </w:r>
      <w:r w:rsidRPr="00515A4C">
        <w:tab/>
        <w:t>32</w:t>
      </w:r>
    </w:p>
    <w:p w:rsidR="00322A77" w:rsidRPr="00515A4C" w:rsidRDefault="00322A77">
      <w:pPr>
        <w:pStyle w:val="Innehll4"/>
      </w:pPr>
      <w:r w:rsidRPr="00515A4C">
        <w:t>Utskottets ställningstagande</w:t>
      </w:r>
      <w:r w:rsidRPr="00515A4C">
        <w:tab/>
        <w:t>33</w:t>
      </w:r>
    </w:p>
    <w:p w:rsidR="00322A77" w:rsidRPr="00515A4C" w:rsidRDefault="00322A77">
      <w:pPr>
        <w:pStyle w:val="Innehll2"/>
      </w:pPr>
      <w:r w:rsidRPr="00515A4C">
        <w:t>Förbud mot rasistiska organisationer, m.m.</w:t>
      </w:r>
      <w:r w:rsidRPr="00515A4C">
        <w:tab/>
        <w:t>33</w:t>
      </w:r>
    </w:p>
    <w:p w:rsidR="00322A77" w:rsidRPr="00515A4C" w:rsidRDefault="00322A77">
      <w:pPr>
        <w:pStyle w:val="Innehll4"/>
      </w:pPr>
      <w:r w:rsidRPr="00515A4C">
        <w:t>Motionerna</w:t>
      </w:r>
      <w:r w:rsidRPr="00515A4C">
        <w:tab/>
        <w:t>33</w:t>
      </w:r>
    </w:p>
    <w:p w:rsidR="00322A77" w:rsidRPr="00515A4C" w:rsidRDefault="00322A77">
      <w:pPr>
        <w:pStyle w:val="Innehll4"/>
      </w:pPr>
      <w:r w:rsidRPr="00515A4C">
        <w:t>Bakgrund</w:t>
      </w:r>
      <w:r w:rsidRPr="00515A4C">
        <w:tab/>
        <w:t>34</w:t>
      </w:r>
    </w:p>
    <w:p w:rsidR="00322A77" w:rsidRPr="00515A4C" w:rsidRDefault="00322A77">
      <w:pPr>
        <w:pStyle w:val="Innehll4"/>
      </w:pPr>
      <w:r w:rsidRPr="00515A4C">
        <w:t>Tidigare behandling</w:t>
      </w:r>
      <w:r w:rsidRPr="00515A4C">
        <w:tab/>
        <w:t>38</w:t>
      </w:r>
    </w:p>
    <w:p w:rsidR="00322A77" w:rsidRPr="00515A4C" w:rsidRDefault="00322A77">
      <w:pPr>
        <w:pStyle w:val="Innehll4"/>
      </w:pPr>
      <w:r w:rsidRPr="00515A4C">
        <w:t>Utskottets ställningstagande</w:t>
      </w:r>
      <w:r w:rsidRPr="00515A4C">
        <w:tab/>
        <w:t>38</w:t>
      </w:r>
    </w:p>
    <w:p w:rsidR="00322A77" w:rsidRPr="00515A4C" w:rsidRDefault="00322A77">
      <w:pPr>
        <w:pStyle w:val="Innehll2"/>
      </w:pPr>
      <w:r w:rsidRPr="00515A4C">
        <w:t>Negativ föreningsfrihet</w:t>
      </w:r>
      <w:r w:rsidRPr="00515A4C">
        <w:tab/>
        <w:t>39</w:t>
      </w:r>
    </w:p>
    <w:p w:rsidR="00322A77" w:rsidRPr="00515A4C" w:rsidRDefault="00322A77">
      <w:pPr>
        <w:pStyle w:val="Innehll4"/>
      </w:pPr>
      <w:r w:rsidRPr="00515A4C">
        <w:t>Motionen</w:t>
      </w:r>
      <w:r w:rsidRPr="00515A4C">
        <w:tab/>
        <w:t>39</w:t>
      </w:r>
    </w:p>
    <w:p w:rsidR="00322A77" w:rsidRPr="00515A4C" w:rsidRDefault="00322A77">
      <w:pPr>
        <w:pStyle w:val="Innehll4"/>
      </w:pPr>
      <w:r w:rsidRPr="00515A4C">
        <w:t>Gällande regler</w:t>
      </w:r>
      <w:r w:rsidRPr="00515A4C">
        <w:tab/>
        <w:t>39</w:t>
      </w:r>
    </w:p>
    <w:p w:rsidR="00322A77" w:rsidRPr="00515A4C" w:rsidRDefault="00322A77">
      <w:pPr>
        <w:pStyle w:val="Innehll4"/>
      </w:pPr>
      <w:r w:rsidRPr="00515A4C">
        <w:t>Tidigare riksdagsbehandling</w:t>
      </w:r>
      <w:r w:rsidRPr="00515A4C">
        <w:tab/>
        <w:t>40</w:t>
      </w:r>
    </w:p>
    <w:p w:rsidR="00322A77" w:rsidRPr="00515A4C" w:rsidRDefault="00322A77">
      <w:pPr>
        <w:pStyle w:val="Innehll4"/>
      </w:pPr>
      <w:r w:rsidRPr="00515A4C">
        <w:t>Utskottets ställningstagande</w:t>
      </w:r>
      <w:r w:rsidRPr="00515A4C">
        <w:tab/>
        <w:t>41</w:t>
      </w:r>
    </w:p>
    <w:p w:rsidR="00322A77" w:rsidRPr="00515A4C" w:rsidRDefault="00322A77">
      <w:pPr>
        <w:pStyle w:val="Innehll2"/>
      </w:pPr>
      <w:r w:rsidRPr="00515A4C">
        <w:t>Retroaktivitetsförbud</w:t>
      </w:r>
      <w:r w:rsidRPr="00515A4C">
        <w:tab/>
        <w:t>41</w:t>
      </w:r>
    </w:p>
    <w:p w:rsidR="00322A77" w:rsidRPr="00515A4C" w:rsidRDefault="00322A77">
      <w:pPr>
        <w:pStyle w:val="Innehll4"/>
      </w:pPr>
      <w:r w:rsidRPr="00515A4C">
        <w:t>Motionerna</w:t>
      </w:r>
      <w:r w:rsidRPr="00515A4C">
        <w:tab/>
        <w:t>41</w:t>
      </w:r>
    </w:p>
    <w:p w:rsidR="00322A77" w:rsidRPr="00515A4C" w:rsidRDefault="00322A77">
      <w:pPr>
        <w:pStyle w:val="Innehll4"/>
      </w:pPr>
      <w:r w:rsidRPr="00515A4C">
        <w:t>Gällande regler m.m..</w:t>
      </w:r>
      <w:r w:rsidRPr="00515A4C">
        <w:tab/>
        <w:t>42</w:t>
      </w:r>
    </w:p>
    <w:p w:rsidR="00322A77" w:rsidRPr="00515A4C" w:rsidRDefault="00322A77">
      <w:pPr>
        <w:pStyle w:val="Innehll4"/>
      </w:pPr>
      <w:r w:rsidRPr="00515A4C">
        <w:t>Tidigare behandling</w:t>
      </w:r>
      <w:r w:rsidRPr="00515A4C">
        <w:tab/>
        <w:t>43</w:t>
      </w:r>
    </w:p>
    <w:p w:rsidR="00322A77" w:rsidRPr="00515A4C" w:rsidRDefault="00322A77">
      <w:pPr>
        <w:pStyle w:val="Innehll4"/>
      </w:pPr>
      <w:r w:rsidRPr="00515A4C">
        <w:t>Utskottets ställningstagande</w:t>
      </w:r>
      <w:r w:rsidRPr="00515A4C">
        <w:tab/>
        <w:t>44</w:t>
      </w:r>
    </w:p>
    <w:p w:rsidR="00322A77" w:rsidRPr="00515A4C" w:rsidRDefault="00322A77">
      <w:pPr>
        <w:pStyle w:val="Innehll2"/>
      </w:pPr>
      <w:r w:rsidRPr="00515A4C">
        <w:t>Skydd mot diskriminering</w:t>
      </w:r>
      <w:r w:rsidRPr="00515A4C">
        <w:tab/>
        <w:t>44</w:t>
      </w:r>
    </w:p>
    <w:p w:rsidR="00322A77" w:rsidRPr="00515A4C" w:rsidRDefault="00322A77">
      <w:pPr>
        <w:pStyle w:val="Innehll4"/>
      </w:pPr>
      <w:r w:rsidRPr="00515A4C">
        <w:t>Motionerna</w:t>
      </w:r>
      <w:r w:rsidRPr="00515A4C">
        <w:tab/>
        <w:t>44</w:t>
      </w:r>
    </w:p>
    <w:p w:rsidR="00322A77" w:rsidRPr="00515A4C" w:rsidRDefault="00322A77">
      <w:pPr>
        <w:pStyle w:val="Innehll4"/>
      </w:pPr>
      <w:r w:rsidRPr="00515A4C">
        <w:t>Tidigare behandling m.m.</w:t>
      </w:r>
      <w:r w:rsidRPr="00515A4C">
        <w:tab/>
        <w:t>47</w:t>
      </w:r>
    </w:p>
    <w:p w:rsidR="00322A77" w:rsidRPr="00515A4C" w:rsidRDefault="00322A77">
      <w:pPr>
        <w:pStyle w:val="Innehll4"/>
      </w:pPr>
      <w:r w:rsidRPr="00515A4C">
        <w:t>Utredning om en sammanhållen diskrimineringslagstiftning</w:t>
      </w:r>
      <w:r w:rsidRPr="00515A4C">
        <w:tab/>
        <w:t>49</w:t>
      </w:r>
    </w:p>
    <w:p w:rsidR="00322A77" w:rsidRPr="00515A4C" w:rsidRDefault="00322A77">
      <w:pPr>
        <w:pStyle w:val="Innehll4"/>
      </w:pPr>
      <w:r w:rsidRPr="00515A4C">
        <w:t>Utskottets ställningstagande</w:t>
      </w:r>
      <w:r w:rsidRPr="00515A4C">
        <w:tab/>
        <w:t>51</w:t>
      </w:r>
    </w:p>
    <w:p w:rsidR="00322A77" w:rsidRPr="00515A4C" w:rsidRDefault="00322A77">
      <w:pPr>
        <w:pStyle w:val="Innehll2"/>
      </w:pPr>
      <w:r w:rsidRPr="00515A4C">
        <w:t>Nationella minoriteter</w:t>
      </w:r>
      <w:r w:rsidRPr="00515A4C">
        <w:tab/>
        <w:t>52</w:t>
      </w:r>
    </w:p>
    <w:p w:rsidR="00322A77" w:rsidRPr="00515A4C" w:rsidRDefault="00322A77">
      <w:pPr>
        <w:pStyle w:val="Innehll4"/>
      </w:pPr>
      <w:r w:rsidRPr="00515A4C">
        <w:t>Motioner</w:t>
      </w:r>
      <w:r w:rsidRPr="00515A4C">
        <w:tab/>
        <w:t>52</w:t>
      </w:r>
    </w:p>
    <w:p w:rsidR="00322A77" w:rsidRPr="00515A4C" w:rsidRDefault="00322A77">
      <w:pPr>
        <w:pStyle w:val="Innehll4"/>
      </w:pPr>
      <w:r w:rsidRPr="00515A4C">
        <w:t>Bakgrund</w:t>
      </w:r>
      <w:r w:rsidRPr="00515A4C">
        <w:tab/>
        <w:t>54</w:t>
      </w:r>
    </w:p>
    <w:p w:rsidR="00322A77" w:rsidRPr="00515A4C" w:rsidRDefault="00322A77">
      <w:pPr>
        <w:pStyle w:val="Innehll4"/>
      </w:pPr>
      <w:r w:rsidRPr="00515A4C">
        <w:t>Tidigare behandling</w:t>
      </w:r>
      <w:r w:rsidRPr="00515A4C">
        <w:tab/>
        <w:t>59</w:t>
      </w:r>
    </w:p>
    <w:p w:rsidR="00322A77" w:rsidRPr="00515A4C" w:rsidRDefault="00322A77">
      <w:pPr>
        <w:pStyle w:val="Innehll4"/>
      </w:pPr>
      <w:r w:rsidRPr="00515A4C">
        <w:t>Utskottets ställningstagande</w:t>
      </w:r>
      <w:r w:rsidRPr="00515A4C">
        <w:tab/>
        <w:t>61</w:t>
      </w:r>
    </w:p>
    <w:p w:rsidR="00322A77" w:rsidRPr="00515A4C" w:rsidRDefault="00322A77">
      <w:pPr>
        <w:pStyle w:val="Innehll2"/>
      </w:pPr>
      <w:r w:rsidRPr="00515A4C">
        <w:t>Teckenspråket</w:t>
      </w:r>
      <w:r w:rsidRPr="00515A4C">
        <w:tab/>
        <w:t>62</w:t>
      </w:r>
    </w:p>
    <w:p w:rsidR="00322A77" w:rsidRPr="00515A4C" w:rsidRDefault="00322A77">
      <w:pPr>
        <w:pStyle w:val="Innehll4"/>
      </w:pPr>
      <w:r w:rsidRPr="00515A4C">
        <w:t>Motionen</w:t>
      </w:r>
      <w:r w:rsidRPr="00515A4C">
        <w:tab/>
        <w:t>62</w:t>
      </w:r>
    </w:p>
    <w:p w:rsidR="00322A77" w:rsidRPr="00515A4C" w:rsidRDefault="00322A77">
      <w:pPr>
        <w:pStyle w:val="Innehll4"/>
      </w:pPr>
      <w:r w:rsidRPr="00515A4C">
        <w:t>Bakgrund</w:t>
      </w:r>
      <w:r w:rsidRPr="00515A4C">
        <w:tab/>
        <w:t>63</w:t>
      </w:r>
    </w:p>
    <w:p w:rsidR="00322A77" w:rsidRPr="00515A4C" w:rsidRDefault="00322A77">
      <w:pPr>
        <w:pStyle w:val="Innehll4"/>
      </w:pPr>
      <w:r w:rsidRPr="00515A4C">
        <w:t>Tidigare behandling</w:t>
      </w:r>
      <w:r w:rsidRPr="00515A4C">
        <w:tab/>
        <w:t>64</w:t>
      </w:r>
    </w:p>
    <w:p w:rsidR="00322A77" w:rsidRPr="00515A4C" w:rsidRDefault="00322A77">
      <w:pPr>
        <w:pStyle w:val="Innehll4"/>
      </w:pPr>
      <w:r w:rsidRPr="00515A4C">
        <w:t>Utskottets ställningstagande</w:t>
      </w:r>
      <w:r w:rsidRPr="00515A4C">
        <w:tab/>
        <w:t>64</w:t>
      </w:r>
    </w:p>
    <w:p w:rsidR="00322A77" w:rsidRPr="00515A4C" w:rsidRDefault="00322A77">
      <w:pPr>
        <w:pStyle w:val="Innehll2"/>
      </w:pPr>
      <w:r w:rsidRPr="00515A4C">
        <w:t>Svenskt medborgarskap</w:t>
      </w:r>
      <w:r w:rsidRPr="00515A4C">
        <w:tab/>
        <w:t>64</w:t>
      </w:r>
    </w:p>
    <w:p w:rsidR="00322A77" w:rsidRPr="00515A4C" w:rsidRDefault="00322A77">
      <w:pPr>
        <w:pStyle w:val="Innehll4"/>
      </w:pPr>
      <w:r w:rsidRPr="00515A4C">
        <w:t>Motionen</w:t>
      </w:r>
      <w:r w:rsidRPr="00515A4C">
        <w:tab/>
        <w:t>64</w:t>
      </w:r>
    </w:p>
    <w:p w:rsidR="00322A77" w:rsidRPr="00515A4C" w:rsidRDefault="00322A77">
      <w:pPr>
        <w:pStyle w:val="Innehll4"/>
      </w:pPr>
      <w:r w:rsidRPr="00515A4C">
        <w:t>Bakgrund</w:t>
      </w:r>
      <w:r w:rsidRPr="00515A4C">
        <w:tab/>
        <w:t>65</w:t>
      </w:r>
    </w:p>
    <w:p w:rsidR="00322A77" w:rsidRPr="00515A4C" w:rsidRDefault="00322A77">
      <w:pPr>
        <w:pStyle w:val="Innehll4"/>
      </w:pPr>
      <w:r w:rsidRPr="00515A4C">
        <w:t>Tidigare behandling</w:t>
      </w:r>
      <w:r w:rsidRPr="00515A4C">
        <w:tab/>
        <w:t>65</w:t>
      </w:r>
    </w:p>
    <w:p w:rsidR="00322A77" w:rsidRPr="00515A4C" w:rsidRDefault="00322A77">
      <w:pPr>
        <w:pStyle w:val="Innehll4"/>
      </w:pPr>
      <w:r w:rsidRPr="00515A4C">
        <w:t>Utskottets ställningstagande</w:t>
      </w:r>
      <w:r w:rsidRPr="00515A4C">
        <w:tab/>
        <w:t>67</w:t>
      </w:r>
    </w:p>
    <w:p w:rsidR="00322A77" w:rsidRPr="00515A4C" w:rsidRDefault="00322A77">
      <w:pPr>
        <w:pStyle w:val="Innehll2"/>
      </w:pPr>
      <w:r w:rsidRPr="00515A4C">
        <w:t>Äganderätten</w:t>
      </w:r>
      <w:r w:rsidRPr="00515A4C">
        <w:tab/>
        <w:t>67</w:t>
      </w:r>
    </w:p>
    <w:p w:rsidR="00322A77" w:rsidRPr="00515A4C" w:rsidRDefault="00322A77">
      <w:pPr>
        <w:pStyle w:val="Innehll4"/>
      </w:pPr>
      <w:r w:rsidRPr="00515A4C">
        <w:t>Motionerna</w:t>
      </w:r>
      <w:r w:rsidRPr="00515A4C">
        <w:tab/>
        <w:t>67</w:t>
      </w:r>
    </w:p>
    <w:p w:rsidR="00322A77" w:rsidRPr="00515A4C" w:rsidRDefault="00322A77">
      <w:pPr>
        <w:pStyle w:val="Innehll4"/>
      </w:pPr>
      <w:r w:rsidRPr="00515A4C">
        <w:t>Gällande regler</w:t>
      </w:r>
      <w:r w:rsidRPr="00515A4C">
        <w:tab/>
        <w:t>69</w:t>
      </w:r>
    </w:p>
    <w:p w:rsidR="00322A77" w:rsidRPr="00515A4C" w:rsidRDefault="00322A77">
      <w:pPr>
        <w:pStyle w:val="Innehll4"/>
      </w:pPr>
      <w:r w:rsidRPr="00515A4C">
        <w:t>Tidigare riksdagsbehandling m.m.</w:t>
      </w:r>
      <w:r w:rsidRPr="00515A4C">
        <w:tab/>
        <w:t>70</w:t>
      </w:r>
    </w:p>
    <w:p w:rsidR="00322A77" w:rsidRPr="00515A4C" w:rsidRDefault="00322A77">
      <w:pPr>
        <w:pStyle w:val="Innehll4"/>
      </w:pPr>
      <w:r w:rsidRPr="00515A4C">
        <w:t>Utskottets ställningstagande</w:t>
      </w:r>
      <w:r w:rsidRPr="00515A4C">
        <w:tab/>
        <w:t>71</w:t>
      </w:r>
    </w:p>
    <w:p w:rsidR="00322A77" w:rsidRPr="00515A4C" w:rsidRDefault="00322A77">
      <w:pPr>
        <w:pStyle w:val="Innehll2"/>
      </w:pPr>
      <w:r w:rsidRPr="00515A4C">
        <w:t>Internationella kvinnodagen</w:t>
      </w:r>
      <w:r w:rsidRPr="00515A4C">
        <w:tab/>
        <w:t>71</w:t>
      </w:r>
    </w:p>
    <w:p w:rsidR="00322A77" w:rsidRPr="00515A4C" w:rsidRDefault="00322A77">
      <w:pPr>
        <w:pStyle w:val="Innehll4"/>
      </w:pPr>
      <w:r w:rsidRPr="00515A4C">
        <w:t>Motionen</w:t>
      </w:r>
      <w:r w:rsidRPr="00515A4C">
        <w:tab/>
        <w:t>71</w:t>
      </w:r>
    </w:p>
    <w:p w:rsidR="00322A77" w:rsidRPr="00515A4C" w:rsidRDefault="00322A77">
      <w:pPr>
        <w:pStyle w:val="Innehll4"/>
      </w:pPr>
      <w:r w:rsidRPr="00515A4C">
        <w:t>Bakgrund</w:t>
      </w:r>
      <w:r w:rsidRPr="00515A4C">
        <w:tab/>
        <w:t>72</w:t>
      </w:r>
    </w:p>
    <w:p w:rsidR="00322A77" w:rsidRPr="00515A4C" w:rsidRDefault="00322A77">
      <w:pPr>
        <w:pStyle w:val="Innehll4"/>
      </w:pPr>
      <w:r w:rsidRPr="00515A4C">
        <w:t>Utskottets ställningstagande</w:t>
      </w:r>
      <w:r w:rsidRPr="00515A4C">
        <w:tab/>
        <w:t>73</w:t>
      </w:r>
    </w:p>
    <w:p w:rsidR="00322A77" w:rsidRPr="00515A4C" w:rsidRDefault="00322A77">
      <w:pPr>
        <w:pStyle w:val="Innehll2"/>
      </w:pPr>
      <w:r w:rsidRPr="00515A4C">
        <w:t>Upprättelse för personer som placerades i interneringsläger</w:t>
      </w:r>
      <w:r w:rsidRPr="00515A4C">
        <w:tab/>
        <w:t>73</w:t>
      </w:r>
    </w:p>
    <w:p w:rsidR="00322A77" w:rsidRPr="00515A4C" w:rsidRDefault="00322A77">
      <w:pPr>
        <w:pStyle w:val="Innehll4"/>
      </w:pPr>
      <w:r w:rsidRPr="00515A4C">
        <w:t>Motionen</w:t>
      </w:r>
      <w:r w:rsidRPr="00515A4C">
        <w:tab/>
        <w:t>73</w:t>
      </w:r>
    </w:p>
    <w:p w:rsidR="00322A77" w:rsidRPr="00515A4C" w:rsidRDefault="00322A77">
      <w:pPr>
        <w:pStyle w:val="Innehll4"/>
      </w:pPr>
      <w:r w:rsidRPr="00515A4C">
        <w:t>Tidigare behandling</w:t>
      </w:r>
      <w:r w:rsidRPr="00515A4C">
        <w:tab/>
        <w:t>73</w:t>
      </w:r>
    </w:p>
    <w:p w:rsidR="00322A77" w:rsidRPr="00515A4C" w:rsidRDefault="00322A77">
      <w:pPr>
        <w:pStyle w:val="Innehll4"/>
      </w:pPr>
      <w:r w:rsidRPr="00515A4C">
        <w:t>Utskottets ställningstagande</w:t>
      </w:r>
      <w:r w:rsidRPr="00515A4C">
        <w:tab/>
        <w:t>76</w:t>
      </w:r>
    </w:p>
    <w:p w:rsidR="00322A77" w:rsidRPr="00515A4C" w:rsidRDefault="00322A77">
      <w:pPr>
        <w:pStyle w:val="Innehll2"/>
      </w:pPr>
      <w:r w:rsidRPr="00515A4C">
        <w:t>Rättigheter för människoapor</w:t>
      </w:r>
      <w:r w:rsidRPr="00515A4C">
        <w:tab/>
        <w:t>76</w:t>
      </w:r>
    </w:p>
    <w:p w:rsidR="00322A77" w:rsidRPr="00515A4C" w:rsidRDefault="00322A77">
      <w:pPr>
        <w:pStyle w:val="Innehll4"/>
      </w:pPr>
      <w:r w:rsidRPr="00515A4C">
        <w:t>Motionen</w:t>
      </w:r>
      <w:r w:rsidRPr="00515A4C">
        <w:tab/>
        <w:t>76</w:t>
      </w:r>
    </w:p>
    <w:p w:rsidR="00322A77" w:rsidRPr="00515A4C" w:rsidRDefault="00322A77">
      <w:pPr>
        <w:pStyle w:val="Innehll4"/>
      </w:pPr>
      <w:r w:rsidRPr="00515A4C">
        <w:t>Gällande regler</w:t>
      </w:r>
      <w:r w:rsidRPr="00515A4C">
        <w:tab/>
        <w:t>76</w:t>
      </w:r>
    </w:p>
    <w:p w:rsidR="00322A77" w:rsidRPr="00515A4C" w:rsidRDefault="00322A77">
      <w:pPr>
        <w:pStyle w:val="Innehll4"/>
      </w:pPr>
      <w:r w:rsidRPr="00515A4C">
        <w:t>Tidigare behandling</w:t>
      </w:r>
      <w:r w:rsidRPr="00515A4C">
        <w:tab/>
        <w:t>77</w:t>
      </w:r>
    </w:p>
    <w:p w:rsidR="00322A77" w:rsidRPr="00515A4C" w:rsidRDefault="00322A77">
      <w:pPr>
        <w:pStyle w:val="Innehll4"/>
      </w:pPr>
      <w:r w:rsidRPr="00515A4C">
        <w:t>Utskottets ställningstagande</w:t>
      </w:r>
      <w:r w:rsidRPr="00515A4C">
        <w:tab/>
        <w:t>77</w:t>
      </w:r>
    </w:p>
    <w:p w:rsidR="00322A77" w:rsidRPr="00515A4C" w:rsidRDefault="00322A77">
      <w:pPr>
        <w:pStyle w:val="Innehll2"/>
      </w:pPr>
      <w:r w:rsidRPr="00515A4C">
        <w:t>Partibidrag från fackligt anslutna personer</w:t>
      </w:r>
      <w:r w:rsidRPr="00515A4C">
        <w:tab/>
        <w:t>77</w:t>
      </w:r>
    </w:p>
    <w:p w:rsidR="00322A77" w:rsidRPr="00515A4C" w:rsidRDefault="00322A77">
      <w:pPr>
        <w:pStyle w:val="Innehll4"/>
      </w:pPr>
      <w:r w:rsidRPr="00515A4C">
        <w:t>Motionen</w:t>
      </w:r>
      <w:r w:rsidRPr="00515A4C">
        <w:tab/>
        <w:t>77</w:t>
      </w:r>
    </w:p>
    <w:p w:rsidR="00322A77" w:rsidRPr="00515A4C" w:rsidRDefault="00322A77">
      <w:pPr>
        <w:pStyle w:val="Innehll4"/>
      </w:pPr>
      <w:r w:rsidRPr="00515A4C">
        <w:t>Bakgrund</w:t>
      </w:r>
      <w:r w:rsidRPr="00515A4C">
        <w:tab/>
        <w:t>78</w:t>
      </w:r>
    </w:p>
    <w:p w:rsidR="00322A77" w:rsidRPr="00515A4C" w:rsidRDefault="00322A77">
      <w:pPr>
        <w:pStyle w:val="Innehll4"/>
      </w:pPr>
      <w:r w:rsidRPr="00515A4C">
        <w:t>Utskottets ställningstagande</w:t>
      </w:r>
      <w:r w:rsidRPr="00515A4C">
        <w:tab/>
        <w:t>79</w:t>
      </w:r>
    </w:p>
    <w:p w:rsidR="00322A77" w:rsidRPr="00515A4C" w:rsidRDefault="00322A77">
      <w:pPr>
        <w:pStyle w:val="Innehll1"/>
      </w:pPr>
      <w:r w:rsidRPr="00515A4C">
        <w:t>Reservationer</w:t>
      </w:r>
      <w:r w:rsidRPr="00515A4C">
        <w:tab/>
        <w:t>80</w:t>
      </w:r>
    </w:p>
    <w:p w:rsidR="00322A77" w:rsidRPr="00515A4C" w:rsidRDefault="00322A77">
      <w:pPr>
        <w:pStyle w:val="Innehll2"/>
        <w:tabs>
          <w:tab w:val="left" w:pos="568"/>
        </w:tabs>
      </w:pPr>
      <w:r w:rsidRPr="00515A4C">
        <w:t>1.</w:t>
      </w:r>
      <w:r w:rsidRPr="00515A4C">
        <w:tab/>
        <w:t>Förstärkt skydd för fri- och rättigheter (punkt 1)</w:t>
      </w:r>
      <w:r w:rsidRPr="00515A4C">
        <w:tab/>
        <w:t>80</w:t>
      </w:r>
    </w:p>
    <w:p w:rsidR="00322A77" w:rsidRPr="00515A4C" w:rsidRDefault="00322A77">
      <w:pPr>
        <w:pStyle w:val="Innehll2"/>
        <w:tabs>
          <w:tab w:val="left" w:pos="568"/>
        </w:tabs>
      </w:pPr>
      <w:r w:rsidRPr="00515A4C">
        <w:t>2.</w:t>
      </w:r>
      <w:r w:rsidRPr="00515A4C">
        <w:tab/>
        <w:t>En utredning om mänskliga fri- och rättigheter (punkt 2)</w:t>
      </w:r>
      <w:r w:rsidRPr="00515A4C">
        <w:tab/>
        <w:t>81</w:t>
      </w:r>
    </w:p>
    <w:p w:rsidR="00322A77" w:rsidRPr="00515A4C" w:rsidRDefault="00322A77">
      <w:pPr>
        <w:pStyle w:val="Innehll2"/>
        <w:tabs>
          <w:tab w:val="left" w:pos="568"/>
        </w:tabs>
      </w:pPr>
      <w:r w:rsidRPr="00515A4C">
        <w:t>3.</w:t>
      </w:r>
      <w:r w:rsidRPr="00515A4C">
        <w:tab/>
        <w:t>Värdekommission (punkt 3)</w:t>
      </w:r>
      <w:r w:rsidRPr="00515A4C">
        <w:tab/>
        <w:t>82</w:t>
      </w:r>
    </w:p>
    <w:p w:rsidR="00322A77" w:rsidRPr="00515A4C" w:rsidRDefault="00322A77">
      <w:pPr>
        <w:pStyle w:val="Innehll2"/>
        <w:tabs>
          <w:tab w:val="left" w:pos="568"/>
        </w:tabs>
      </w:pPr>
      <w:r w:rsidRPr="00515A4C">
        <w:t>4.</w:t>
      </w:r>
      <w:r w:rsidRPr="00515A4C">
        <w:tab/>
        <w:t>Samvetsklausul (punkt 5 – villkorad)</w:t>
      </w:r>
      <w:r w:rsidRPr="00515A4C">
        <w:tab/>
        <w:t>83</w:t>
      </w:r>
    </w:p>
    <w:p w:rsidR="00322A77" w:rsidRPr="00515A4C" w:rsidRDefault="00322A77">
      <w:pPr>
        <w:pStyle w:val="Innehll2"/>
        <w:tabs>
          <w:tab w:val="left" w:pos="568"/>
        </w:tabs>
      </w:pPr>
      <w:r w:rsidRPr="00515A4C">
        <w:t>5.</w:t>
      </w:r>
      <w:r w:rsidRPr="00515A4C">
        <w:tab/>
        <w:t>Åtgärder mot det politiska våldet (punkt 7)</w:t>
      </w:r>
      <w:r w:rsidRPr="00515A4C">
        <w:tab/>
        <w:t>84</w:t>
      </w:r>
    </w:p>
    <w:p w:rsidR="00322A77" w:rsidRPr="00515A4C" w:rsidRDefault="00322A77">
      <w:pPr>
        <w:pStyle w:val="Innehll2"/>
        <w:tabs>
          <w:tab w:val="left" w:pos="568"/>
        </w:tabs>
      </w:pPr>
      <w:r w:rsidRPr="00515A4C">
        <w:t>6.</w:t>
      </w:r>
      <w:r w:rsidRPr="00515A4C">
        <w:tab/>
        <w:t>Negativ föreningsfrihet (punkt 8)</w:t>
      </w:r>
      <w:r w:rsidRPr="00515A4C">
        <w:tab/>
        <w:t>85</w:t>
      </w:r>
    </w:p>
    <w:p w:rsidR="00322A77" w:rsidRPr="00515A4C" w:rsidRDefault="00322A77">
      <w:pPr>
        <w:pStyle w:val="Innehll2"/>
        <w:tabs>
          <w:tab w:val="left" w:pos="568"/>
        </w:tabs>
      </w:pPr>
      <w:r w:rsidRPr="00515A4C">
        <w:t>7.</w:t>
      </w:r>
      <w:r w:rsidRPr="00515A4C">
        <w:tab/>
        <w:t>Retroaktivitetsförbud (punkt 9)</w:t>
      </w:r>
      <w:r w:rsidRPr="00515A4C">
        <w:tab/>
        <w:t>85</w:t>
      </w:r>
    </w:p>
    <w:p w:rsidR="00322A77" w:rsidRPr="00515A4C" w:rsidRDefault="00322A77">
      <w:pPr>
        <w:pStyle w:val="Innehll2"/>
        <w:tabs>
          <w:tab w:val="left" w:pos="568"/>
        </w:tabs>
      </w:pPr>
      <w:r w:rsidRPr="00515A4C">
        <w:t>8.</w:t>
      </w:r>
      <w:r w:rsidRPr="00515A4C">
        <w:tab/>
        <w:t>Skyddet mot diskriminering i 2 kap. 15 § regeringsformen (punkt 10)</w:t>
      </w:r>
      <w:r w:rsidRPr="00515A4C">
        <w:tab/>
        <w:t>86</w:t>
      </w:r>
    </w:p>
    <w:p w:rsidR="00322A77" w:rsidRPr="00515A4C" w:rsidRDefault="00322A77">
      <w:pPr>
        <w:pStyle w:val="Innehll2"/>
        <w:tabs>
          <w:tab w:val="left" w:pos="568"/>
        </w:tabs>
      </w:pPr>
      <w:r w:rsidRPr="00515A4C">
        <w:t>9.</w:t>
      </w:r>
      <w:r w:rsidRPr="00515A4C">
        <w:tab/>
        <w:t>Skyddet mot diskriminering i 2 kap. 15 § regeringsformen (punkt 10)</w:t>
      </w:r>
      <w:r w:rsidRPr="00515A4C">
        <w:tab/>
        <w:t>87</w:t>
      </w:r>
    </w:p>
    <w:p w:rsidR="00322A77" w:rsidRPr="00515A4C" w:rsidRDefault="00322A77">
      <w:pPr>
        <w:pStyle w:val="Innehll2"/>
        <w:tabs>
          <w:tab w:val="left" w:pos="851"/>
        </w:tabs>
      </w:pPr>
      <w:r w:rsidRPr="00515A4C">
        <w:t>10.</w:t>
      </w:r>
      <w:r w:rsidRPr="00515A4C">
        <w:tab/>
        <w:t>Skyddet mot diskriminering i 2 kap. 15 § regeringsformen (punkt 10 – villkorad)</w:t>
      </w:r>
      <w:r w:rsidRPr="00515A4C">
        <w:tab/>
        <w:t>87</w:t>
      </w:r>
    </w:p>
    <w:p w:rsidR="00322A77" w:rsidRPr="00515A4C" w:rsidRDefault="00322A77">
      <w:pPr>
        <w:pStyle w:val="Innehll2"/>
      </w:pPr>
      <w:r w:rsidRPr="00515A4C">
        <w:t>Ställningstagande</w:t>
      </w:r>
      <w:r w:rsidRPr="00515A4C">
        <w:tab/>
        <w:t>87</w:t>
      </w:r>
    </w:p>
    <w:p w:rsidR="00322A77" w:rsidRPr="00515A4C" w:rsidRDefault="00322A77">
      <w:pPr>
        <w:pStyle w:val="Innehll2"/>
        <w:tabs>
          <w:tab w:val="left" w:pos="851"/>
        </w:tabs>
      </w:pPr>
      <w:r w:rsidRPr="00515A4C">
        <w:t>11.</w:t>
      </w:r>
      <w:r w:rsidRPr="00515A4C">
        <w:tab/>
        <w:t>Begreppet sexuell läggning i 1 kap. 2 § regeringsformen (punkt 11)</w:t>
      </w:r>
      <w:r w:rsidRPr="00515A4C">
        <w:tab/>
        <w:t>88</w:t>
      </w:r>
    </w:p>
    <w:p w:rsidR="00322A77" w:rsidRPr="00515A4C" w:rsidRDefault="00322A77">
      <w:pPr>
        <w:pStyle w:val="Innehll2"/>
        <w:tabs>
          <w:tab w:val="left" w:pos="851"/>
        </w:tabs>
      </w:pPr>
      <w:r w:rsidRPr="00515A4C">
        <w:t>12.</w:t>
      </w:r>
      <w:r w:rsidRPr="00515A4C">
        <w:tab/>
        <w:t>Samordning av ombudsmän m.m. (punkt 12)</w:t>
      </w:r>
      <w:r w:rsidRPr="00515A4C">
        <w:tab/>
        <w:t>88</w:t>
      </w:r>
    </w:p>
    <w:p w:rsidR="00322A77" w:rsidRPr="00515A4C" w:rsidRDefault="00322A77">
      <w:pPr>
        <w:pStyle w:val="Innehll2"/>
        <w:tabs>
          <w:tab w:val="left" w:pos="851"/>
        </w:tabs>
      </w:pPr>
      <w:r w:rsidRPr="00515A4C">
        <w:t>13.</w:t>
      </w:r>
      <w:r w:rsidRPr="00515A4C">
        <w:tab/>
        <w:t>Samordning av ombudsmän m.m. (punkt 12)</w:t>
      </w:r>
      <w:r w:rsidRPr="00515A4C">
        <w:tab/>
        <w:t>89</w:t>
      </w:r>
    </w:p>
    <w:p w:rsidR="00322A77" w:rsidRPr="00515A4C" w:rsidRDefault="00322A77">
      <w:pPr>
        <w:pStyle w:val="Innehll2"/>
        <w:tabs>
          <w:tab w:val="left" w:pos="851"/>
        </w:tabs>
      </w:pPr>
      <w:r w:rsidRPr="00515A4C">
        <w:t>14.</w:t>
      </w:r>
      <w:r w:rsidRPr="00515A4C">
        <w:tab/>
        <w:t>Översyn av lagstiftningen (punkt 14)</w:t>
      </w:r>
      <w:r w:rsidRPr="00515A4C">
        <w:tab/>
        <w:t>90</w:t>
      </w:r>
    </w:p>
    <w:p w:rsidR="00322A77" w:rsidRPr="00515A4C" w:rsidRDefault="00322A77">
      <w:pPr>
        <w:pStyle w:val="Innehll2"/>
        <w:tabs>
          <w:tab w:val="left" w:pos="851"/>
        </w:tabs>
      </w:pPr>
      <w:r w:rsidRPr="00515A4C">
        <w:t>15.</w:t>
      </w:r>
      <w:r w:rsidRPr="00515A4C">
        <w:tab/>
        <w:t>ILO-konventionen nr 169 (punkt 21)</w:t>
      </w:r>
      <w:r w:rsidRPr="00515A4C">
        <w:tab/>
        <w:t>90</w:t>
      </w:r>
    </w:p>
    <w:p w:rsidR="00322A77" w:rsidRPr="00515A4C" w:rsidRDefault="00322A77">
      <w:pPr>
        <w:pStyle w:val="Innehll2"/>
        <w:tabs>
          <w:tab w:val="left" w:pos="851"/>
        </w:tabs>
      </w:pPr>
      <w:r w:rsidRPr="00515A4C">
        <w:t>16.</w:t>
      </w:r>
      <w:r w:rsidRPr="00515A4C">
        <w:tab/>
        <w:t>Svenskt medborgarskap (punkt 23)</w:t>
      </w:r>
      <w:r w:rsidRPr="00515A4C">
        <w:tab/>
        <w:t>91</w:t>
      </w:r>
    </w:p>
    <w:p w:rsidR="00322A77" w:rsidRPr="00515A4C" w:rsidRDefault="00322A77">
      <w:pPr>
        <w:pStyle w:val="Innehll2"/>
        <w:tabs>
          <w:tab w:val="left" w:pos="851"/>
        </w:tabs>
      </w:pPr>
      <w:r w:rsidRPr="00515A4C">
        <w:t>17.</w:t>
      </w:r>
      <w:r w:rsidRPr="00515A4C">
        <w:tab/>
        <w:t>Äganderätt (punkt 24)</w:t>
      </w:r>
      <w:r w:rsidRPr="00515A4C">
        <w:tab/>
        <w:t>91</w:t>
      </w:r>
    </w:p>
    <w:p w:rsidR="00322A77" w:rsidRPr="00515A4C" w:rsidRDefault="00322A77">
      <w:pPr>
        <w:pStyle w:val="Innehll2"/>
        <w:tabs>
          <w:tab w:val="left" w:pos="851"/>
        </w:tabs>
      </w:pPr>
      <w:r w:rsidRPr="00515A4C">
        <w:t>18.</w:t>
      </w:r>
      <w:r w:rsidRPr="00515A4C">
        <w:tab/>
        <w:t>Internationella kvinnodagen (punkt 25)</w:t>
      </w:r>
      <w:r w:rsidRPr="00515A4C">
        <w:tab/>
        <w:t>92</w:t>
      </w:r>
    </w:p>
    <w:p w:rsidR="00322A77" w:rsidRPr="00515A4C" w:rsidRDefault="00322A77">
      <w:pPr>
        <w:pStyle w:val="Innehll2"/>
        <w:tabs>
          <w:tab w:val="left" w:pos="851"/>
        </w:tabs>
      </w:pPr>
      <w:r w:rsidRPr="00515A4C">
        <w:t>19.</w:t>
      </w:r>
      <w:r w:rsidRPr="00515A4C">
        <w:tab/>
        <w:t>Upprättelse för personer som placerades i interneringsläger (punkt 26)</w:t>
      </w:r>
      <w:r w:rsidRPr="00515A4C">
        <w:tab/>
        <w:t>93</w:t>
      </w:r>
    </w:p>
    <w:p w:rsidR="00322A77" w:rsidRPr="00515A4C" w:rsidRDefault="00322A77">
      <w:pPr>
        <w:pStyle w:val="Innehll2"/>
        <w:tabs>
          <w:tab w:val="left" w:pos="851"/>
        </w:tabs>
      </w:pPr>
      <w:r w:rsidRPr="00515A4C">
        <w:t>20.</w:t>
      </w:r>
      <w:r w:rsidRPr="00515A4C">
        <w:tab/>
        <w:t>Partibidrag från fackligt anslutna personer (punkt 28)</w:t>
      </w:r>
      <w:r w:rsidRPr="00515A4C">
        <w:tab/>
        <w:t>94</w:t>
      </w:r>
    </w:p>
    <w:p w:rsidR="00322A77" w:rsidRPr="00515A4C" w:rsidRDefault="00322A77">
      <w:pPr>
        <w:pStyle w:val="Innehll4"/>
      </w:pPr>
      <w:r w:rsidRPr="00515A4C">
        <w:rPr>
          <w:snapToGrid w:val="0"/>
        </w:rPr>
        <w:t>Ställningstagande</w:t>
      </w:r>
      <w:r w:rsidRPr="00515A4C">
        <w:tab/>
        <w:t>94</w:t>
      </w:r>
    </w:p>
    <w:p w:rsidR="00322A77" w:rsidRPr="00515A4C" w:rsidRDefault="00322A77">
      <w:pPr>
        <w:pStyle w:val="Innehll1"/>
      </w:pPr>
      <w:r w:rsidRPr="00515A4C">
        <w:t>Särskilda yttranden</w:t>
      </w:r>
      <w:r w:rsidRPr="00515A4C">
        <w:tab/>
        <w:t>95</w:t>
      </w:r>
    </w:p>
    <w:p w:rsidR="00322A77" w:rsidRPr="00515A4C" w:rsidRDefault="00322A77">
      <w:pPr>
        <w:pStyle w:val="Innehll2"/>
      </w:pPr>
      <w:r w:rsidRPr="00515A4C">
        <w:t>1. Förbud mot rasistiska organisationer (punkt 6)</w:t>
      </w:r>
      <w:r w:rsidRPr="00515A4C">
        <w:tab/>
        <w:t>95</w:t>
      </w:r>
    </w:p>
    <w:p w:rsidR="00322A77" w:rsidRPr="00515A4C" w:rsidRDefault="00322A77">
      <w:pPr>
        <w:pStyle w:val="Innehll2"/>
      </w:pPr>
      <w:r w:rsidRPr="00515A4C">
        <w:t>2. Samordning av ombudsmän m.m. (punkt 12)</w:t>
      </w:r>
      <w:r w:rsidRPr="00515A4C">
        <w:tab/>
        <w:t>95</w:t>
      </w:r>
    </w:p>
    <w:p w:rsidR="00322A77" w:rsidRPr="00515A4C" w:rsidRDefault="00322A77">
      <w:pPr>
        <w:pStyle w:val="Innehll2"/>
      </w:pPr>
      <w:r w:rsidRPr="00515A4C">
        <w:t>3. Utvidgning av det samiska förvaltningsområdet (punkt 17)</w:t>
      </w:r>
      <w:r w:rsidRPr="00515A4C">
        <w:tab/>
        <w:t>95</w:t>
      </w:r>
    </w:p>
    <w:p w:rsidR="00322A77" w:rsidRPr="00515A4C" w:rsidRDefault="00322A77">
      <w:pPr>
        <w:pStyle w:val="Innehll2"/>
      </w:pPr>
      <w:r w:rsidRPr="00515A4C">
        <w:t>4. Omfattningen av det finskspråkiga förvaltningsområdet (punkt 18)</w:t>
      </w:r>
      <w:r w:rsidRPr="00515A4C">
        <w:tab/>
        <w:t>96</w:t>
      </w:r>
    </w:p>
    <w:p w:rsidR="00322A77" w:rsidRPr="00515A4C" w:rsidRDefault="00322A77">
      <w:pPr>
        <w:pStyle w:val="Innehll2"/>
      </w:pPr>
      <w:r w:rsidRPr="00515A4C">
        <w:t>5. Minoritetsfrågor (punkt 19)</w:t>
      </w:r>
      <w:r w:rsidRPr="00515A4C">
        <w:tab/>
        <w:t>96</w:t>
      </w:r>
    </w:p>
    <w:p w:rsidR="00322A77" w:rsidRPr="00515A4C" w:rsidRDefault="00322A77">
      <w:pPr>
        <w:pStyle w:val="Innehll2"/>
      </w:pPr>
      <w:r w:rsidRPr="00515A4C">
        <w:t>6. Internationella kvinnodagen (punkt 23)</w:t>
      </w:r>
      <w:r w:rsidRPr="00515A4C">
        <w:tab/>
        <w:t>96</w:t>
      </w:r>
    </w:p>
    <w:p w:rsidR="00322A77" w:rsidRPr="00515A4C" w:rsidRDefault="00322A77">
      <w:pPr>
        <w:pStyle w:val="Innehll1"/>
      </w:pPr>
      <w:r w:rsidRPr="00515A4C">
        <w:t>Bilaga 1 Förteckning över behandlade förslag</w:t>
      </w:r>
      <w:r w:rsidRPr="00515A4C">
        <w:tab/>
        <w:t>97</w:t>
      </w:r>
    </w:p>
    <w:p w:rsidR="00322A77" w:rsidRPr="00515A4C" w:rsidRDefault="00322A77">
      <w:pPr>
        <w:pStyle w:val="Innehll2"/>
      </w:pPr>
      <w:r w:rsidRPr="00515A4C">
        <w:t>Motioner från allmänna motionstiden</w:t>
      </w:r>
      <w:r w:rsidRPr="00515A4C">
        <w:tab/>
        <w:t>97</w:t>
      </w:r>
    </w:p>
    <w:p w:rsidR="00322A77" w:rsidRPr="00515A4C" w:rsidRDefault="00322A77">
      <w:pPr>
        <w:pStyle w:val="Innehll1"/>
      </w:pPr>
      <w:r w:rsidRPr="00515A4C">
        <w:t>Bilaga 2 Reservanternas lagförslag (reservation 8)</w:t>
      </w:r>
      <w:r w:rsidRPr="00515A4C">
        <w:tab/>
        <w:t>103</w:t>
      </w:r>
    </w:p>
    <w:p w:rsidR="00322A77" w:rsidRPr="00515A4C" w:rsidRDefault="00322A77">
      <w:pPr>
        <w:pStyle w:val="Innehll2"/>
      </w:pPr>
      <w:r w:rsidRPr="00515A4C">
        <w:t>Förslag till lag om ändring i regeringsformen</w:t>
      </w:r>
      <w:r w:rsidRPr="00515A4C">
        <w:tab/>
        <w:t>103</w:t>
      </w:r>
    </w:p>
    <w:p w:rsidR="00322A77" w:rsidRPr="00515A4C" w:rsidRDefault="00322A77">
      <w:pPr>
        <w:sectPr w:rsidR="00000000" w:rsidRPr="00515A4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22A77" w:rsidRPr="00515A4C" w:rsidRDefault="00322A77">
      <w:pPr>
        <w:pStyle w:val="Rubrik1"/>
        <w:rPr>
          <w:noProof w:val="0"/>
        </w:rPr>
      </w:pPr>
      <w:bookmarkStart w:id="5" w:name="_Toc34039138"/>
      <w:r w:rsidRPr="00515A4C">
        <w:rPr>
          <w:noProof w:val="0"/>
        </w:rPr>
        <w:t>Utskottets förslag till riksdagsbeslut</w:t>
      </w:r>
      <w:bookmarkEnd w:id="5"/>
    </w:p>
    <w:p w:rsidR="00322A77" w:rsidRPr="00515A4C" w:rsidRDefault="00322A77">
      <w:pPr>
        <w:pStyle w:val="Frslagspunkt"/>
        <w:spacing w:before="0"/>
        <w:outlineLvl w:val="0"/>
        <w:rPr>
          <w:noProof w:val="0"/>
        </w:rPr>
      </w:pPr>
      <w:r w:rsidRPr="00515A4C">
        <w:rPr>
          <w:noProof w:val="0"/>
        </w:rPr>
        <w:t>1.</w:t>
      </w:r>
      <w:r w:rsidRPr="00515A4C">
        <w:rPr>
          <w:noProof w:val="0"/>
        </w:rPr>
        <w:tab/>
        <w:t>Förstärkt skydd för fri- och rättigheter</w:t>
      </w:r>
    </w:p>
    <w:p w:rsidR="00322A77" w:rsidRPr="00515A4C" w:rsidRDefault="00322A77">
      <w:pPr>
        <w:pStyle w:val="Frslagstext"/>
      </w:pPr>
      <w:r w:rsidRPr="00515A4C">
        <w:t xml:space="preserve">Riksdagen avslår motionerna 2002/03:K379 yrkandena 7, 8 och 10 samt 2002/03:K386. </w:t>
      </w:r>
    </w:p>
    <w:p w:rsidR="00322A77" w:rsidRPr="00515A4C" w:rsidRDefault="00322A77">
      <w:pPr>
        <w:pStyle w:val="Reservationshnvisning"/>
      </w:pPr>
      <w:r w:rsidRPr="00515A4C">
        <w:t>Reservation 1 (m)</w:t>
      </w:r>
      <w:bookmarkStart w:id="6" w:name="RESPARTI001"/>
      <w:bookmarkEnd w:id="6"/>
    </w:p>
    <w:p w:rsidR="00322A77" w:rsidRPr="00515A4C" w:rsidRDefault="00322A77">
      <w:pPr>
        <w:pStyle w:val="Frslagspunkt"/>
        <w:outlineLvl w:val="0"/>
        <w:rPr>
          <w:noProof w:val="0"/>
        </w:rPr>
      </w:pPr>
      <w:r w:rsidRPr="00515A4C">
        <w:rPr>
          <w:noProof w:val="0"/>
        </w:rPr>
        <w:t>2.</w:t>
      </w:r>
      <w:r w:rsidRPr="00515A4C">
        <w:rPr>
          <w:noProof w:val="0"/>
        </w:rPr>
        <w:tab/>
        <w:t>En utredning om mänskliga fri- och rättigheter</w:t>
      </w:r>
    </w:p>
    <w:p w:rsidR="00322A77" w:rsidRPr="00515A4C" w:rsidRDefault="00322A77">
      <w:pPr>
        <w:pStyle w:val="Frslagstext"/>
      </w:pPr>
      <w:r w:rsidRPr="00515A4C">
        <w:t xml:space="preserve">Riksdagen avslår motion 2002/03:K375.       </w:t>
      </w:r>
    </w:p>
    <w:p w:rsidR="00322A77" w:rsidRPr="00515A4C" w:rsidRDefault="00322A77">
      <w:pPr>
        <w:pStyle w:val="Reservationshnvisning"/>
      </w:pPr>
      <w:r w:rsidRPr="00515A4C">
        <w:t>Reservation 2 (kd)</w:t>
      </w:r>
      <w:bookmarkStart w:id="7" w:name="RESPARTI002"/>
      <w:bookmarkEnd w:id="7"/>
    </w:p>
    <w:p w:rsidR="00322A77" w:rsidRPr="00515A4C" w:rsidRDefault="00322A77">
      <w:pPr>
        <w:pStyle w:val="Frslagspunkt"/>
        <w:outlineLvl w:val="0"/>
        <w:rPr>
          <w:noProof w:val="0"/>
        </w:rPr>
      </w:pPr>
      <w:r w:rsidRPr="00515A4C">
        <w:rPr>
          <w:noProof w:val="0"/>
        </w:rPr>
        <w:t>3.</w:t>
      </w:r>
      <w:r w:rsidRPr="00515A4C">
        <w:rPr>
          <w:noProof w:val="0"/>
        </w:rPr>
        <w:tab/>
        <w:t>Värdekommission</w:t>
      </w:r>
    </w:p>
    <w:p w:rsidR="00322A77" w:rsidRPr="00515A4C" w:rsidRDefault="00322A77">
      <w:pPr>
        <w:pStyle w:val="Frslagstext"/>
      </w:pPr>
      <w:r w:rsidRPr="00515A4C">
        <w:t xml:space="preserve">Riksdagen avslår motion 2002/03:K361.       </w:t>
      </w:r>
    </w:p>
    <w:p w:rsidR="00322A77" w:rsidRPr="00515A4C" w:rsidRDefault="00322A77">
      <w:pPr>
        <w:pStyle w:val="Reservationshnvisning"/>
      </w:pPr>
      <w:r w:rsidRPr="00515A4C">
        <w:t>Reservation 3 (kd)</w:t>
      </w:r>
      <w:bookmarkStart w:id="8" w:name="RESPARTI003"/>
      <w:bookmarkEnd w:id="8"/>
    </w:p>
    <w:p w:rsidR="00322A77" w:rsidRPr="00515A4C" w:rsidRDefault="00322A77">
      <w:pPr>
        <w:pStyle w:val="Frslagspunkt"/>
        <w:outlineLvl w:val="0"/>
        <w:rPr>
          <w:noProof w:val="0"/>
        </w:rPr>
      </w:pPr>
      <w:r w:rsidRPr="00515A4C">
        <w:rPr>
          <w:noProof w:val="0"/>
        </w:rPr>
        <w:t>4.</w:t>
      </w:r>
      <w:r w:rsidRPr="00515A4C">
        <w:rPr>
          <w:noProof w:val="0"/>
        </w:rPr>
        <w:tab/>
        <w:t>Livsåskådning</w:t>
      </w:r>
    </w:p>
    <w:p w:rsidR="00322A77" w:rsidRPr="00515A4C" w:rsidRDefault="00322A77">
      <w:pPr>
        <w:pStyle w:val="Frslagstext"/>
      </w:pPr>
      <w:r w:rsidRPr="00515A4C">
        <w:t xml:space="preserve">Riksdagen avslår motion 2002/03:K307 yrkande 1.       </w:t>
      </w:r>
      <w:bookmarkStart w:id="9" w:name="RESPARTI004"/>
      <w:bookmarkEnd w:id="9"/>
    </w:p>
    <w:p w:rsidR="00322A77" w:rsidRPr="00515A4C" w:rsidRDefault="00322A77">
      <w:pPr>
        <w:pStyle w:val="Frslagspunkt"/>
        <w:outlineLvl w:val="0"/>
        <w:rPr>
          <w:noProof w:val="0"/>
        </w:rPr>
      </w:pPr>
      <w:r w:rsidRPr="00515A4C">
        <w:rPr>
          <w:noProof w:val="0"/>
        </w:rPr>
        <w:t>5.</w:t>
      </w:r>
      <w:r w:rsidRPr="00515A4C">
        <w:rPr>
          <w:noProof w:val="0"/>
        </w:rPr>
        <w:tab/>
        <w:t>Samvetsklausul</w:t>
      </w:r>
    </w:p>
    <w:p w:rsidR="00322A77" w:rsidRPr="00515A4C" w:rsidRDefault="00322A77">
      <w:pPr>
        <w:pStyle w:val="Frslagstext"/>
      </w:pPr>
      <w:r w:rsidRPr="00515A4C">
        <w:t xml:space="preserve">Riksdagen avslår motion 2002/03:Ub495 yrkande 1.       </w:t>
      </w:r>
    </w:p>
    <w:p w:rsidR="00322A77" w:rsidRPr="00515A4C" w:rsidRDefault="00322A77">
      <w:pPr>
        <w:pStyle w:val="Reservationshnvisning"/>
      </w:pPr>
      <w:r w:rsidRPr="00515A4C">
        <w:t>Reservation 4 (kd) – villkorad</w:t>
      </w:r>
      <w:bookmarkStart w:id="10" w:name="RESPARTI005"/>
      <w:bookmarkEnd w:id="10"/>
    </w:p>
    <w:p w:rsidR="00322A77" w:rsidRPr="00515A4C" w:rsidRDefault="00322A77">
      <w:pPr>
        <w:pStyle w:val="Frslagspunkt"/>
        <w:outlineLvl w:val="0"/>
        <w:rPr>
          <w:noProof w:val="0"/>
        </w:rPr>
      </w:pPr>
      <w:r w:rsidRPr="00515A4C">
        <w:rPr>
          <w:noProof w:val="0"/>
        </w:rPr>
        <w:t>6.</w:t>
      </w:r>
      <w:r w:rsidRPr="00515A4C">
        <w:rPr>
          <w:noProof w:val="0"/>
        </w:rPr>
        <w:tab/>
        <w:t>Förbud mot rasistiska organisationer</w:t>
      </w:r>
    </w:p>
    <w:p w:rsidR="00322A77" w:rsidRPr="00515A4C" w:rsidRDefault="00322A77">
      <w:pPr>
        <w:pStyle w:val="Frslagstext"/>
      </w:pPr>
      <w:r w:rsidRPr="00515A4C">
        <w:t xml:space="preserve">Riksdagen avslår motion 2002/03:K322.       </w:t>
      </w:r>
    </w:p>
    <w:p w:rsidR="00322A77" w:rsidRPr="00515A4C" w:rsidRDefault="00322A77">
      <w:pPr>
        <w:pStyle w:val="Frslagspunkt"/>
        <w:outlineLvl w:val="0"/>
        <w:rPr>
          <w:noProof w:val="0"/>
        </w:rPr>
      </w:pPr>
      <w:bookmarkStart w:id="11" w:name="RESPARTI006"/>
      <w:bookmarkEnd w:id="11"/>
      <w:r w:rsidRPr="00515A4C">
        <w:rPr>
          <w:noProof w:val="0"/>
        </w:rPr>
        <w:t>7.</w:t>
      </w:r>
      <w:r w:rsidRPr="00515A4C">
        <w:rPr>
          <w:noProof w:val="0"/>
        </w:rPr>
        <w:tab/>
        <w:t>Åtgärder mot det politiska våldet</w:t>
      </w:r>
    </w:p>
    <w:p w:rsidR="00322A77" w:rsidRPr="00515A4C" w:rsidRDefault="00322A77">
      <w:pPr>
        <w:pStyle w:val="Frslagstext"/>
      </w:pPr>
      <w:r w:rsidRPr="00515A4C">
        <w:t xml:space="preserve">Riksdagen avslår motion 2002/03:K385 yrkande 10.       </w:t>
      </w:r>
    </w:p>
    <w:p w:rsidR="00322A77" w:rsidRPr="00515A4C" w:rsidRDefault="00322A77">
      <w:pPr>
        <w:pStyle w:val="Reservationshnvisning"/>
      </w:pPr>
      <w:r w:rsidRPr="00515A4C">
        <w:t>Reservation 5 (fp)</w:t>
      </w:r>
      <w:bookmarkStart w:id="12" w:name="RESPARTI007"/>
      <w:bookmarkEnd w:id="12"/>
    </w:p>
    <w:p w:rsidR="00322A77" w:rsidRPr="00515A4C" w:rsidRDefault="00322A77">
      <w:pPr>
        <w:pStyle w:val="Frslagspunkt"/>
        <w:outlineLvl w:val="0"/>
        <w:rPr>
          <w:noProof w:val="0"/>
        </w:rPr>
      </w:pPr>
      <w:r w:rsidRPr="00515A4C">
        <w:rPr>
          <w:noProof w:val="0"/>
        </w:rPr>
        <w:t>8.</w:t>
      </w:r>
      <w:r w:rsidRPr="00515A4C">
        <w:rPr>
          <w:noProof w:val="0"/>
        </w:rPr>
        <w:tab/>
        <w:t>Negativ föreningsfrihet</w:t>
      </w:r>
    </w:p>
    <w:p w:rsidR="00322A77" w:rsidRPr="00515A4C" w:rsidRDefault="00322A77">
      <w:pPr>
        <w:pStyle w:val="Frslagstext"/>
      </w:pPr>
      <w:r w:rsidRPr="00515A4C">
        <w:t xml:space="preserve">Riksdagen avslår motion 2002/03:K379 yrkande 13.       </w:t>
      </w:r>
    </w:p>
    <w:p w:rsidR="00322A77" w:rsidRPr="00515A4C" w:rsidRDefault="00322A77">
      <w:pPr>
        <w:pStyle w:val="Reservationshnvisning"/>
      </w:pPr>
      <w:r w:rsidRPr="00515A4C">
        <w:t>Reservation 6 (m, fp, kd, c)</w:t>
      </w:r>
      <w:bookmarkStart w:id="13" w:name="RESPARTI008"/>
      <w:bookmarkEnd w:id="13"/>
    </w:p>
    <w:p w:rsidR="00322A77" w:rsidRPr="00515A4C" w:rsidRDefault="00322A77">
      <w:pPr>
        <w:pStyle w:val="Frslagspunkt"/>
        <w:outlineLvl w:val="0"/>
        <w:rPr>
          <w:noProof w:val="0"/>
        </w:rPr>
      </w:pPr>
      <w:r w:rsidRPr="00515A4C">
        <w:rPr>
          <w:noProof w:val="0"/>
        </w:rPr>
        <w:t>9.</w:t>
      </w:r>
      <w:r w:rsidRPr="00515A4C">
        <w:rPr>
          <w:noProof w:val="0"/>
        </w:rPr>
        <w:tab/>
        <w:t>Retroaktivitetsförbud</w:t>
      </w:r>
    </w:p>
    <w:p w:rsidR="00322A77" w:rsidRPr="00515A4C" w:rsidRDefault="00322A77">
      <w:pPr>
        <w:pStyle w:val="Frslagstext"/>
      </w:pPr>
      <w:r w:rsidRPr="00515A4C">
        <w:t>Riksdagen avslår motionerna 2002/03:K237 och 2002/03:K241 yrkande 35.</w:t>
      </w:r>
    </w:p>
    <w:p w:rsidR="00322A77" w:rsidRPr="00515A4C" w:rsidRDefault="00322A77">
      <w:pPr>
        <w:pStyle w:val="Reservationshnvisning"/>
      </w:pPr>
      <w:r w:rsidRPr="00515A4C">
        <w:t>Reservation 7 (m, kd, c)</w:t>
      </w:r>
      <w:bookmarkStart w:id="14" w:name="RESPARTI009"/>
      <w:bookmarkEnd w:id="14"/>
    </w:p>
    <w:p w:rsidR="00322A77" w:rsidRPr="00515A4C" w:rsidRDefault="00322A77">
      <w:r w:rsidRPr="00515A4C">
        <w:br w:type="page"/>
      </w:r>
    </w:p>
    <w:p w:rsidR="00322A77" w:rsidRPr="00515A4C" w:rsidRDefault="00322A77">
      <w:pPr>
        <w:pStyle w:val="Frslagspunkt"/>
        <w:spacing w:before="0"/>
        <w:outlineLvl w:val="0"/>
        <w:rPr>
          <w:noProof w:val="0"/>
        </w:rPr>
      </w:pPr>
      <w:r w:rsidRPr="00515A4C">
        <w:rPr>
          <w:noProof w:val="0"/>
        </w:rPr>
        <w:t>10.</w:t>
      </w:r>
      <w:r w:rsidRPr="00515A4C">
        <w:rPr>
          <w:noProof w:val="0"/>
        </w:rPr>
        <w:tab/>
        <w:t>Skyddet mot diskriminering i 2 kap. 15 § regeringsformen</w:t>
      </w:r>
    </w:p>
    <w:p w:rsidR="00322A77" w:rsidRPr="00515A4C" w:rsidRDefault="00322A77">
      <w:pPr>
        <w:pStyle w:val="Frslagstext"/>
      </w:pPr>
      <w:r w:rsidRPr="00515A4C">
        <w:t xml:space="preserve">Riksdagen avslår motionerna 2002/03:K275, 2002/03:K310 yrkande 2 och 2002/03:L249 yrkande 8.       </w:t>
      </w:r>
    </w:p>
    <w:p w:rsidR="00322A77" w:rsidRPr="00515A4C" w:rsidRDefault="00322A77">
      <w:pPr>
        <w:pStyle w:val="Reservationshnvisning"/>
      </w:pPr>
      <w:r w:rsidRPr="00515A4C">
        <w:t>Reservation 8 (v, mp)</w:t>
      </w:r>
    </w:p>
    <w:p w:rsidR="00322A77" w:rsidRPr="00515A4C" w:rsidRDefault="00322A77">
      <w:pPr>
        <w:pStyle w:val="Reservationshnvisning"/>
      </w:pPr>
      <w:r w:rsidRPr="00515A4C">
        <w:t>Reservation 9 (fp)</w:t>
      </w:r>
    </w:p>
    <w:p w:rsidR="00322A77" w:rsidRPr="00515A4C" w:rsidRDefault="00322A77">
      <w:pPr>
        <w:pStyle w:val="Reservationshnvisning"/>
      </w:pPr>
      <w:r w:rsidRPr="00515A4C">
        <w:t>Reservation 10 (kd) – villkorad</w:t>
      </w:r>
    </w:p>
    <w:p w:rsidR="00322A77" w:rsidRPr="00515A4C" w:rsidRDefault="00322A77">
      <w:pPr>
        <w:pStyle w:val="Frslagspunkt"/>
        <w:outlineLvl w:val="0"/>
        <w:rPr>
          <w:noProof w:val="0"/>
        </w:rPr>
      </w:pPr>
      <w:bookmarkStart w:id="15" w:name="RESPARTI010"/>
      <w:bookmarkEnd w:id="15"/>
      <w:r w:rsidRPr="00515A4C">
        <w:rPr>
          <w:noProof w:val="0"/>
        </w:rPr>
        <w:t>11.</w:t>
      </w:r>
      <w:r w:rsidRPr="00515A4C">
        <w:rPr>
          <w:noProof w:val="0"/>
        </w:rPr>
        <w:tab/>
        <w:t>Begreppet sexuell läggning i 1 kap. 2 § regeringsformen</w:t>
      </w:r>
    </w:p>
    <w:p w:rsidR="00322A77" w:rsidRPr="00515A4C" w:rsidRDefault="00322A77">
      <w:pPr>
        <w:pStyle w:val="Frslagstext"/>
      </w:pPr>
      <w:r w:rsidRPr="00515A4C">
        <w:t xml:space="preserve">Riksdagen avslår motionerna 2002/03:K310 yrkande 1       </w:t>
      </w:r>
    </w:p>
    <w:p w:rsidR="00322A77" w:rsidRPr="00515A4C" w:rsidRDefault="00322A77">
      <w:pPr>
        <w:pStyle w:val="Reservationshnvisning"/>
      </w:pPr>
      <w:r w:rsidRPr="00515A4C">
        <w:t>Reservation 11 (fp, mp)</w:t>
      </w:r>
      <w:bookmarkStart w:id="16" w:name="RESPARTI011"/>
      <w:bookmarkEnd w:id="16"/>
    </w:p>
    <w:p w:rsidR="00322A77" w:rsidRPr="00515A4C" w:rsidRDefault="00322A77">
      <w:pPr>
        <w:pStyle w:val="Frslagspunkt"/>
        <w:outlineLvl w:val="0"/>
        <w:rPr>
          <w:noProof w:val="0"/>
        </w:rPr>
      </w:pPr>
      <w:r w:rsidRPr="00515A4C">
        <w:rPr>
          <w:noProof w:val="0"/>
        </w:rPr>
        <w:t>12.</w:t>
      </w:r>
      <w:r w:rsidRPr="00515A4C">
        <w:rPr>
          <w:noProof w:val="0"/>
        </w:rPr>
        <w:tab/>
        <w:t>Samordning av ombudsmän m.m.</w:t>
      </w:r>
    </w:p>
    <w:p w:rsidR="00322A77" w:rsidRPr="00515A4C" w:rsidRDefault="00322A77">
      <w:pPr>
        <w:pStyle w:val="Frslagstext"/>
      </w:pPr>
      <w:r w:rsidRPr="00515A4C">
        <w:t xml:space="preserve">Riksdagen avslår motionerna 2002/03:K241 yrkande 37, 2002/03:K280,  2002/03:K395, 2002/03:Ju364 yrkande 23, 2002/03:So444 yrkande 3, 2002/03:Sf289 yrkande 6, 2002/03:Sf334 yrkande 43 och 2002/03:A213 yrkande 2.       </w:t>
      </w:r>
    </w:p>
    <w:p w:rsidR="00322A77" w:rsidRPr="00515A4C" w:rsidRDefault="00322A77">
      <w:pPr>
        <w:pStyle w:val="Reservationshnvisning"/>
      </w:pPr>
      <w:r w:rsidRPr="00515A4C">
        <w:t>Reservation 12 (fp)</w:t>
      </w:r>
    </w:p>
    <w:p w:rsidR="00322A77" w:rsidRPr="00515A4C" w:rsidRDefault="00322A77">
      <w:pPr>
        <w:pStyle w:val="Reservationshnvisning"/>
      </w:pPr>
      <w:r w:rsidRPr="00515A4C">
        <w:t>Reservation 13 (mp)</w:t>
      </w:r>
      <w:bookmarkStart w:id="17" w:name="RESPARTI012"/>
      <w:bookmarkEnd w:id="17"/>
    </w:p>
    <w:p w:rsidR="00322A77" w:rsidRPr="00515A4C" w:rsidRDefault="00322A77">
      <w:pPr>
        <w:pStyle w:val="Frslagspunkt"/>
        <w:outlineLvl w:val="0"/>
        <w:rPr>
          <w:noProof w:val="0"/>
        </w:rPr>
      </w:pPr>
      <w:r w:rsidRPr="00515A4C">
        <w:rPr>
          <w:noProof w:val="0"/>
        </w:rPr>
        <w:t>13.</w:t>
      </w:r>
      <w:r w:rsidRPr="00515A4C">
        <w:rPr>
          <w:noProof w:val="0"/>
        </w:rPr>
        <w:tab/>
        <w:t>Minoritetsombudsman</w:t>
      </w:r>
    </w:p>
    <w:p w:rsidR="00322A77" w:rsidRPr="00515A4C" w:rsidRDefault="00322A77">
      <w:pPr>
        <w:pStyle w:val="Frslagstext"/>
      </w:pPr>
      <w:r w:rsidRPr="00515A4C">
        <w:t xml:space="preserve">Riksdagen avslår motion 2002/03:K366.       </w:t>
      </w:r>
      <w:bookmarkStart w:id="18" w:name="RESPARTI013"/>
      <w:bookmarkEnd w:id="18"/>
    </w:p>
    <w:p w:rsidR="00322A77" w:rsidRPr="00515A4C" w:rsidRDefault="00322A77">
      <w:pPr>
        <w:pStyle w:val="Frslagspunkt"/>
        <w:outlineLvl w:val="0"/>
        <w:rPr>
          <w:noProof w:val="0"/>
        </w:rPr>
      </w:pPr>
      <w:r w:rsidRPr="00515A4C">
        <w:rPr>
          <w:noProof w:val="0"/>
        </w:rPr>
        <w:t>14.</w:t>
      </w:r>
      <w:r w:rsidRPr="00515A4C">
        <w:rPr>
          <w:noProof w:val="0"/>
        </w:rPr>
        <w:tab/>
        <w:t>Översyn av lagstiftningen</w:t>
      </w:r>
    </w:p>
    <w:p w:rsidR="00322A77" w:rsidRPr="00515A4C" w:rsidRDefault="00322A77">
      <w:pPr>
        <w:pStyle w:val="Frslagstext"/>
      </w:pPr>
      <w:r w:rsidRPr="00515A4C">
        <w:t xml:space="preserve">Riksdagen avslår motion 2002/03:So512 yrkande 5.       </w:t>
      </w:r>
    </w:p>
    <w:p w:rsidR="00322A77" w:rsidRPr="00515A4C" w:rsidRDefault="00322A77">
      <w:pPr>
        <w:pStyle w:val="Reservationshnvisning"/>
      </w:pPr>
      <w:r w:rsidRPr="00515A4C">
        <w:t>Reservation 14 (fp, mp)</w:t>
      </w:r>
      <w:bookmarkStart w:id="19" w:name="RESPARTI014"/>
      <w:bookmarkEnd w:id="19"/>
    </w:p>
    <w:p w:rsidR="00322A77" w:rsidRPr="00515A4C" w:rsidRDefault="00322A77">
      <w:pPr>
        <w:pStyle w:val="Frslagspunkt"/>
        <w:outlineLvl w:val="0"/>
        <w:rPr>
          <w:noProof w:val="0"/>
        </w:rPr>
      </w:pPr>
      <w:r w:rsidRPr="00515A4C">
        <w:rPr>
          <w:noProof w:val="0"/>
        </w:rPr>
        <w:t>15.</w:t>
      </w:r>
      <w:r w:rsidRPr="00515A4C">
        <w:rPr>
          <w:noProof w:val="0"/>
        </w:rPr>
        <w:tab/>
        <w:t>Åtgärder för att motverka heteronormativitet</w:t>
      </w:r>
    </w:p>
    <w:p w:rsidR="00322A77" w:rsidRPr="00515A4C" w:rsidRDefault="00322A77">
      <w:pPr>
        <w:pStyle w:val="Frslagstext"/>
      </w:pPr>
      <w:r w:rsidRPr="00515A4C">
        <w:t xml:space="preserve">Riksdagen avslår motion 2002/03:Ub556 yrkande 6.       </w:t>
      </w:r>
    </w:p>
    <w:p w:rsidR="00322A77" w:rsidRPr="00515A4C" w:rsidRDefault="00322A77">
      <w:pPr>
        <w:pStyle w:val="Frslagspunkt"/>
        <w:outlineLvl w:val="0"/>
        <w:rPr>
          <w:noProof w:val="0"/>
        </w:rPr>
      </w:pPr>
      <w:bookmarkStart w:id="20" w:name="RESPARTI015"/>
      <w:bookmarkEnd w:id="20"/>
      <w:r w:rsidRPr="00515A4C">
        <w:rPr>
          <w:noProof w:val="0"/>
        </w:rPr>
        <w:t>16.</w:t>
      </w:r>
      <w:r w:rsidRPr="00515A4C">
        <w:rPr>
          <w:noProof w:val="0"/>
        </w:rPr>
        <w:tab/>
        <w:t>De nationella minoriteternas skydd och delaktighet</w:t>
      </w:r>
    </w:p>
    <w:p w:rsidR="00322A77" w:rsidRPr="00515A4C" w:rsidRDefault="00322A77">
      <w:pPr>
        <w:pStyle w:val="Frslagstext"/>
      </w:pPr>
      <w:r w:rsidRPr="00515A4C">
        <w:t xml:space="preserve">Riksdagen avslår motionerna 2002/03:K264 yrkandena 1–4 samt 2002/03:K421.       </w:t>
      </w:r>
      <w:bookmarkStart w:id="21" w:name="RESPARTI016"/>
      <w:bookmarkEnd w:id="21"/>
    </w:p>
    <w:p w:rsidR="00322A77" w:rsidRPr="00515A4C" w:rsidRDefault="00322A77">
      <w:pPr>
        <w:pStyle w:val="Frslagspunkt"/>
        <w:outlineLvl w:val="0"/>
        <w:rPr>
          <w:noProof w:val="0"/>
        </w:rPr>
      </w:pPr>
      <w:r w:rsidRPr="00515A4C">
        <w:rPr>
          <w:noProof w:val="0"/>
        </w:rPr>
        <w:t>17.</w:t>
      </w:r>
      <w:r w:rsidRPr="00515A4C">
        <w:rPr>
          <w:noProof w:val="0"/>
        </w:rPr>
        <w:tab/>
        <w:t>Utvidgning av samiska förvaltningsområdet</w:t>
      </w:r>
    </w:p>
    <w:p w:rsidR="00322A77" w:rsidRPr="00515A4C" w:rsidRDefault="00322A77">
      <w:pPr>
        <w:pStyle w:val="Frslagstext"/>
      </w:pPr>
      <w:r w:rsidRPr="00515A4C">
        <w:t xml:space="preserve">Riksdagen avslår motion 2002/03:K277 yrkande 1.       </w:t>
      </w:r>
      <w:bookmarkStart w:id="22" w:name="RESPARTI017"/>
      <w:bookmarkEnd w:id="22"/>
    </w:p>
    <w:p w:rsidR="00322A77" w:rsidRPr="00515A4C" w:rsidRDefault="00322A77">
      <w:pPr>
        <w:pStyle w:val="Frslagspunkt"/>
        <w:outlineLvl w:val="0"/>
        <w:rPr>
          <w:noProof w:val="0"/>
        </w:rPr>
      </w:pPr>
      <w:r w:rsidRPr="00515A4C">
        <w:rPr>
          <w:noProof w:val="0"/>
        </w:rPr>
        <w:t>18.</w:t>
      </w:r>
      <w:r w:rsidRPr="00515A4C">
        <w:rPr>
          <w:noProof w:val="0"/>
        </w:rPr>
        <w:tab/>
        <w:t>Omfattningen av det finskspråkiga förvaltningsområdet</w:t>
      </w:r>
    </w:p>
    <w:p w:rsidR="00322A77" w:rsidRPr="00515A4C" w:rsidRDefault="00322A77">
      <w:pPr>
        <w:pStyle w:val="Frslagstext"/>
      </w:pPr>
      <w:r w:rsidRPr="00515A4C">
        <w:t xml:space="preserve">Riksdagen avslår 2002/03:K277 yrkande 2, 2002/03:K294 i denna del, 2002/03:K324 och 2002/03:K391.       </w:t>
      </w:r>
      <w:bookmarkStart w:id="23" w:name="RESPARTI018"/>
      <w:bookmarkEnd w:id="23"/>
    </w:p>
    <w:p w:rsidR="00322A77" w:rsidRPr="00515A4C" w:rsidRDefault="00322A77">
      <w:pPr>
        <w:pStyle w:val="Frslagspunkt"/>
        <w:outlineLvl w:val="0"/>
        <w:rPr>
          <w:noProof w:val="0"/>
        </w:rPr>
      </w:pPr>
      <w:r w:rsidRPr="00515A4C">
        <w:rPr>
          <w:noProof w:val="0"/>
        </w:rPr>
        <w:t>19.</w:t>
      </w:r>
      <w:r w:rsidRPr="00515A4C">
        <w:rPr>
          <w:noProof w:val="0"/>
        </w:rPr>
        <w:tab/>
        <w:t>Minoritetsfrågor</w:t>
      </w:r>
    </w:p>
    <w:p w:rsidR="00322A77" w:rsidRPr="00515A4C" w:rsidRDefault="00322A77">
      <w:pPr>
        <w:pStyle w:val="Frslagstext"/>
      </w:pPr>
      <w:r w:rsidRPr="00515A4C">
        <w:t>Riksdagen avslår motionerna 2002/03:K294 i denna del och 2002/03:</w:t>
      </w:r>
      <w:r w:rsidRPr="00515A4C">
        <w:br/>
        <w:t>K277 y</w:t>
      </w:r>
      <w:r w:rsidRPr="00515A4C">
        <w:t>r</w:t>
      </w:r>
      <w:r w:rsidRPr="00515A4C">
        <w:t xml:space="preserve">kande 3.       </w:t>
      </w:r>
      <w:bookmarkStart w:id="24" w:name="RESPARTI019"/>
      <w:bookmarkEnd w:id="24"/>
    </w:p>
    <w:p w:rsidR="00322A77" w:rsidRPr="00515A4C" w:rsidRDefault="00322A77">
      <w:pPr>
        <w:pStyle w:val="Frslagspunkt"/>
        <w:outlineLvl w:val="0"/>
        <w:rPr>
          <w:noProof w:val="0"/>
        </w:rPr>
      </w:pPr>
      <w:r w:rsidRPr="00515A4C">
        <w:rPr>
          <w:noProof w:val="0"/>
        </w:rPr>
        <w:t>20.</w:t>
      </w:r>
      <w:r w:rsidRPr="00515A4C">
        <w:rPr>
          <w:noProof w:val="0"/>
        </w:rPr>
        <w:tab/>
        <w:t>Äldreomsorg för den finsktalande minoritetsgruppen</w:t>
      </w:r>
    </w:p>
    <w:p w:rsidR="00322A77" w:rsidRPr="00515A4C" w:rsidRDefault="00322A77">
      <w:pPr>
        <w:pStyle w:val="Frslagstext"/>
      </w:pPr>
      <w:r w:rsidRPr="00515A4C">
        <w:t xml:space="preserve">Riksdagen avslår motion 2002/03:K420.       </w:t>
      </w:r>
      <w:bookmarkStart w:id="25" w:name="RESPARTI020"/>
      <w:bookmarkEnd w:id="25"/>
    </w:p>
    <w:p w:rsidR="00322A77" w:rsidRPr="00515A4C" w:rsidRDefault="00322A77">
      <w:pPr>
        <w:pStyle w:val="Frslagspunkt"/>
        <w:outlineLvl w:val="0"/>
        <w:rPr>
          <w:noProof w:val="0"/>
        </w:rPr>
      </w:pPr>
      <w:r w:rsidRPr="00515A4C">
        <w:rPr>
          <w:noProof w:val="0"/>
        </w:rPr>
        <w:t>21.</w:t>
      </w:r>
      <w:r w:rsidRPr="00515A4C">
        <w:rPr>
          <w:noProof w:val="0"/>
        </w:rPr>
        <w:tab/>
        <w:t>ILO-konventionen nr 169</w:t>
      </w:r>
    </w:p>
    <w:p w:rsidR="00322A77" w:rsidRPr="00515A4C" w:rsidRDefault="00322A77">
      <w:pPr>
        <w:pStyle w:val="Frslagstext"/>
      </w:pPr>
      <w:r w:rsidRPr="00515A4C">
        <w:t xml:space="preserve">Riksdagen avslår motion 2002/03:K394.       </w:t>
      </w:r>
    </w:p>
    <w:p w:rsidR="00322A77" w:rsidRPr="00515A4C" w:rsidRDefault="00322A77">
      <w:pPr>
        <w:pStyle w:val="Reservationshnvisning"/>
      </w:pPr>
      <w:r w:rsidRPr="00515A4C">
        <w:t>Reservation 15 (fp, mp)</w:t>
      </w:r>
      <w:bookmarkStart w:id="26" w:name="RESPARTI021"/>
      <w:bookmarkEnd w:id="26"/>
    </w:p>
    <w:p w:rsidR="00322A77" w:rsidRPr="00515A4C" w:rsidRDefault="00322A77">
      <w:pPr>
        <w:pStyle w:val="Frslagspunkt"/>
        <w:outlineLvl w:val="0"/>
        <w:rPr>
          <w:noProof w:val="0"/>
        </w:rPr>
      </w:pPr>
      <w:r w:rsidRPr="00515A4C">
        <w:rPr>
          <w:noProof w:val="0"/>
        </w:rPr>
        <w:t>22.</w:t>
      </w:r>
      <w:r w:rsidRPr="00515A4C">
        <w:rPr>
          <w:noProof w:val="0"/>
        </w:rPr>
        <w:tab/>
        <w:t>Teckenspråket</w:t>
      </w:r>
    </w:p>
    <w:p w:rsidR="00322A77" w:rsidRPr="00515A4C" w:rsidRDefault="00322A77">
      <w:pPr>
        <w:pStyle w:val="Frslagstext"/>
      </w:pPr>
      <w:r w:rsidRPr="00515A4C">
        <w:t>Riksdagen avslår motion 2002/03:K220.</w:t>
      </w:r>
      <w:bookmarkStart w:id="27" w:name="RESPARTI022"/>
      <w:bookmarkEnd w:id="27"/>
    </w:p>
    <w:p w:rsidR="00322A77" w:rsidRPr="00515A4C" w:rsidRDefault="00322A77">
      <w:pPr>
        <w:pStyle w:val="Frslagspunkt"/>
        <w:outlineLvl w:val="0"/>
        <w:rPr>
          <w:noProof w:val="0"/>
        </w:rPr>
      </w:pPr>
      <w:r w:rsidRPr="00515A4C">
        <w:rPr>
          <w:noProof w:val="0"/>
        </w:rPr>
        <w:t>23.</w:t>
      </w:r>
      <w:r w:rsidRPr="00515A4C">
        <w:rPr>
          <w:noProof w:val="0"/>
        </w:rPr>
        <w:tab/>
        <w:t>Svenskt medborgarskap</w:t>
      </w:r>
    </w:p>
    <w:p w:rsidR="00322A77" w:rsidRPr="00515A4C" w:rsidRDefault="00322A77">
      <w:pPr>
        <w:pStyle w:val="Frslagstext"/>
      </w:pPr>
      <w:r w:rsidRPr="00515A4C">
        <w:t xml:space="preserve">Riksdagen avslår motion 2002/03:K408.       </w:t>
      </w:r>
    </w:p>
    <w:p w:rsidR="00322A77" w:rsidRPr="00515A4C" w:rsidRDefault="00322A77">
      <w:pPr>
        <w:pStyle w:val="Reservationshnvisning"/>
      </w:pPr>
      <w:r w:rsidRPr="00515A4C">
        <w:t>Reservation 16 (m)</w:t>
      </w:r>
      <w:bookmarkStart w:id="28" w:name="RESPARTI023"/>
      <w:bookmarkEnd w:id="28"/>
    </w:p>
    <w:p w:rsidR="00322A77" w:rsidRPr="00515A4C" w:rsidRDefault="00322A77">
      <w:pPr>
        <w:pStyle w:val="Frslagspunkt"/>
        <w:outlineLvl w:val="0"/>
        <w:rPr>
          <w:noProof w:val="0"/>
        </w:rPr>
      </w:pPr>
      <w:r w:rsidRPr="00515A4C">
        <w:rPr>
          <w:noProof w:val="0"/>
        </w:rPr>
        <w:t>24.</w:t>
      </w:r>
      <w:r w:rsidRPr="00515A4C">
        <w:rPr>
          <w:noProof w:val="0"/>
        </w:rPr>
        <w:tab/>
        <w:t>Äganderätt</w:t>
      </w:r>
    </w:p>
    <w:p w:rsidR="00322A77" w:rsidRPr="00515A4C" w:rsidRDefault="00322A77">
      <w:pPr>
        <w:pStyle w:val="Frslagstext"/>
      </w:pPr>
      <w:r w:rsidRPr="00515A4C">
        <w:t xml:space="preserve">Riksdagen avslår 2002/03:K216 yrkandena 1 och 2, 2002/03:K323 och 2002/03:K379 yrkande 12.       </w:t>
      </w:r>
    </w:p>
    <w:p w:rsidR="00322A77" w:rsidRPr="00515A4C" w:rsidRDefault="00322A77">
      <w:pPr>
        <w:pStyle w:val="Reservationshnvisning"/>
      </w:pPr>
      <w:r w:rsidRPr="00515A4C">
        <w:t>Reservation 17 (m, fp, kd, c)</w:t>
      </w:r>
      <w:bookmarkStart w:id="29" w:name="RESPARTI024"/>
      <w:bookmarkEnd w:id="29"/>
    </w:p>
    <w:p w:rsidR="00322A77" w:rsidRPr="00515A4C" w:rsidRDefault="00322A77">
      <w:pPr>
        <w:pStyle w:val="Frslagspunkt"/>
        <w:outlineLvl w:val="0"/>
        <w:rPr>
          <w:noProof w:val="0"/>
        </w:rPr>
      </w:pPr>
      <w:r w:rsidRPr="00515A4C">
        <w:rPr>
          <w:noProof w:val="0"/>
        </w:rPr>
        <w:t>25.</w:t>
      </w:r>
      <w:r w:rsidRPr="00515A4C">
        <w:rPr>
          <w:noProof w:val="0"/>
        </w:rPr>
        <w:tab/>
        <w:t>Internationella kvinnodagen</w:t>
      </w:r>
    </w:p>
    <w:p w:rsidR="00322A77" w:rsidRPr="00515A4C" w:rsidRDefault="00322A77">
      <w:pPr>
        <w:pStyle w:val="Frslagstext"/>
      </w:pPr>
      <w:r w:rsidRPr="00515A4C">
        <w:t xml:space="preserve">Riksdagen avslår motion 2002/03:K272.       </w:t>
      </w:r>
    </w:p>
    <w:p w:rsidR="00322A77" w:rsidRPr="00515A4C" w:rsidRDefault="00322A77">
      <w:pPr>
        <w:pStyle w:val="Reservationshnvisning"/>
      </w:pPr>
      <w:r w:rsidRPr="00515A4C">
        <w:t>Reservation 18 (v)</w:t>
      </w:r>
    </w:p>
    <w:p w:rsidR="00322A77" w:rsidRPr="00515A4C" w:rsidRDefault="00322A77">
      <w:pPr>
        <w:pStyle w:val="Frslagspunkt"/>
        <w:outlineLvl w:val="0"/>
        <w:rPr>
          <w:noProof w:val="0"/>
        </w:rPr>
      </w:pPr>
      <w:bookmarkStart w:id="30" w:name="RESPARTI025"/>
      <w:bookmarkEnd w:id="30"/>
      <w:r w:rsidRPr="00515A4C">
        <w:rPr>
          <w:noProof w:val="0"/>
        </w:rPr>
        <w:t>26.</w:t>
      </w:r>
      <w:r w:rsidRPr="00515A4C">
        <w:rPr>
          <w:noProof w:val="0"/>
        </w:rPr>
        <w:tab/>
        <w:t>Upprättelse för personer som placerades i interneringsläger</w:t>
      </w:r>
    </w:p>
    <w:p w:rsidR="00322A77" w:rsidRPr="00515A4C" w:rsidRDefault="00322A77">
      <w:pPr>
        <w:pStyle w:val="Frslagstext"/>
      </w:pPr>
      <w:r w:rsidRPr="00515A4C">
        <w:t xml:space="preserve">Riksdagen avslår motion 2002/03:K339 yrkandena 1 och 2.       </w:t>
      </w:r>
    </w:p>
    <w:p w:rsidR="00322A77" w:rsidRPr="00515A4C" w:rsidRDefault="00322A77">
      <w:pPr>
        <w:pStyle w:val="Reservationshnvisning"/>
      </w:pPr>
      <w:r w:rsidRPr="00515A4C">
        <w:t>Reservation 19 (v, mp)</w:t>
      </w:r>
      <w:bookmarkStart w:id="31" w:name="RESPARTI026"/>
      <w:bookmarkEnd w:id="31"/>
    </w:p>
    <w:p w:rsidR="00322A77" w:rsidRPr="00515A4C" w:rsidRDefault="00322A77">
      <w:pPr>
        <w:pStyle w:val="Frslagspunkt"/>
        <w:outlineLvl w:val="0"/>
        <w:rPr>
          <w:noProof w:val="0"/>
        </w:rPr>
      </w:pPr>
      <w:r w:rsidRPr="00515A4C">
        <w:rPr>
          <w:noProof w:val="0"/>
        </w:rPr>
        <w:t>27.</w:t>
      </w:r>
      <w:r w:rsidRPr="00515A4C">
        <w:rPr>
          <w:noProof w:val="0"/>
        </w:rPr>
        <w:tab/>
        <w:t>Rättigheter för människoapor</w:t>
      </w:r>
    </w:p>
    <w:p w:rsidR="00322A77" w:rsidRPr="00515A4C" w:rsidRDefault="00322A77">
      <w:pPr>
        <w:pStyle w:val="Frslagstext"/>
      </w:pPr>
      <w:r w:rsidRPr="00515A4C">
        <w:t xml:space="preserve">Riksdagen avslår motion 2002/03:K342.       </w:t>
      </w:r>
      <w:bookmarkStart w:id="32" w:name="RESPARTI027"/>
      <w:bookmarkEnd w:id="32"/>
    </w:p>
    <w:p w:rsidR="00322A77" w:rsidRPr="00515A4C" w:rsidRDefault="00322A77">
      <w:pPr>
        <w:pStyle w:val="Frslagspunkt"/>
        <w:outlineLvl w:val="0"/>
        <w:rPr>
          <w:noProof w:val="0"/>
        </w:rPr>
      </w:pPr>
      <w:r w:rsidRPr="00515A4C">
        <w:rPr>
          <w:noProof w:val="0"/>
        </w:rPr>
        <w:t>28.</w:t>
      </w:r>
      <w:r w:rsidRPr="00515A4C">
        <w:rPr>
          <w:noProof w:val="0"/>
        </w:rPr>
        <w:tab/>
        <w:t>Partibidrag från fackligt anslutna personer</w:t>
      </w:r>
    </w:p>
    <w:p w:rsidR="00322A77" w:rsidRPr="00515A4C" w:rsidRDefault="00322A77">
      <w:pPr>
        <w:pStyle w:val="Frslagstext"/>
      </w:pPr>
      <w:r w:rsidRPr="00515A4C">
        <w:t xml:space="preserve">Riksdagen avslår motion 2002/03:K384 yrkandena 1–4.       </w:t>
      </w:r>
    </w:p>
    <w:p w:rsidR="00322A77" w:rsidRPr="00515A4C" w:rsidRDefault="00322A77">
      <w:pPr>
        <w:pStyle w:val="Reservationshnvisning"/>
      </w:pPr>
      <w:r w:rsidRPr="00515A4C">
        <w:t>Reservation 20 (m, fp, kd, c, mp)</w:t>
      </w:r>
      <w:bookmarkStart w:id="33" w:name="RESPARTI028"/>
      <w:bookmarkEnd w:id="33"/>
    </w:p>
    <w:p w:rsidR="00322A77" w:rsidRPr="00515A4C" w:rsidRDefault="00322A77">
      <w:bookmarkStart w:id="34" w:name="Nästa_Hpunkt"/>
      <w:bookmarkEnd w:id="34"/>
      <w:r w:rsidRPr="00515A4C">
        <w:br w:type="page"/>
      </w:r>
    </w:p>
    <w:p w:rsidR="00322A77" w:rsidRPr="00515A4C" w:rsidRDefault="00322A77">
      <w:pPr>
        <w:pStyle w:val="Utskriftsdatum"/>
        <w:outlineLvl w:val="0"/>
      </w:pPr>
      <w:r w:rsidRPr="00515A4C">
        <w:t>Stockholm den 13 februari 2003</w:t>
      </w:r>
    </w:p>
    <w:p w:rsidR="00322A77" w:rsidRPr="00515A4C" w:rsidRDefault="00322A77">
      <w:r w:rsidRPr="00515A4C">
        <w:t>På konstitutionsutskottets vägnar</w:t>
      </w:r>
    </w:p>
    <w:p w:rsidR="00322A77" w:rsidRPr="00515A4C" w:rsidRDefault="00322A77">
      <w:pPr>
        <w:pStyle w:val="Ordfranden"/>
        <w:rPr>
          <w:noProof w:val="0"/>
        </w:rPr>
      </w:pPr>
      <w:bookmarkStart w:id="35" w:name="Ordförande"/>
      <w:bookmarkEnd w:id="35"/>
      <w:r w:rsidRPr="00515A4C">
        <w:rPr>
          <w:noProof w:val="0"/>
        </w:rPr>
        <w:t xml:space="preserve">Gunnar Hökmark </w:t>
      </w:r>
    </w:p>
    <w:p w:rsidR="00322A77" w:rsidRPr="00515A4C" w:rsidRDefault="00322A77">
      <w:pPr>
        <w:pStyle w:val="Deltagare"/>
        <w:rPr>
          <w:noProof w:val="0"/>
        </w:rPr>
      </w:pPr>
      <w:bookmarkStart w:id="36" w:name="Deltagare"/>
      <w:bookmarkEnd w:id="36"/>
      <w:r w:rsidRPr="00515A4C">
        <w:rPr>
          <w:noProof w:val="0"/>
        </w:rPr>
        <w:t>Följande ledamöter har deltagit i beslutet: Gunnar Hökmark (m), Göran Magnusson (s), Barbro Hietala Nordlund (s), Helena Bargholtz (fp), Kenth Högström (s), Ingvar Svensson (kd), Mats Einarsson (v), Mats Berglind (s), Henrik S Järrel (m), Anders Bengtsson (s), Tobias Krantz (fp), Kerstin Lundgren (c), Helene Petersson (s), Nils Fredrik Aurelius (m), Billy Gustafsson (s), Gustav Fridolin (mp) och Inger Jarl Beck (s).</w:t>
      </w:r>
    </w:p>
    <w:p w:rsidR="00322A77" w:rsidRPr="00515A4C" w:rsidRDefault="00322A77">
      <w:pPr>
        <w:pStyle w:val="Normaltindrag"/>
      </w:pPr>
    </w:p>
    <w:p w:rsidR="00322A77" w:rsidRPr="00515A4C" w:rsidRDefault="00322A77">
      <w:pPr>
        <w:pStyle w:val="Normaltindrag"/>
        <w:ind w:firstLine="0"/>
        <w:sectPr w:rsidR="00000000" w:rsidRPr="00515A4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22A77" w:rsidRPr="00515A4C" w:rsidRDefault="00322A77">
      <w:pPr>
        <w:pStyle w:val="Rubrik1"/>
        <w:rPr>
          <w:noProof w:val="0"/>
        </w:rPr>
      </w:pPr>
      <w:bookmarkStart w:id="37" w:name="_Toc34039139"/>
      <w:r w:rsidRPr="00515A4C">
        <w:rPr>
          <w:noProof w:val="0"/>
        </w:rPr>
        <w:t>Utskottets överväganden</w:t>
      </w:r>
      <w:bookmarkEnd w:id="37"/>
    </w:p>
    <w:p w:rsidR="00322A77" w:rsidRPr="00515A4C" w:rsidRDefault="00322A77">
      <w:pPr>
        <w:pStyle w:val="Rubrik2"/>
        <w:spacing w:before="0"/>
      </w:pPr>
      <w:bookmarkStart w:id="38" w:name="_Toc34039140"/>
      <w:r w:rsidRPr="00515A4C">
        <w:t>Framväxten av det svenska fri- och rättighetsskyddet</w:t>
      </w:r>
      <w:bookmarkEnd w:id="38"/>
    </w:p>
    <w:p w:rsidR="00322A77" w:rsidRPr="00515A4C" w:rsidRDefault="00322A77">
      <w:r w:rsidRPr="00515A4C">
        <w:t>Redan konungabalken i Magnus Erikssons landslag från mitten av 1300-talet innehöll föreskrifter med inriktning på skydd för medborgarna. Konungen skulle styrka, älska och vårda all rättvisa och sanning och undertrycka all vrångvisa och osanning och all orätt samt vara sin allmoge trogen och trofast, så att han icke skulle fördärva någon, fattig eller rik, på något sätt till liv eller lemmar, utan att han var lagligen förvunnen, såsom lagen säger och rikets rätt, och han skulle icke heller på något sätt tag</w:t>
      </w:r>
      <w:r w:rsidRPr="00515A4C">
        <w:t xml:space="preserve">a något gods från någon utom enligt lag och efter laga dom. </w:t>
      </w:r>
    </w:p>
    <w:p w:rsidR="00322A77" w:rsidRPr="00515A4C" w:rsidRDefault="00322A77">
      <w:pPr>
        <w:pStyle w:val="Normaltindrag"/>
      </w:pPr>
      <w:r w:rsidRPr="00515A4C">
        <w:t>Delar av denna konungaed togs in i senare konungaförsäkringar samt i 1719, 1720 och 1772 års regeringsformer.</w:t>
      </w:r>
    </w:p>
    <w:p w:rsidR="00322A77" w:rsidRPr="00515A4C" w:rsidRDefault="00322A77">
      <w:pPr>
        <w:pStyle w:val="Normaltindrag"/>
      </w:pPr>
      <w:r w:rsidRPr="00515A4C">
        <w:t>Även 1809 års regeringsform innehöll en bestämmelse vars syfte var att skydda den enskilde mot övergrepp av den styrande makten, 16 §. Där fas</w:t>
      </w:r>
      <w:r w:rsidRPr="00515A4C">
        <w:t>t</w:t>
      </w:r>
      <w:r w:rsidRPr="00515A4C">
        <w:t>slogs vissa rättsstatliga och för individen väsentliga principer – inga ingrepp i den enskildes personliga frihet, välfärd och egendom utan laga rannsakan och dom, skydd mot husrannsakan, garanti för laga domstol samt religionsfrihet – vilka ingår som ett viktigt led i de medborgerliga fri- och rättigheterna. I bestämmelsen nämns dock över huvud taget inte vare sig yttrandefriheten, mötesfriheten eller föreningsfriheten.</w:t>
      </w:r>
    </w:p>
    <w:p w:rsidR="00322A77" w:rsidRPr="00515A4C" w:rsidRDefault="00322A77">
      <w:pPr>
        <w:pStyle w:val="Normaltindrag"/>
      </w:pPr>
      <w:r w:rsidRPr="00515A4C">
        <w:t>Med undantag för tryckfriheten och rätten att ta del av allmänna handlingar växte dock</w:t>
      </w:r>
      <w:r w:rsidRPr="00515A4C">
        <w:t xml:space="preserve"> de medborgerliga fri- och rättigheterna fram i sin moderna form i den vanliga lagstiftningen. Utvecklingen i Europa under 1930-talet aktualis</w:t>
      </w:r>
      <w:r w:rsidRPr="00515A4C">
        <w:t>e</w:t>
      </w:r>
      <w:r w:rsidRPr="00515A4C">
        <w:t>rade emellertid frågan om ett starkare skydd för de medborgerliga fri- och rättigheterna. År 1938 tillsattes den s.k. tingstenska utredningen för att utreda frågan om ”införande i regeringsformen av sådana principer, som för det fortbestående svenska samhället var av den fundamentala vikt att de ej måtte kunna åsidosättas utan grundlagsändring”. Utredningens förslag,</w:t>
      </w:r>
      <w:r w:rsidRPr="00515A4C">
        <w:t xml:space="preserve"> som lades fram år 1941, ledde dock inte till någon lagstiftningsåtgärd. Erfarenheterna från andra världskriget föranledde att frågan togs upp på nytt. Författningsu</w:t>
      </w:r>
      <w:r w:rsidRPr="00515A4C">
        <w:t>t</w:t>
      </w:r>
      <w:r w:rsidRPr="00515A4C">
        <w:t>redningen tillsattes år 1954 och lade i sitt slutbetänkande år 1963 fram ett förslag till ny regeringsform som innehöll ett särskilt kapitel om grun</w:t>
      </w:r>
      <w:r w:rsidRPr="00515A4C">
        <w:t>d</w:t>
      </w:r>
      <w:r w:rsidRPr="00515A4C">
        <w:t>läggande fri- och rättigheter. På grund av bl.a. den remisskritik som framfö</w:t>
      </w:r>
      <w:r w:rsidRPr="00515A4C">
        <w:t>r</w:t>
      </w:r>
      <w:r w:rsidRPr="00515A4C">
        <w:t>des ansågs det att förslaget inte kunde läggas till grund för en författningsr</w:t>
      </w:r>
      <w:r w:rsidRPr="00515A4C">
        <w:t>e</w:t>
      </w:r>
      <w:r w:rsidRPr="00515A4C">
        <w:t>form. En ny utredning, Grundlagberedninge</w:t>
      </w:r>
      <w:r w:rsidRPr="00515A4C">
        <w:t>n, tillsattes därför år 1966 för att slutföra arbetet på en ny författning. 1974 års regeringsform kom i allt v</w:t>
      </w:r>
      <w:r w:rsidRPr="00515A4C">
        <w:t>ä</w:t>
      </w:r>
      <w:r w:rsidRPr="00515A4C">
        <w:t>sentligt att bygga på Grundlagberedningens år 1972 avgivna förslag (SOU 1972:15).</w:t>
      </w:r>
    </w:p>
    <w:p w:rsidR="00322A77" w:rsidRPr="00515A4C" w:rsidRDefault="00322A77">
      <w:pPr>
        <w:pStyle w:val="Rubrik3"/>
        <w:rPr>
          <w:noProof w:val="0"/>
        </w:rPr>
      </w:pPr>
      <w:bookmarkStart w:id="39" w:name="_Toc34039141"/>
      <w:r w:rsidRPr="00515A4C">
        <w:rPr>
          <w:noProof w:val="0"/>
        </w:rPr>
        <w:t>1974 års regeringsform</w:t>
      </w:r>
      <w:bookmarkEnd w:id="39"/>
    </w:p>
    <w:p w:rsidR="00322A77" w:rsidRPr="00515A4C" w:rsidRDefault="00322A77">
      <w:r w:rsidRPr="00515A4C">
        <w:t>I förarbetena till 1974 års regeringsform framhöll departementschefen att den politiska utvecklingen visat att en demokrati kan växa fram och befästas utan att grundlagen innehåller några bindande regler om lagstiftningens innehåll i form av en fri- och rättighetskatalog av det slag som ofta återfinns i utländska författningar. Enligt departementschefen måste medborgarnas främsta skydd mot övergrepp ligga i det demokratiska systemet som sådant med fritt ve</w:t>
      </w:r>
      <w:r w:rsidRPr="00515A4C">
        <w:t>r</w:t>
      </w:r>
      <w:r w:rsidRPr="00515A4C">
        <w:t>kande politiska partier som slår vakt om de grundläggande politiska rättigh</w:t>
      </w:r>
      <w:r w:rsidRPr="00515A4C">
        <w:t>e</w:t>
      </w:r>
      <w:r w:rsidRPr="00515A4C">
        <w:t>terna, med fria val byggda på allmän och lika rösträtt, med behandling i rik</w:t>
      </w:r>
      <w:r w:rsidRPr="00515A4C">
        <w:t>s</w:t>
      </w:r>
      <w:r w:rsidRPr="00515A4C">
        <w:t>dagen av lagförslag och med en vidsträckt allmän debatt. Departementschefen framhöll att den yttersta garantin för fri- och rättigheter är demokratins fö</w:t>
      </w:r>
      <w:r w:rsidRPr="00515A4C">
        <w:t>r</w:t>
      </w:r>
      <w:r w:rsidRPr="00515A4C">
        <w:t>ankring i folkopinionen (prop. 1973:90 s. 192).</w:t>
      </w:r>
    </w:p>
    <w:p w:rsidR="00322A77" w:rsidRPr="00515A4C" w:rsidRDefault="00322A77">
      <w:pPr>
        <w:pStyle w:val="Normaltindrag"/>
      </w:pPr>
      <w:r w:rsidRPr="00515A4C">
        <w:t>Vad departementschefen hade uttalat föranledde ingen erinran från ko</w:t>
      </w:r>
      <w:r w:rsidRPr="00515A4C">
        <w:t>n</w:t>
      </w:r>
      <w:r w:rsidRPr="00515A4C">
        <w:t>stitutionsutskottet. Utskottet var angeläget att framhålla att i dessa delar inte förelåg någon meningsskiljaktighet inom utskottet. Däremot förelåg delade meningar i fråga om sättet för och omfattningen av regleringen i grundlag av medborgerliga fri- och rättigheter (bet. KU 1973:26, s. 40 f.).</w:t>
      </w:r>
    </w:p>
    <w:p w:rsidR="00322A77" w:rsidRPr="00515A4C" w:rsidRDefault="00322A77">
      <w:pPr>
        <w:pStyle w:val="Normaltindrag"/>
      </w:pPr>
      <w:r w:rsidRPr="00515A4C">
        <w:t>Regeringens förslag till ny regeringsform byggde, som nämnts, på Grun</w:t>
      </w:r>
      <w:r w:rsidRPr="00515A4C">
        <w:t>d</w:t>
      </w:r>
      <w:r w:rsidRPr="00515A4C">
        <w:t>lagberedningens förslag. När det gäller fri- och rättighetsregleringen utgjorde beredningens förslag resultatet av en kompromiss som innebar att regering</w:t>
      </w:r>
      <w:r w:rsidRPr="00515A4C">
        <w:t>s</w:t>
      </w:r>
      <w:r w:rsidRPr="00515A4C">
        <w:t>formen i fråga om de politiska fri- och rättigheterna och den personliga frih</w:t>
      </w:r>
      <w:r w:rsidRPr="00515A4C">
        <w:t>e</w:t>
      </w:r>
      <w:r w:rsidRPr="00515A4C">
        <w:t>ten skulle innehålla klara beskrivningar men medge att dessa fri- och rätti</w:t>
      </w:r>
      <w:r w:rsidRPr="00515A4C">
        <w:t>g</w:t>
      </w:r>
      <w:r w:rsidRPr="00515A4C">
        <w:t>heter skulle kunna begränsas genom enkel majoritet. Lagprövningsrätten erkändes men skulle inte skrivas in i regeringsformen.</w:t>
      </w:r>
    </w:p>
    <w:p w:rsidR="00322A77" w:rsidRPr="00515A4C" w:rsidRDefault="00322A77">
      <w:pPr>
        <w:pStyle w:val="Rubrik3"/>
        <w:rPr>
          <w:noProof w:val="0"/>
        </w:rPr>
      </w:pPr>
      <w:bookmarkStart w:id="40" w:name="_Toc34039142"/>
      <w:r w:rsidRPr="00515A4C">
        <w:rPr>
          <w:noProof w:val="0"/>
        </w:rPr>
        <w:t>Förstärkta fri- och rättigheter 1976</w:t>
      </w:r>
      <w:bookmarkEnd w:id="40"/>
    </w:p>
    <w:p w:rsidR="00322A77" w:rsidRPr="00515A4C" w:rsidRDefault="00322A77">
      <w:r w:rsidRPr="00515A4C">
        <w:t>Vid behandlingen av förslaget till regeringsform begärde riksdagen en ny utredning med uppgift att i hela dess vidd på nytt överväga frågan om r</w:t>
      </w:r>
      <w:r w:rsidRPr="00515A4C">
        <w:t>e</w:t>
      </w:r>
      <w:r w:rsidRPr="00515A4C">
        <w:t>glering i grundlagen av skyddet för enskildas fri- och rättigheter. Syftet med arbetet skulle vara dels att sträva efter att uppnå ett utbyggt skydd i grundlag för de politiska fri- och rättigheterna, dels att överväga frågan om en utvid</w:t>
      </w:r>
      <w:r w:rsidRPr="00515A4C">
        <w:t>g</w:t>
      </w:r>
      <w:r w:rsidRPr="00515A4C">
        <w:t>ning av rättighetsområdet i övrigt. Denna uppgift utfördes av 1973 års fri- och rättighetsutredning  (SOU 1975:75) och ledde år 1976 fram till vissa ändrin</w:t>
      </w:r>
      <w:r w:rsidRPr="00515A4C">
        <w:t>g</w:t>
      </w:r>
      <w:r w:rsidRPr="00515A4C">
        <w:t>ar i regering</w:t>
      </w:r>
      <w:r w:rsidRPr="00515A4C">
        <w:t>s</w:t>
      </w:r>
      <w:r w:rsidRPr="00515A4C">
        <w:t>formen.</w:t>
      </w:r>
    </w:p>
    <w:p w:rsidR="00322A77" w:rsidRPr="00515A4C" w:rsidRDefault="00322A77">
      <w:pPr>
        <w:pStyle w:val="Normaltindrag"/>
      </w:pPr>
      <w:r w:rsidRPr="00515A4C">
        <w:t>Ändringarna innebar att de rättsligt sett bindande reglerna sammanfördes i 2 kap. Vidare utökad</w:t>
      </w:r>
      <w:r w:rsidRPr="00515A4C">
        <w:t>es de rättigheter som endast kan begränsas genom grundlagsändring. Även de rättigheter som kan inskränkas genom vanlig lag utökades samtidigt som möjligheterna att besluta om rättighetsbegränsande lag inskränktes (prop. 1975/76:209, bet. KU 1975/76:56).</w:t>
      </w:r>
    </w:p>
    <w:p w:rsidR="00322A77" w:rsidRPr="00515A4C" w:rsidRDefault="00322A77">
      <w:pPr>
        <w:pStyle w:val="Rubrik3"/>
        <w:rPr>
          <w:noProof w:val="0"/>
        </w:rPr>
      </w:pPr>
      <w:bookmarkStart w:id="41" w:name="_Toc34039143"/>
      <w:r w:rsidRPr="00515A4C">
        <w:rPr>
          <w:noProof w:val="0"/>
        </w:rPr>
        <w:t>1979 års reform</w:t>
      </w:r>
      <w:bookmarkEnd w:id="41"/>
    </w:p>
    <w:p w:rsidR="00322A77" w:rsidRPr="00515A4C" w:rsidRDefault="00322A77">
      <w:r w:rsidRPr="00515A4C">
        <w:t>En ny utredning, Rättighetsskyddsutredningen, fick i uppdrag att utreda några frågor som var föremål för olika meningar. I utredningen enades de fyra största riksdagspartierna om flera förstärkningar av skyddet för de redan införda rättigheterna genom ett särskilt förfarande vid rättighetsbegränsande lagstiftning, utökad lagrådsgranskning och ett grundlagsfästande av lagprö</w:t>
      </w:r>
      <w:r w:rsidRPr="00515A4C">
        <w:t>v</w:t>
      </w:r>
      <w:r w:rsidRPr="00515A4C">
        <w:t>ningsrätten (SOU 1978:34). Utredningsförslaget fördes fram till riksdagsb</w:t>
      </w:r>
      <w:r w:rsidRPr="00515A4C">
        <w:t>e</w:t>
      </w:r>
      <w:r w:rsidRPr="00515A4C">
        <w:t>slut år 1979 (prop. 1978/79:195, bet. KU 1978/79:39).</w:t>
      </w:r>
    </w:p>
    <w:p w:rsidR="00322A77" w:rsidRPr="00515A4C" w:rsidRDefault="00322A77">
      <w:pPr>
        <w:pStyle w:val="Rubrik3"/>
        <w:rPr>
          <w:noProof w:val="0"/>
        </w:rPr>
      </w:pPr>
      <w:bookmarkStart w:id="42" w:name="_Toc34039144"/>
      <w:r w:rsidRPr="00515A4C">
        <w:rPr>
          <w:noProof w:val="0"/>
        </w:rPr>
        <w:t>Grundlagsfäst integritetsskydd</w:t>
      </w:r>
      <w:bookmarkEnd w:id="42"/>
    </w:p>
    <w:p w:rsidR="00322A77" w:rsidRPr="00515A4C" w:rsidRDefault="00322A77">
      <w:r w:rsidRPr="00515A4C">
        <w:t>Den 1 januari 1989 infördes i regeringsformen en grundregel om skydd för den enskildes personliga integritet vid dataregistrering. Ändringen byggde på ett förslag från Data- och offentlighetskommittén (Ds Ju 1987:8). Alla rik</w:t>
      </w:r>
      <w:r w:rsidRPr="00515A4C">
        <w:t>s</w:t>
      </w:r>
      <w:r w:rsidRPr="00515A4C">
        <w:t>dagspartier var företrädda i kommittén, som var enig i sitt förslag (prop. 1987/88:57, bet. 1987/88:KU19). Samtidigt gjordes en mindre justering i fråga om mötes- och demonstrationsfriheterna (prop. 1986/87:151, bet. 1987/88:KU36).</w:t>
      </w:r>
    </w:p>
    <w:p w:rsidR="00322A77" w:rsidRPr="00515A4C" w:rsidRDefault="00322A77">
      <w:pPr>
        <w:pStyle w:val="Rubrik3"/>
        <w:rPr>
          <w:noProof w:val="0"/>
        </w:rPr>
      </w:pPr>
      <w:bookmarkStart w:id="43" w:name="_Toc34039145"/>
      <w:r w:rsidRPr="00515A4C">
        <w:rPr>
          <w:noProof w:val="0"/>
        </w:rPr>
        <w:t>Inkorporering av Europakonventionen och andra fri- och rättighetsfrågor</w:t>
      </w:r>
      <w:bookmarkEnd w:id="43"/>
    </w:p>
    <w:p w:rsidR="00322A77" w:rsidRPr="00515A4C" w:rsidRDefault="00322A77">
      <w:r w:rsidRPr="00515A4C">
        <w:t>Den 2 december 1993 träffades en överenskommelse i olika författningsfr</w:t>
      </w:r>
      <w:r w:rsidRPr="00515A4C">
        <w:t>å</w:t>
      </w:r>
      <w:r w:rsidRPr="00515A4C">
        <w:t xml:space="preserve">gor mellan riksdagspartierna. Av överenskommelsen framgår bl.a. att de förslag som den parlamentariska Fri- och rättighetskommittén hade lagt fram i delbetänkandet Fri- och rättighetsfrågor (SOU 1993:40) skulle läggas till grund för lagstiftning. Fri- och rättighetskommittén, som tillsattes år 1991, hade i uppdrag dels att överväga en förstärkning av regeringsformens fri- och rättighetsskydd liksom att utreda frågor som rörde domstols kontroll av normbeslut och förvaltningsbeslut, dels att överväga om och </w:t>
      </w:r>
      <w:r w:rsidRPr="00515A4C">
        <w:t>i så fall hur Europakonventionen skulle kunna införlivas med den interna svenska rätten. Kommittén hade fått stor frihet att ta upp olika frågor på de områden som uppdraget avsåg. I direktiven nämndes emellertid särskilt rätten till enskilt ägande, beskattningsmaktens gränser, närings- och yrkesfriheten och den s.k. negativa föreningsfriheten samt den med fri- och rättigheterna förenade la</w:t>
      </w:r>
      <w:r w:rsidRPr="00515A4C">
        <w:t>g</w:t>
      </w:r>
      <w:r w:rsidRPr="00515A4C">
        <w:t>prövningsrätten. Utöver de i direktiven särskilt nämnda frågorna prövade kommittén också om det borde införas grundlags</w:t>
      </w:r>
      <w:r w:rsidRPr="00515A4C">
        <w:t>skydd för rätten till liv, rätten till utbildning och föräldrarätten, rätten till arbete och fackliga rätti</w:t>
      </w:r>
      <w:r w:rsidRPr="00515A4C">
        <w:t>g</w:t>
      </w:r>
      <w:r w:rsidRPr="00515A4C">
        <w:t>heter samt för allemansrätten. Kommittén prövade även om förfarandet vid rättighetsbegränsande lagstif</w:t>
      </w:r>
      <w:r w:rsidRPr="00515A4C">
        <w:t>t</w:t>
      </w:r>
      <w:r w:rsidRPr="00515A4C">
        <w:t>ning behövde förändras.</w:t>
      </w:r>
    </w:p>
    <w:p w:rsidR="00322A77" w:rsidRPr="00515A4C" w:rsidRDefault="00322A77">
      <w:pPr>
        <w:pStyle w:val="Normaltindrag"/>
      </w:pPr>
      <w:r w:rsidRPr="00515A4C">
        <w:t>Fri- och rättighetskommittén föreslog att regeringsformens bestämmelse om egendomsskydd skulle utformas så att den gav en närmare precisering av det egendomsskydd som Europakonventionen ger. Vidare föreslog kommittén ett uttryckligt förbehåll för allemansrätten och att det sku</w:t>
      </w:r>
      <w:r w:rsidRPr="00515A4C">
        <w:t>lle införas ett grundlagsskydd för närings- och yrkesfriheten samt en bestämmelse som garanterar alla barn rätt att kostnadsfritt få grundläggande utbildning i allmän skola. Kommittén föreslog också att Europakonventionen skulle inkorporeras i den svenska rätten genom en särskild lag och att det skulle införas en sä</w:t>
      </w:r>
      <w:r w:rsidRPr="00515A4C">
        <w:t>r</w:t>
      </w:r>
      <w:r w:rsidRPr="00515A4C">
        <w:t>skild bestämmelse i regeringsformen som stadgar att lag eller annan föreskrift inte får meddelas i strid med Sveriges åtaganden på grund av Europakonve</w:t>
      </w:r>
      <w:r w:rsidRPr="00515A4C">
        <w:t>n</w:t>
      </w:r>
      <w:r w:rsidRPr="00515A4C">
        <w:t>tionen. Enligt kommitténs bedömning stod s</w:t>
      </w:r>
      <w:r w:rsidRPr="00515A4C">
        <w:t>vensk lagstiftning på praktiskt taget alla områden i överensstämmelse med Europakonventionen.</w:t>
      </w:r>
    </w:p>
    <w:p w:rsidR="00322A77" w:rsidRPr="00515A4C" w:rsidRDefault="00322A77">
      <w:pPr>
        <w:pStyle w:val="Normaltindrag"/>
      </w:pPr>
      <w:r w:rsidRPr="00515A4C">
        <w:t>Fri- och rättighetskommitténs förslag fördes fram till riksdagsbeslut år 1994 (prop. 1993/94:117, bet. 1993/94:KU24, rskr. 1993/94:246, bet. 1994/95:KU5, rskr. 1994/95:11).</w:t>
      </w:r>
    </w:p>
    <w:p w:rsidR="00322A77" w:rsidRPr="00515A4C" w:rsidRDefault="00322A77">
      <w:pPr>
        <w:pStyle w:val="Rubrik3"/>
        <w:rPr>
          <w:noProof w:val="0"/>
        </w:rPr>
      </w:pPr>
      <w:bookmarkStart w:id="44" w:name="_Toc34039146"/>
      <w:r w:rsidRPr="00515A4C">
        <w:rPr>
          <w:noProof w:val="0"/>
        </w:rPr>
        <w:t>Förstärkt skydd för utsatta grupper och ett skydd för miljön</w:t>
      </w:r>
      <w:bookmarkEnd w:id="44"/>
    </w:p>
    <w:p w:rsidR="00322A77" w:rsidRPr="00515A4C" w:rsidRDefault="00322A77">
      <w:r w:rsidRPr="00515A4C">
        <w:t>Frågan om att stärka grundlagsskyddet för vissa utsatta grupper diskuterades under en lång period. I betänkandet Homosexuella och samhället (SOU 1984:63) föreslog Utredningen om homosexuellas situation i samhället att reglerna på fri- och rättighetsområdet i 2 kap. 15 och 20 §§ regeringsformen skulle kompletteras och även omfatta missgynnanden på grund av sexuell läggning. Med sexuell läggning avsåg utredningen hetero-, homo- och bise</w:t>
      </w:r>
      <w:r w:rsidRPr="00515A4C">
        <w:t>x</w:t>
      </w:r>
      <w:r w:rsidRPr="00515A4C">
        <w:t>uell läggning. Förslaget ledde emellertid inte till lagstiftning bl.a. på grund av svårigheter att finna en ändamålsenlig begränsning av det föreslagna grun</w:t>
      </w:r>
      <w:r w:rsidRPr="00515A4C">
        <w:t>d</w:t>
      </w:r>
      <w:r w:rsidRPr="00515A4C">
        <w:t>lagsförbudet (prop. 1986/87:124, bet. SoU 1986/87:31).</w:t>
      </w:r>
    </w:p>
    <w:p w:rsidR="00322A77" w:rsidRPr="00515A4C" w:rsidRDefault="00322A77">
      <w:pPr>
        <w:pStyle w:val="Normaltindrag"/>
      </w:pPr>
      <w:r w:rsidRPr="00515A4C">
        <w:rPr>
          <w:snapToGrid w:val="0"/>
        </w:rPr>
        <w:t>I betänkandet Ett samhälle för alla (SOU 1992:52) föreslogs att 2 kap. r</w:t>
      </w:r>
      <w:r w:rsidRPr="00515A4C">
        <w:rPr>
          <w:snapToGrid w:val="0"/>
        </w:rPr>
        <w:t>e</w:t>
      </w:r>
      <w:r w:rsidRPr="00515A4C">
        <w:rPr>
          <w:snapToGrid w:val="0"/>
        </w:rPr>
        <w:t>geringsformen skulle kompletteras med en ny paragraf där det sägs att lag eller annan föreskrift inte får</w:t>
      </w:r>
      <w:r w:rsidRPr="00515A4C">
        <w:t xml:space="preserve"> innebära att någon medborgare missgynnas på grund av funktionshinder. Förslaget avstyrktes av de rättsliga remissinsta</w:t>
      </w:r>
      <w:r w:rsidRPr="00515A4C">
        <w:t>n</w:t>
      </w:r>
      <w:r w:rsidRPr="00515A4C">
        <w:t>serna. I betänkandet Lindqvists nia – nio vägar att utveckla bemötandet av personer med funktionshinder (SOU 1999:21) togs fasta på kritiken och man föreslog i stället ett tillägg till 1 kap. 2 § andra stycket regeringsformen enligt vilket det särskilt skulle åligga det allmänna att ve</w:t>
      </w:r>
      <w:r w:rsidRPr="00515A4C">
        <w:t>rka för att alla medborgare oavsett kön, ålder, funktionshinder, ras, sexuell läggning, etnisk, språklig eller religiös tillhörighet skall kunna uppnå full delaktighet och jämlikhet i sa</w:t>
      </w:r>
      <w:r w:rsidRPr="00515A4C">
        <w:t>m</w:t>
      </w:r>
      <w:r w:rsidRPr="00515A4C">
        <w:t xml:space="preserve">hället. </w:t>
      </w:r>
    </w:p>
    <w:p w:rsidR="00322A77" w:rsidRPr="00515A4C" w:rsidRDefault="00322A77">
      <w:pPr>
        <w:pStyle w:val="Normaltindrag"/>
      </w:pPr>
      <w:r w:rsidRPr="00515A4C">
        <w:t>Den 2 september 1999 beslutade regeringen direktiv till en parlamentarisk kommitté med uppdrag att utreda vissa frågor som rörde regeringsformen. 1999 års författningsutredning gavs i sina ursprungliga direktiv i uppdrag bl.a. att se över lydelsen av regeringsformens bestämmelse om egendomsskydd, 2 kap. 18 §. I mar</w:t>
      </w:r>
      <w:r w:rsidRPr="00515A4C">
        <w:t>s 2000 fick utredningen genom tilläggsdirektiv i uppdrag att bl.a. föreslå hur skyddet för miljön samt funktionshindrades och andra utsatta gruppers delaktighet och jämlikhet i samhället skulle regleras i 1 kap. 2 § regeringsformen. Enligt tilläggsdirektiven fick de invändningar som framförts mot att i 2 kap. regeringsformen införa en ny bestämmelse om förbud mot diskriminering av funktionshindrade anses ha en sådan tyngd att ett stärkt skydd för såväl denna som andra utsatta grupper borde ske inom ramen fö</w:t>
      </w:r>
      <w:r w:rsidRPr="00515A4C">
        <w:t>r programstadgandet i 1 kap. 2 § regeringsformen. 1999 års författningsutre</w:t>
      </w:r>
      <w:r w:rsidRPr="00515A4C">
        <w:t>d</w:t>
      </w:r>
      <w:r w:rsidRPr="00515A4C">
        <w:t>ning avgav i februari 2001 delbetänkandet Vissa grundlagsfrågor (SOU 2001:19). Utredningen hänvisade till att när det gäller stiftande och ändring av grundlag eftersträvas normalt största möjliga enighet. Någon uppgörelse över partigränserna om regeringsformens bestämmelse om egendomsskydd, 2 kap. 18 §, kunde inte nås och utredningen lade därför inte fram något förslag till ändrad lydelse. 1999 års författningsutrednings förslag til</w:t>
      </w:r>
      <w:r w:rsidRPr="00515A4C">
        <w:t xml:space="preserve">l ändringar i 1 kap. 2  § regeringsformen fördes fram till riksdagsbeslut 2002 (prop. 2001/02:72, bet. 2001/02:KU18, bet. 2002/03:KU6, rskr. 2002/03:15). </w:t>
      </w:r>
    </w:p>
    <w:p w:rsidR="00322A77" w:rsidRPr="00515A4C" w:rsidRDefault="00322A77">
      <w:pPr>
        <w:pStyle w:val="Rubrik2"/>
      </w:pPr>
      <w:bookmarkStart w:id="45" w:name="_Toc34039147"/>
      <w:r w:rsidRPr="00515A4C">
        <w:t>Gällande bestämmelser</w:t>
      </w:r>
      <w:bookmarkEnd w:id="45"/>
    </w:p>
    <w:p w:rsidR="00322A77" w:rsidRPr="00515A4C" w:rsidRDefault="00322A77">
      <w:pPr>
        <w:pStyle w:val="Rubrik3"/>
        <w:rPr>
          <w:noProof w:val="0"/>
        </w:rPr>
      </w:pPr>
      <w:bookmarkStart w:id="46" w:name="_Toc34039148"/>
      <w:r w:rsidRPr="00515A4C">
        <w:rPr>
          <w:noProof w:val="0"/>
        </w:rPr>
        <w:t>Regeringsformen</w:t>
      </w:r>
      <w:bookmarkEnd w:id="46"/>
    </w:p>
    <w:p w:rsidR="00322A77" w:rsidRPr="00515A4C" w:rsidRDefault="00322A77">
      <w:r w:rsidRPr="00515A4C">
        <w:t>Enligt 1 kap. 2 § regeringsformen skall den offentliga makten utövas med respekt för alla människors lika värde och för den enskilda människans frihet och värdighet. Den enskildes personliga, ekonomiska och kulturella välfärd skall vara grundläggande mål för den offentliga verksamheten. Det skall särskilt åligga det allmänna att trygga rätten till hälsa, arbete, bostad och utbildning samt att verka för social omsorg och trygghet. Det allmänna skall främja en hållbar utveckling som leder till en god miljö f</w:t>
      </w:r>
      <w:r w:rsidRPr="00515A4C">
        <w:t>ör nuvarande och kommande generationer. Det allmänna skall verka för att demokratins idéer blir vägledande inom samhällets alla områden samt värna den enskildes pr</w:t>
      </w:r>
      <w:r w:rsidRPr="00515A4C">
        <w:t>i</w:t>
      </w:r>
      <w:r w:rsidRPr="00515A4C">
        <w:t>vatliv och familjeliv. Det allmänna skall verka för att alla människor skall kunna uppnå delaktighet och jämlikhet i samhället. Det allmänna skall mo</w:t>
      </w:r>
      <w:r w:rsidRPr="00515A4C">
        <w:t>t</w:t>
      </w:r>
      <w:r w:rsidRPr="00515A4C">
        <w:t>verka diskriminering av människor på grund av kön, hudfärg, nationellt eller etniskt ursprung, språklig eller religiös tillhörighet, funktionshinder, sexuell läggning, ålder eller annan omständighet</w:t>
      </w:r>
      <w:r w:rsidRPr="00515A4C">
        <w:t xml:space="preserve"> som gäller den enskilde som person. Etniska, språkliga och religiösa minoriteters möjligheter att behålla och u</w:t>
      </w:r>
      <w:r w:rsidRPr="00515A4C">
        <w:t>t</w:t>
      </w:r>
      <w:r w:rsidRPr="00515A4C">
        <w:t>veckla ett eget kultur- och samfundsliv bör främjas.</w:t>
      </w:r>
    </w:p>
    <w:p w:rsidR="00322A77" w:rsidRPr="00515A4C" w:rsidRDefault="00322A77">
      <w:pPr>
        <w:pStyle w:val="Normaltindrag"/>
      </w:pPr>
      <w:r w:rsidRPr="00515A4C">
        <w:t>Det är inte fråga om en rättsligt bindande regel utan om ett program- och målsättningsstadgande som ger uttryck för vissa särskilt viktiga principer för samhällsverksamhetens inriktning. Stadgandets främsta funktion är att ålägga det allmänna att positivt verka för att de ifrågavarande målsättningarna i största möjl</w:t>
      </w:r>
      <w:r w:rsidRPr="00515A4C">
        <w:t>i</w:t>
      </w:r>
      <w:r w:rsidRPr="00515A4C">
        <w:t>ga utsträckning förverkligas.</w:t>
      </w:r>
    </w:p>
    <w:p w:rsidR="00322A77" w:rsidRPr="00515A4C" w:rsidRDefault="00322A77">
      <w:pPr>
        <w:pStyle w:val="Normaltindrag"/>
      </w:pPr>
      <w:r w:rsidRPr="00515A4C">
        <w:t>1 kap. 2 § regeringsformen ger, till skillnad från reglerna i 2 kap. om de grundläggande fri- och rättigheterna, inte upphov till några rättigheter för den enskilde. Den enskilde kan alltså inte med stöd av 1 kap. 2 § regeringsformen påkalla domstols ingripande mot det allmänna. I vilken utsträckning det al</w:t>
      </w:r>
      <w:r w:rsidRPr="00515A4C">
        <w:t>l</w:t>
      </w:r>
      <w:r w:rsidRPr="00515A4C">
        <w:t>männa lever upp till målsättningarna kan enbart bli föremål för politisk ko</w:t>
      </w:r>
      <w:r w:rsidRPr="00515A4C">
        <w:t>n</w:t>
      </w:r>
      <w:r w:rsidRPr="00515A4C">
        <w:t>troll. Stadgandet kan dock få rättslig betydelse som tolkningsdata vid tilläm</w:t>
      </w:r>
      <w:r w:rsidRPr="00515A4C">
        <w:t>p</w:t>
      </w:r>
      <w:r w:rsidRPr="00515A4C">
        <w:t>ningen av olika rättsregler.</w:t>
      </w:r>
    </w:p>
    <w:p w:rsidR="00322A77" w:rsidRPr="00515A4C" w:rsidRDefault="00322A77">
      <w:pPr>
        <w:pStyle w:val="Normaltindrag"/>
      </w:pPr>
      <w:r w:rsidRPr="00515A4C">
        <w:t>I 2 kap. regeringsformen finns samlat bestämmelserna om grundläggande fri- och rättigheter. Kapitlet inleds med en beskrivning av de positiva opin</w:t>
      </w:r>
      <w:r w:rsidRPr="00515A4C">
        <w:t>i</w:t>
      </w:r>
      <w:r w:rsidRPr="00515A4C">
        <w:t>onsfriheterna: yttrandefriheten, informationsfriheten, mötesfriheten, demo</w:t>
      </w:r>
      <w:r w:rsidRPr="00515A4C">
        <w:t>n</w:t>
      </w:r>
      <w:r w:rsidRPr="00515A4C">
        <w:t>strationsfriheten, föreningsfriheten och religionsfriheten. De negativa opin</w:t>
      </w:r>
      <w:r w:rsidRPr="00515A4C">
        <w:t>i</w:t>
      </w:r>
      <w:r w:rsidRPr="00515A4C">
        <w:t>onsfriheterna behandlas i nästföljande paragraf och innebär ett skydd mot tvång att ge till känna sin åskådning i politiska, religiösa, kulturella eller dylika hänseenden och att tillhöra sammanslutningar för sådana åskådningar samt skydd mot tvång att delta i demonstrationer o.d.</w:t>
      </w:r>
    </w:p>
    <w:p w:rsidR="00322A77" w:rsidRPr="00515A4C" w:rsidRDefault="00322A77">
      <w:pPr>
        <w:pStyle w:val="Normaltindrag"/>
      </w:pPr>
      <w:r w:rsidRPr="00515A4C">
        <w:t>Kapitlet innehåller också bestämmelser om skydd mot integritetskränkande regi</w:t>
      </w:r>
      <w:r w:rsidRPr="00515A4C">
        <w:t>streringar (3 §), förbud mot dödsstraff (4 §), förbud mot kroppsstraff och tortyr (5 §), skydd mot kroppsvisitation och andra påtvingade ingrepp (6 §), förbud mot landsförvisning och skydd för medborgarskap (7 §), rörelsefrihet (8 §), rätt till domstolsprövning vid frihetsberövande (9 §), förbud mot retr</w:t>
      </w:r>
      <w:r w:rsidRPr="00515A4C">
        <w:t>o</w:t>
      </w:r>
      <w:r w:rsidRPr="00515A4C">
        <w:t>aktiva straff- och skattelagar (10 §), rätt till offentlig rättegång och förbud mot att inrätta domstol för redan begången gärning (11 §). Föreskrifter om möjligheterna att göra begränsningar i de nämnda fr</w:t>
      </w:r>
      <w:r w:rsidRPr="00515A4C">
        <w:t>i- och rättigheterna finns i 12–14 §§. I kapitlet finns också diskrimineringsförbud såvitt avser ras, hu</w:t>
      </w:r>
      <w:r w:rsidRPr="00515A4C">
        <w:t>d</w:t>
      </w:r>
      <w:r w:rsidRPr="00515A4C">
        <w:t>färg och etniskt ursprung (15 §) samt kön (16 §).</w:t>
      </w:r>
    </w:p>
    <w:p w:rsidR="00322A77" w:rsidRPr="00515A4C" w:rsidRDefault="00322A77">
      <w:pPr>
        <w:pStyle w:val="Normaltindrag"/>
      </w:pPr>
      <w:r w:rsidRPr="00515A4C">
        <w:t>Vidare innehåller kapitlet bestämmelser om rätten till fackliga stridsåtgä</w:t>
      </w:r>
      <w:r w:rsidRPr="00515A4C">
        <w:t>r</w:t>
      </w:r>
      <w:r w:rsidRPr="00515A4C">
        <w:t>der (17 §), egendomsskydd och allemansrätt (18 §), upphovsrätt och angrä</w:t>
      </w:r>
      <w:r w:rsidRPr="00515A4C">
        <w:t>n</w:t>
      </w:r>
      <w:r w:rsidRPr="00515A4C">
        <w:t>sande rättigheter (19 §), närings- och yrkesfrihet (20 §) och rätten till utbil</w:t>
      </w:r>
      <w:r w:rsidRPr="00515A4C">
        <w:t>d</w:t>
      </w:r>
      <w:r w:rsidRPr="00515A4C">
        <w:t>ning (21 §). Fri- och rättighetsregleringen i 2 kap. gäller till stor del även till förmån för utlänningar som vistas i Sverige (22 §). Kapitlet avslutas med en bestämmelse (23 §) om att lag eller annan föreskrift inte får meddelas i strid med Sveriges åtaganden e</w:t>
      </w:r>
      <w:r w:rsidRPr="00515A4C">
        <w:t>n</w:t>
      </w:r>
      <w:r w:rsidRPr="00515A4C">
        <w:t>ligt Europakonventionen.</w:t>
      </w:r>
    </w:p>
    <w:p w:rsidR="00322A77" w:rsidRPr="00515A4C" w:rsidRDefault="00322A77">
      <w:pPr>
        <w:pStyle w:val="Normaltindrag"/>
      </w:pPr>
      <w:r w:rsidRPr="00515A4C">
        <w:t xml:space="preserve">Det skydd för fri- och rättigheter som ges i 2 kap. regeringsformen </w:t>
      </w:r>
      <w:r w:rsidRPr="00515A4C">
        <w:t>gäller gentemot det allmänna och inte mellan enskilda. Bestämmelserna i 17 § och 19 § kan ses som unda</w:t>
      </w:r>
      <w:r w:rsidRPr="00515A4C">
        <w:t>n</w:t>
      </w:r>
      <w:r w:rsidRPr="00515A4C">
        <w:t>tag från denna regel.</w:t>
      </w:r>
    </w:p>
    <w:p w:rsidR="00322A77" w:rsidRPr="00515A4C" w:rsidRDefault="00322A77">
      <w:pPr>
        <w:pStyle w:val="Rubrik3"/>
        <w:rPr>
          <w:noProof w:val="0"/>
        </w:rPr>
      </w:pPr>
      <w:bookmarkStart w:id="47" w:name="_Toc34039149"/>
      <w:r w:rsidRPr="00515A4C">
        <w:rPr>
          <w:noProof w:val="0"/>
        </w:rPr>
        <w:t>Europakonventionen</w:t>
      </w:r>
      <w:bookmarkEnd w:id="47"/>
    </w:p>
    <w:p w:rsidR="00322A77" w:rsidRPr="00515A4C" w:rsidRDefault="00322A77">
      <w:r w:rsidRPr="00515A4C">
        <w:t>Europakonventionen är numera uppdelad i tre avdelningar. Rättigheter och frih</w:t>
      </w:r>
      <w:r w:rsidRPr="00515A4C">
        <w:t>e</w:t>
      </w:r>
      <w:r w:rsidRPr="00515A4C">
        <w:t>ter behandlas i avdelning I (artikel 2–18).</w:t>
      </w:r>
    </w:p>
    <w:p w:rsidR="00322A77" w:rsidRPr="00515A4C" w:rsidRDefault="00322A77">
      <w:pPr>
        <w:pStyle w:val="Normaltindrag"/>
      </w:pPr>
      <w:r w:rsidRPr="00515A4C">
        <w:t>Konventionen innehåller bestämmelser om rätten till liv (artikel 2), förbud mot tortyr samt omänsklig och förnedrande behandling och bestraffning (art</w:t>
      </w:r>
      <w:r w:rsidRPr="00515A4C">
        <w:t>i</w:t>
      </w:r>
      <w:r w:rsidRPr="00515A4C">
        <w:t>kel 3), förbud mot slaveri, träldom och tvångsarbete (artikel 4), rätten till frihet och personlig säkerhet (artikel 5), rätten till domstolsprövning och en rättssäker process (artikel 6), förbud mot att döma till straff utan stöd i lag och mot retroaktiva straffdomar (artikel 7), rätten till skydd för privat- och fami</w:t>
      </w:r>
      <w:r w:rsidRPr="00515A4C">
        <w:t>l</w:t>
      </w:r>
      <w:r w:rsidRPr="00515A4C">
        <w:t>jeliv, hem och korrespondens (artikel 8), rätten till tanke-, samvets- och rel</w:t>
      </w:r>
      <w:r w:rsidRPr="00515A4C">
        <w:t>i</w:t>
      </w:r>
      <w:r w:rsidRPr="00515A4C">
        <w:t>gionsfrihet (artikel 9), rätten till yttrandefrihet (artikel 10), rätten till försa</w:t>
      </w:r>
      <w:r w:rsidRPr="00515A4C">
        <w:t>m</w:t>
      </w:r>
      <w:r w:rsidRPr="00515A4C">
        <w:t xml:space="preserve">lings- och föreningsfrihet </w:t>
      </w:r>
      <w:r w:rsidRPr="00515A4C">
        <w:t>(artikel 11), rätten att ingå äktenskap (artikel 12), rätten till ett effektivt rättsmedel (artikel 13) samt förbud mot diskriminering (artikel 14). I artiklarna 15–18 regleras möjligheterna för staterna att i vissa situationer göra inskränkningar i rättigheterna.</w:t>
      </w:r>
    </w:p>
    <w:p w:rsidR="00322A77" w:rsidRPr="00515A4C" w:rsidRDefault="00322A77">
      <w:pPr>
        <w:pStyle w:val="Normaltindrag"/>
      </w:pPr>
      <w:r w:rsidRPr="00515A4C">
        <w:t>I Europakonventionens första tilläggsprotokoll finns bestämmelser om skydd för egendom (artikel 1) och rätten till undervisning (a</w:t>
      </w:r>
      <w:r w:rsidRPr="00515A4C">
        <w:t>r</w:t>
      </w:r>
      <w:r w:rsidRPr="00515A4C">
        <w:t>tikel 2).</w:t>
      </w:r>
    </w:p>
    <w:p w:rsidR="00322A77" w:rsidRPr="00515A4C" w:rsidRDefault="00322A77">
      <w:pPr>
        <w:pStyle w:val="Rubrik3"/>
        <w:rPr>
          <w:noProof w:val="0"/>
        </w:rPr>
      </w:pPr>
      <w:bookmarkStart w:id="48" w:name="_Toc34039150"/>
      <w:r w:rsidRPr="00515A4C">
        <w:rPr>
          <w:noProof w:val="0"/>
        </w:rPr>
        <w:t>EU-stadga om de grundläggande rättigheterna</w:t>
      </w:r>
      <w:bookmarkEnd w:id="48"/>
    </w:p>
    <w:p w:rsidR="00322A77" w:rsidRPr="00515A4C" w:rsidRDefault="00322A77">
      <w:r w:rsidRPr="00515A4C">
        <w:t>Europeiska unionens stadga om de grundläggande rättigheterna proklamer</w:t>
      </w:r>
      <w:r w:rsidRPr="00515A4C">
        <w:t>a</w:t>
      </w:r>
      <w:r w:rsidRPr="00515A4C">
        <w:t>des högtidligen i samband med Europeiska rådets möte i Nice den 7 december 2000. Stadgans räckvidd anges i artikel 51, där det anges bl.a. att bestämme</w:t>
      </w:r>
      <w:r w:rsidRPr="00515A4C">
        <w:t>l</w:t>
      </w:r>
      <w:r w:rsidRPr="00515A4C">
        <w:t>serna riktar sig till unionens institutioner och organ samt till medlemsstaterna endast när dessa tillämpar unionsrätten. Stadgan medför inte någon ny bef</w:t>
      </w:r>
      <w:r w:rsidRPr="00515A4C">
        <w:t>o</w:t>
      </w:r>
      <w:r w:rsidRPr="00515A4C">
        <w:t>genhet eller  ny  uppgift  för gemenskapen och unionen. I artikel 52.3 förkl</w:t>
      </w:r>
      <w:r w:rsidRPr="00515A4C">
        <w:t>a</w:t>
      </w:r>
      <w:r w:rsidRPr="00515A4C">
        <w:t>ras att i den mån som stadgan omfattar rättigheter som motsvarar sådana som  garanteras av Europakonventionen skall de ha samma</w:t>
      </w:r>
      <w:r w:rsidRPr="00515A4C">
        <w:t xml:space="preserve"> innebörd och räckvidd som i konventionen, men bestämmelsen hindrar inte unionsrätten från att tillförsäkra ett mer lång</w:t>
      </w:r>
      <w:r w:rsidRPr="00515A4C">
        <w:t>t</w:t>
      </w:r>
      <w:r w:rsidRPr="00515A4C">
        <w:t>gående skydd.</w:t>
      </w:r>
    </w:p>
    <w:p w:rsidR="00322A77" w:rsidRPr="00515A4C" w:rsidRDefault="00322A77">
      <w:pPr>
        <w:pStyle w:val="Normaltindrag"/>
      </w:pPr>
      <w:r w:rsidRPr="00515A4C">
        <w:t>Stadgan innehåller medborgerliga och politiska rättigheter med bl.a. Eur</w:t>
      </w:r>
      <w:r w:rsidRPr="00515A4C">
        <w:t>o</w:t>
      </w:r>
      <w:r w:rsidRPr="00515A4C">
        <w:t>pakonventionen och gemensamma konstitutionella traditioner som förebild samt ekonomiska och  sociala rättigh</w:t>
      </w:r>
      <w:r w:rsidRPr="00515A4C">
        <w:t>e</w:t>
      </w:r>
      <w:r w:rsidRPr="00515A4C">
        <w:t>ter.</w:t>
      </w:r>
    </w:p>
    <w:p w:rsidR="00322A77" w:rsidRPr="00515A4C" w:rsidRDefault="00322A77">
      <w:r w:rsidRPr="00515A4C">
        <w:t>Rättigheterna har sammanfattats i sex kapitel:</w:t>
      </w:r>
    </w:p>
    <w:p w:rsidR="00322A77" w:rsidRPr="00515A4C" w:rsidRDefault="00322A77">
      <w:r w:rsidRPr="00515A4C">
        <w:t>1. Värdighet</w:t>
      </w:r>
    </w:p>
    <w:p w:rsidR="00322A77" w:rsidRPr="00515A4C" w:rsidRDefault="00322A77">
      <w:r w:rsidRPr="00515A4C">
        <w:t>2. Friheter</w:t>
      </w:r>
    </w:p>
    <w:p w:rsidR="00322A77" w:rsidRPr="00515A4C" w:rsidRDefault="00322A77">
      <w:r w:rsidRPr="00515A4C">
        <w:t>3. Jämlikhet</w:t>
      </w:r>
    </w:p>
    <w:p w:rsidR="00322A77" w:rsidRPr="00515A4C" w:rsidRDefault="00322A77">
      <w:r w:rsidRPr="00515A4C">
        <w:t>4. Solidaritet</w:t>
      </w:r>
    </w:p>
    <w:p w:rsidR="00322A77" w:rsidRPr="00515A4C" w:rsidRDefault="00322A77">
      <w:r w:rsidRPr="00515A4C">
        <w:t>5. Medborgarnas rättigheter</w:t>
      </w:r>
    </w:p>
    <w:p w:rsidR="00322A77" w:rsidRPr="00515A4C" w:rsidRDefault="00322A77">
      <w:r w:rsidRPr="00515A4C">
        <w:t>6. Rättskipning</w:t>
      </w:r>
    </w:p>
    <w:p w:rsidR="00322A77" w:rsidRPr="00515A4C" w:rsidRDefault="00322A77">
      <w:r w:rsidRPr="00515A4C">
        <w:t>Det europeiska framtidskonventet arbetar bl.a. med frågan om vilken ställning EU:s stadga om de grundläggande rättigheterna skall ha. En arbetsgrupp för stadgan avgav i oktober 2002 en rapport. Gruppen ansåg att stadgan efter vissa justeringar bör införlivas i det konstitutionella fördraget och att EU bör kunna ansluta sig till europeiska konventionen om skydd för de mänskliga rättigheterna. Konventets arbete skall avslutas i juni 2003 med ett eller flera förslag till den kommande regeringskonferensen.</w:t>
      </w:r>
    </w:p>
    <w:p w:rsidR="00322A77" w:rsidRPr="00515A4C" w:rsidRDefault="00322A77">
      <w:pPr>
        <w:pStyle w:val="Rubrik2"/>
      </w:pPr>
      <w:bookmarkStart w:id="49" w:name="_Toc34039151"/>
      <w:r w:rsidRPr="00515A4C">
        <w:t>Förstärkt skydd för fri- och rättigheterna, m.m.</w:t>
      </w:r>
      <w:bookmarkEnd w:id="49"/>
    </w:p>
    <w:p w:rsidR="00322A77" w:rsidRPr="00515A4C" w:rsidRDefault="00322A77">
      <w:pPr>
        <w:pStyle w:val="Utskottsfrslagikorthet-Rubrik"/>
        <w:outlineLvl w:val="0"/>
        <w:rPr>
          <w:noProof w:val="0"/>
        </w:rPr>
      </w:pPr>
      <w:r w:rsidRPr="00515A4C">
        <w:rPr>
          <w:noProof w:val="0"/>
        </w:rPr>
        <w:t>Utskottets förslag i korthet</w:t>
      </w:r>
    </w:p>
    <w:p w:rsidR="00322A77" w:rsidRPr="00515A4C" w:rsidRDefault="00322A77">
      <w:pPr>
        <w:pStyle w:val="Utskottsfrslagikorthet-Text"/>
      </w:pPr>
      <w:r w:rsidRPr="00515A4C">
        <w:t>Utskottet avstyrker med hänvisning till tidigare ställningstaganden tre motionsyrkanden som gäller behovet av förstärkning av skyddet för fri- och rättigheter bl.a. genom att en utvidgning av det kvalif</w:t>
      </w:r>
      <w:r w:rsidRPr="00515A4C">
        <w:t>i</w:t>
      </w:r>
      <w:r w:rsidRPr="00515A4C">
        <w:t>cerade beslutsförfarandet till att gälla även andra fri- och rättigh</w:t>
      </w:r>
      <w:r w:rsidRPr="00515A4C">
        <w:t>e</w:t>
      </w:r>
      <w:r w:rsidRPr="00515A4C">
        <w:t>ter, genom att Europakonventionens ställning förstärks och genom att skyddet för fri- och rättigheter skall gälla också förhållanden mellan enskilda. Med hänvisning till upprepade tidigare ställning</w:t>
      </w:r>
      <w:r w:rsidRPr="00515A4C">
        <w:t>s</w:t>
      </w:r>
      <w:r w:rsidRPr="00515A4C">
        <w:t>taganden av riksdagen avstyrks också ett motionsyrkande om til</w:t>
      </w:r>
      <w:r w:rsidRPr="00515A4C">
        <w:t>l</w:t>
      </w:r>
      <w:r w:rsidRPr="00515A4C">
        <w:t>sättande av en värdekommission.</w:t>
      </w:r>
    </w:p>
    <w:p w:rsidR="00322A77" w:rsidRPr="00515A4C" w:rsidRDefault="00322A77">
      <w:pPr>
        <w:pStyle w:val="Utskottsfrslagikorthet-Text"/>
      </w:pPr>
      <w:r w:rsidRPr="00515A4C">
        <w:t>Jämför reservationerna 1 (m), 2 (kd) och 3 (kd).</w:t>
      </w:r>
    </w:p>
    <w:p w:rsidR="00322A77" w:rsidRPr="00515A4C" w:rsidRDefault="00322A77">
      <w:pPr>
        <w:pStyle w:val="Rubrik4"/>
        <w:rPr>
          <w:noProof w:val="0"/>
        </w:rPr>
      </w:pPr>
      <w:bookmarkStart w:id="50" w:name="_Toc34039152"/>
      <w:r w:rsidRPr="00515A4C">
        <w:rPr>
          <w:noProof w:val="0"/>
        </w:rPr>
        <w:t>Motionerna</w:t>
      </w:r>
      <w:bookmarkEnd w:id="50"/>
    </w:p>
    <w:p w:rsidR="00322A77" w:rsidRPr="00515A4C" w:rsidRDefault="00322A77">
      <w:r w:rsidRPr="00515A4C">
        <w:t>Bo Lundgren m.fl. (m) tar i motion K379 upp frågan om skyddet mot rätti</w:t>
      </w:r>
      <w:r w:rsidRPr="00515A4C">
        <w:t>g</w:t>
      </w:r>
      <w:r w:rsidRPr="00515A4C">
        <w:t xml:space="preserve">hetsinskränkande lagstiftning. En förstärkning av såväl minoritetsskyddet som fri- och rättighetsskyddet är enligt motionen ett viktigt led i strävan att stärka medborgarnas förtroende för det politiska systemet och den demokratiska beslutsprocessen men skulle också tydliggöra att Sverige är en rättsstat som inte per automatik sätter statens intresse framför individens rätt. Grundlagens skydd mot rättighetsinskränkningar bör vara lika starkt, oavsett vilken fri- och rättighet det gäller. Det skulle enligt </w:t>
      </w:r>
      <w:r w:rsidRPr="00515A4C">
        <w:t>motionen bl.a. innebära att de tre al</w:t>
      </w:r>
      <w:r w:rsidRPr="00515A4C">
        <w:t>l</w:t>
      </w:r>
      <w:r w:rsidRPr="00515A4C">
        <w:t>männa begränsningsgrunderna i 2 kap. 12 § andra stycket regeringsformen blir tillämpliga även vid begränsningar av t.ex. äganderätten (yrkande 7). Motionärerna konstaterar att regeringsformen utgår från att majoritetsbeslut är den beslutsform som bäst gagnar demokratins och folkstyrelsens princip. Enligt motionärernas mening bör emellertid ökad hänsyn också tas till min</w:t>
      </w:r>
      <w:r w:rsidRPr="00515A4C">
        <w:t>o</w:t>
      </w:r>
      <w:r w:rsidRPr="00515A4C">
        <w:t>ritetens legitima intressen. I linje härmed bör minoritetsskyddet stärkas gen</w:t>
      </w:r>
      <w:r w:rsidRPr="00515A4C">
        <w:t>e</w:t>
      </w:r>
      <w:r w:rsidRPr="00515A4C">
        <w:t>rellt vid beslut om lag</w:t>
      </w:r>
      <w:r w:rsidRPr="00515A4C">
        <w:t>stiftning som innebär inskränkningar i de medborgerliga fri- och rättigheterna. Detta skulle kunna ske genom att reglerna om särskilt beslutsförfarande 2 kap. 12 § tredje stycket regeringsformen blir tillämpliga. På så sätt skulle en riksdagsminoritet om endast en sjättedel av ledamöterna i kammaren alltid kunna tvinga fram ett års uppskov med en i och för sig till</w:t>
      </w:r>
      <w:r w:rsidRPr="00515A4C">
        <w:t>å</w:t>
      </w:r>
      <w:r w:rsidRPr="00515A4C">
        <w:t>ten rättighetsbegränsande lagstiftning (yrkande 8). Den nuvarande bristen på samstämmighet mellan Europakonventionens och regeringsformens skydd</w:t>
      </w:r>
      <w:r w:rsidRPr="00515A4C">
        <w:t>s</w:t>
      </w:r>
      <w:r w:rsidRPr="00515A4C">
        <w:t>nivåer skulle enligt motionen upphävas genom att upphöja Europakonventi</w:t>
      </w:r>
      <w:r w:rsidRPr="00515A4C">
        <w:t>o</w:t>
      </w:r>
      <w:r w:rsidRPr="00515A4C">
        <w:t>nen till grundlag. Ett annat sätt kan vara att utvidga tillämpningsområdet för 2 kap. 12 § regeringsformen till att omfatta även Europakonventionen (yrkande 10).</w:t>
      </w:r>
    </w:p>
    <w:p w:rsidR="00322A77" w:rsidRPr="00515A4C" w:rsidRDefault="00322A77">
      <w:pPr>
        <w:pStyle w:val="Normaltindrag"/>
      </w:pPr>
      <w:r w:rsidRPr="00515A4C">
        <w:t>Henrik von Sydow (m) begär i motion K386 ett tillkännagivande till r</w:t>
      </w:r>
      <w:r w:rsidRPr="00515A4C">
        <w:t>e</w:t>
      </w:r>
      <w:r w:rsidRPr="00515A4C">
        <w:t>geringen om förstärkning av de mänskliga rättigheternas genomslag i Sverige, med hänvisning till kampen mot terrorismen. Brott mot rättsstatens grun</w:t>
      </w:r>
      <w:r w:rsidRPr="00515A4C">
        <w:t>d</w:t>
      </w:r>
      <w:r w:rsidRPr="00515A4C">
        <w:t>läggande principer måste leda till mycket kännbara konsekvenser för ansvar</w:t>
      </w:r>
      <w:r w:rsidRPr="00515A4C">
        <w:t>i</w:t>
      </w:r>
      <w:r w:rsidRPr="00515A4C">
        <w:t>ga politiker. Åsidosättande av rättsstatens principer måste jämställas med att grovt åsidosätta sin tjänsteplikt som statsråd eller ansvarig tjänsteman. Grundlagens skydd mot rättighetsinskränkningar skall vara lika starkt, oavsett vilken fri- eller rättighet det gäller. Det innebär enl</w:t>
      </w:r>
      <w:r w:rsidRPr="00515A4C">
        <w:t>igt motionen konkret bl.a. att de tre allmänna begränsningsgrunderna i 2 kap. 12 § andra stycket rege</w:t>
      </w:r>
      <w:r w:rsidRPr="00515A4C">
        <w:t>r</w:t>
      </w:r>
      <w:r w:rsidRPr="00515A4C">
        <w:t>ingsformen blir tillämpliga även vid begränsningar av den enskildes ägand</w:t>
      </w:r>
      <w:r w:rsidRPr="00515A4C">
        <w:t>e</w:t>
      </w:r>
      <w:r w:rsidRPr="00515A4C">
        <w:t>rätt. Det s.k. uppenbarhetsrekvisitet bör avskaffas. Minoritetsskyddet bör stärkas generellt vid beslut om rättighetsinskränkande lagstiftning genom att reglerna om särskilt beslutsförfarande i 2 kap. 12 § tredje stycket regering</w:t>
      </w:r>
      <w:r w:rsidRPr="00515A4C">
        <w:t>s</w:t>
      </w:r>
      <w:r w:rsidRPr="00515A4C">
        <w:t>formen blir tillämpliga.</w:t>
      </w:r>
    </w:p>
    <w:p w:rsidR="00322A77" w:rsidRPr="00515A4C" w:rsidRDefault="00322A77">
      <w:pPr>
        <w:pStyle w:val="Normaltindrag"/>
      </w:pPr>
      <w:r w:rsidRPr="00515A4C">
        <w:t>I motion K375 av Ingvar Svensson m.fl. (kd) begärs en utredning om fö</w:t>
      </w:r>
      <w:r w:rsidRPr="00515A4C">
        <w:t>r</w:t>
      </w:r>
      <w:r w:rsidRPr="00515A4C">
        <w:t>stärkta mänskliga fri- och rättigheter. Den nuvarande svenska rättsordningen utgår enligt motionen i hög grad från ett rättspositivistiskt betraktelsesätt, där rätten definieras operationellt, det vill säga rätt är det som lagstiftarna kallar rätt. Men rätten ingår som ett undersystem i ett samhälle, där de grundlägga</w:t>
      </w:r>
      <w:r w:rsidRPr="00515A4C">
        <w:t>n</w:t>
      </w:r>
      <w:r w:rsidRPr="00515A4C">
        <w:t>de värdena – etiken – utgör ett sammanhållande band. Rättsnormen skall därför ta sin utgångspunkt i det som är etiskt godtagbart. Den skall alltså förankras i den svenska och västerländska ku</w:t>
      </w:r>
      <w:r w:rsidRPr="00515A4C">
        <w:t>lturtraditionen. Denna syn på rättsstaten anknyter mer till ett mera normalt europeiskt betraktelsesätt. Det är viktigt att Sverige tydligare anknyter till den traditionen. Rättspositivismen bör successivt sorteras ut ur det rättsliga perspektivet i arbetet att förstärka de mänskliga fri- och rättigheterna. Det svenska skyddet för dessa fri- och rätti</w:t>
      </w:r>
      <w:r w:rsidRPr="00515A4C">
        <w:t>g</w:t>
      </w:r>
      <w:r w:rsidRPr="00515A4C">
        <w:t>heter behöver vidgas och förstärkas. Exempel på områden som borde bearb</w:t>
      </w:r>
      <w:r w:rsidRPr="00515A4C">
        <w:t>e</w:t>
      </w:r>
      <w:r w:rsidRPr="00515A4C">
        <w:t>tas ytterligare är t.ex. vidden av skyddet för den mänskliga integriteten, fö</w:t>
      </w:r>
      <w:r w:rsidRPr="00515A4C">
        <w:t>r</w:t>
      </w:r>
      <w:r w:rsidRPr="00515A4C">
        <w:t>äldrarät</w:t>
      </w:r>
      <w:r w:rsidRPr="00515A4C">
        <w:t>ten, den negativa föreningsfriheten och äganderätten. Det behövs också ett tydligt diskrimineringsskydd för människans integritet oberoende av religion, ålder, ras, hudfärg, kön, språk, sexuell identitet, genetiska särdrag, börd, ekonomisk eller social ställning, funktionshinder och etnisk eller pol</w:t>
      </w:r>
      <w:r w:rsidRPr="00515A4C">
        <w:t>i</w:t>
      </w:r>
      <w:r w:rsidRPr="00515A4C">
        <w:t>tisk tillhörighet. Detta skydd måste vara effektivt inte enbart i förhållandet mellan den enskilde och det allmänna utan rättsstaten måste också tillförsäkra ett sådant skydd mellan enskilda. I denna del kan det</w:t>
      </w:r>
      <w:r w:rsidRPr="00515A4C">
        <w:t xml:space="preserve"> inte anses råda full parallellitet mellan regeringsformen och Europakonventionen. Denna ko</w:t>
      </w:r>
      <w:r w:rsidRPr="00515A4C">
        <w:t>n</w:t>
      </w:r>
      <w:r w:rsidRPr="00515A4C">
        <w:t>vention kan antas ålägga konventionsstaterna viss skyldighet att genom la</w:t>
      </w:r>
      <w:r w:rsidRPr="00515A4C">
        <w:t>g</w:t>
      </w:r>
      <w:r w:rsidRPr="00515A4C">
        <w:t>stiftning trygga vissa fri- och rättigheter även mellan enskilda. Det vore enligt motionärerna värdefullt att utreda om även fri- och rättigheter mellan enskilda borde grundlagsfä</w:t>
      </w:r>
      <w:r w:rsidRPr="00515A4C">
        <w:t>s</w:t>
      </w:r>
      <w:r w:rsidRPr="00515A4C">
        <w:t xml:space="preserve">tas. </w:t>
      </w:r>
    </w:p>
    <w:p w:rsidR="00322A77" w:rsidRPr="00515A4C" w:rsidRDefault="00322A77">
      <w:pPr>
        <w:pStyle w:val="Normaltindrag"/>
      </w:pPr>
      <w:r w:rsidRPr="00515A4C">
        <w:t>Ingvar Svensson m.fl. (kd) begär i motion K361 ett tillkännagivande till regeringen om behovet av en värdekommission för att stimulera en bred o</w:t>
      </w:r>
      <w:r w:rsidRPr="00515A4C">
        <w:t>f</w:t>
      </w:r>
      <w:r w:rsidRPr="00515A4C">
        <w:t>fentlig debatt om människovärdet och de mänskliga fri- och rättigheterna. Motionärerna hänvisar till den norska värdekommissionen som hade som huvudmål att bidra till en bred värdemässig och samhällsetisk mobilisering för att stärka positiva gemenskapsvärden och ansvaret för miljön och sa</w:t>
      </w:r>
      <w:r w:rsidRPr="00515A4C">
        <w:t>m</w:t>
      </w:r>
      <w:r w:rsidRPr="00515A4C">
        <w:t>hällsgemenskapen. Det ansågs viktigt att motverka likgiltighet och främja personligt ansvar, deltagande och demokrati. Det finns för en svensk värd</w:t>
      </w:r>
      <w:r w:rsidRPr="00515A4C">
        <w:t>e</w:t>
      </w:r>
      <w:r w:rsidRPr="00515A4C">
        <w:t xml:space="preserve">kommission anledning att fokusera på följande frågeställningar: vilka de </w:t>
      </w:r>
      <w:r w:rsidRPr="00515A4C">
        <w:t>grundläggande värdena för ett gott samhälle är och vilka inspirationsgivarna för dessa är, hur vi tillägnar oss etiken/värdena, familjens, skolans, rättss</w:t>
      </w:r>
      <w:r w:rsidRPr="00515A4C">
        <w:t>y</w:t>
      </w:r>
      <w:r w:rsidRPr="00515A4C">
        <w:t>stemets, mediernas och övriga signalgivares betydelse som värde- och nor</w:t>
      </w:r>
      <w:r w:rsidRPr="00515A4C">
        <w:t>m</w:t>
      </w:r>
      <w:r w:rsidRPr="00515A4C">
        <w:t>överförare, hur rättssystemet och rättstänkande byggs upp utifrån den geme</w:t>
      </w:r>
      <w:r w:rsidRPr="00515A4C">
        <w:t>n</w:t>
      </w:r>
      <w:r w:rsidRPr="00515A4C">
        <w:t>samma värdebasen, samhällsekonomins beroende av en fungerande etik i form av tillit och förtroende och ekonomins drivkrafter, familjens betydelse för ett gemenskapstänkande, värdebasens betydelse för uppbyggan</w:t>
      </w:r>
      <w:r w:rsidRPr="00515A4C">
        <w:t>de av f</w:t>
      </w:r>
      <w:r w:rsidRPr="00515A4C">
        <w:t>ö</w:t>
      </w:r>
      <w:r w:rsidRPr="00515A4C">
        <w:t>retags- och organisationskulturer, värdebasens utveckling och betydelse i ett informationssamhälle jämfört med jordbruks- och industrisamhällena samt värdebasens utveckling och betydelse i ett samhälle som får allt större etnisk mån</w:t>
      </w:r>
      <w:r w:rsidRPr="00515A4C">
        <w:t>g</w:t>
      </w:r>
      <w:r w:rsidRPr="00515A4C">
        <w:t xml:space="preserve">fald. </w:t>
      </w:r>
    </w:p>
    <w:p w:rsidR="00322A77" w:rsidRPr="00515A4C" w:rsidRDefault="00322A77">
      <w:pPr>
        <w:pStyle w:val="Rubrik4"/>
        <w:rPr>
          <w:noProof w:val="0"/>
        </w:rPr>
      </w:pPr>
      <w:bookmarkStart w:id="51" w:name="_Toc34039153"/>
      <w:r w:rsidRPr="00515A4C">
        <w:rPr>
          <w:noProof w:val="0"/>
        </w:rPr>
        <w:t>Bakgrund</w:t>
      </w:r>
      <w:bookmarkEnd w:id="51"/>
    </w:p>
    <w:p w:rsidR="00322A77" w:rsidRPr="00515A4C" w:rsidRDefault="00322A77">
      <w:pPr>
        <w:pStyle w:val="Rubrik5"/>
        <w:spacing w:before="235"/>
        <w:rPr>
          <w:noProof w:val="0"/>
        </w:rPr>
      </w:pPr>
      <w:r w:rsidRPr="00515A4C">
        <w:rPr>
          <w:noProof w:val="0"/>
        </w:rPr>
        <w:t>Grundlagsskydd för fri- och rättigheter i förhållande till enskilda</w:t>
      </w:r>
    </w:p>
    <w:p w:rsidR="00322A77" w:rsidRPr="00515A4C" w:rsidRDefault="00322A77">
      <w:r w:rsidRPr="00515A4C">
        <w:t>Regeringsformens fri- och rättighetskapitel reglerar – med vissa undantag, exempelvis rätten till fackliga stridsåtgärder – endast förhållandet mellan enskilda och det allmänna, inte förhållandet mellan enskilda inbördes. För att skydda medborgarnas rättigheter mot angrepp från andra enskilda, exempe</w:t>
      </w:r>
      <w:r w:rsidRPr="00515A4C">
        <w:t>l</w:t>
      </w:r>
      <w:r w:rsidRPr="00515A4C">
        <w:t>vis organisationer, har det i de flesta fall ansetts tillräckligt med vanlig lag.</w:t>
      </w:r>
    </w:p>
    <w:p w:rsidR="00322A77" w:rsidRPr="00515A4C" w:rsidRDefault="00322A77">
      <w:pPr>
        <w:pStyle w:val="Normaltindrag"/>
      </w:pPr>
      <w:r w:rsidRPr="00515A4C">
        <w:t>Artikel 1 i Europakonventionen stadgar att konventionsstaterna skall g</w:t>
      </w:r>
      <w:r w:rsidRPr="00515A4C">
        <w:t>a</w:t>
      </w:r>
      <w:r w:rsidRPr="00515A4C">
        <w:t>rantera var och en som befinner sig under deras jurisdiktion de fri- och rätti</w:t>
      </w:r>
      <w:r w:rsidRPr="00515A4C">
        <w:t>g</w:t>
      </w:r>
      <w:r w:rsidRPr="00515A4C">
        <w:t>heter som anges i konventionen. Europakonventionen riktar sig alltså i första hand till konventionsstaterna. Det är dessa som skall rätta sig efter konventi</w:t>
      </w:r>
      <w:r w:rsidRPr="00515A4C">
        <w:t>o</w:t>
      </w:r>
      <w:r w:rsidRPr="00515A4C">
        <w:t>nens bestämmelser och således avhålla sig från att inkräkta på enskilda pers</w:t>
      </w:r>
      <w:r w:rsidRPr="00515A4C">
        <w:t>o</w:t>
      </w:r>
      <w:r w:rsidRPr="00515A4C">
        <w:t>ners grundläggande fri- och rättigheter, utom i de fall där det finns stöd  för sådant handlande i ko</w:t>
      </w:r>
      <w:r w:rsidRPr="00515A4C">
        <w:t>n</w:t>
      </w:r>
      <w:r w:rsidRPr="00515A4C">
        <w:t>ventionens undantagsbestämmelser.</w:t>
      </w:r>
    </w:p>
    <w:p w:rsidR="00322A77" w:rsidRPr="00515A4C" w:rsidRDefault="00322A77">
      <w:pPr>
        <w:pStyle w:val="Normaltindrag"/>
      </w:pPr>
      <w:r w:rsidRPr="00515A4C">
        <w:t>Många av konventionens bestämmelser förpliktar konventionsstat</w:t>
      </w:r>
      <w:r w:rsidRPr="00515A4C">
        <w:t>erna att inte handla på ett visst sätt. Som exempel kan nämnas artiklarna 2, 9 och 10: staten skall inte beröva någon livet och inte hindra någon att utöva sin relig</w:t>
      </w:r>
      <w:r w:rsidRPr="00515A4C">
        <w:t>i</w:t>
      </w:r>
      <w:r w:rsidRPr="00515A4C">
        <w:t>on eller att uttrycka sina åsikter, såvida det inte finns stöd för ingrepp i ko</w:t>
      </w:r>
      <w:r w:rsidRPr="00515A4C">
        <w:t>n</w:t>
      </w:r>
      <w:r w:rsidRPr="00515A4C">
        <w:t>ventionen. Till staternas skyldigheter att inte handla på ett visst sätt är i många fall kopplat en plikt till positivt handlande för att tillse att den enskilda individen kommer i åtnjutande av konventionens rättigheter också i relation till andra enskilda rättssub</w:t>
      </w:r>
      <w:r w:rsidRPr="00515A4C">
        <w:t>jekt (se Danelius, Mänskliga rättigheter i europeisk  praxis, andra upplagan s. 59). Rätten till skydd för yttrandefriheten kan t.ex. kräva att staten ingriper om enskilda grupper söker hindra utgivning av en tidning.</w:t>
      </w:r>
    </w:p>
    <w:p w:rsidR="00322A77" w:rsidRPr="00515A4C" w:rsidRDefault="00322A77">
      <w:pPr>
        <w:pStyle w:val="Normaltindrag"/>
      </w:pPr>
      <w:r w:rsidRPr="00515A4C">
        <w:t>I sitt betänkande Medborgerliga fri- och rättigheter (SOU 1975:75) disk</w:t>
      </w:r>
      <w:r w:rsidRPr="00515A4C">
        <w:t>u</w:t>
      </w:r>
      <w:r w:rsidRPr="00515A4C">
        <w:t>terade 1973 års fri- och rättighetsutredning frågan mot vem ett grundlag</w:t>
      </w:r>
      <w:r w:rsidRPr="00515A4C">
        <w:t>s</w:t>
      </w:r>
      <w:r w:rsidRPr="00515A4C">
        <w:t>skydd för fri- och rättigheter skulle gälla. Slutsatsen blev att det inte var pra</w:t>
      </w:r>
      <w:r w:rsidRPr="00515A4C">
        <w:t>k</w:t>
      </w:r>
      <w:r w:rsidRPr="00515A4C">
        <w:t>tiskt möjligt att i grundlag ta in en generell reglering av skyddet för fri- och rättigheterna såvitt gällde förhållandet mellan de enskilda inbördes. Man skulle i så fall – utan att ändå helt kunna överblicka verkningarna av regels</w:t>
      </w:r>
      <w:r w:rsidRPr="00515A4C">
        <w:t>y</w:t>
      </w:r>
      <w:r w:rsidRPr="00515A4C">
        <w:t>stemet – tvingas till en reglering som så detaljerat angav vilka beteenden som var  förbjudna och vilka påföljder som skull</w:t>
      </w:r>
      <w:r w:rsidRPr="00515A4C">
        <w:t>e knytas till de uppställda förb</w:t>
      </w:r>
      <w:r w:rsidRPr="00515A4C">
        <w:t>u</w:t>
      </w:r>
      <w:r w:rsidRPr="00515A4C">
        <w:t>den att den till följd av sin omfattning svårligen kunde rymmas inom en ri</w:t>
      </w:r>
      <w:r w:rsidRPr="00515A4C">
        <w:t>m</w:t>
      </w:r>
      <w:r w:rsidRPr="00515A4C">
        <w:t>ligt tilltagen ram. Utredningen anförde vidare att en grundlagsreglering som generellt skyddar fri- och rättigheterna också gentemot enskilda medför vissa problem som gäller förhållandet mellan grundlagens rättighetsskydd och vissa av civilrättens regler. Ett av dessa problem angavs ha sin grund i principen om enskildas avtalsfrihet. En grundlagsreglering skulle nämligen enligt u</w:t>
      </w:r>
      <w:r w:rsidRPr="00515A4C">
        <w:t>t</w:t>
      </w:r>
      <w:r w:rsidRPr="00515A4C">
        <w:t>redningen ge upphov t</w:t>
      </w:r>
      <w:r w:rsidRPr="00515A4C">
        <w:t>ill frågan huruvida fri- och rättighetsreglerna skall anses innefatta förbud mot vissa  typer av avtalsklausuler. Utredningen anfö</w:t>
      </w:r>
      <w:r w:rsidRPr="00515A4C">
        <w:t>r</w:t>
      </w:r>
      <w:r w:rsidRPr="00515A4C">
        <w:t xml:space="preserve">de att man t.ex. kan hävda att det inte bör vara möjligt för någon att i ett avtal förbinda sig att aldrig träda in i föreningar, utöva religion eller lämna en viss ort. Om man intar den ståndpunkten att en fri- och rättighetsreglering, som gäller också för förhållandet enskilda emellan, som huvudregel skulle utesluta avtalsfrihet, tvingas man enligt utredningen att undersöka i </w:t>
      </w:r>
      <w:r w:rsidRPr="00515A4C">
        <w:t>vilken omfattning man genom särskilda föreskrifter skall tillåta avtalsmässiga inskränkningar i fri- och rättigheterna. Utredningen anförde att det torde vara ofrånkomligt att sådana inskränkningar i viss utsträckning måste vara möjliga.</w:t>
      </w:r>
    </w:p>
    <w:p w:rsidR="00322A77" w:rsidRPr="00515A4C" w:rsidRDefault="00322A77">
      <w:pPr>
        <w:pStyle w:val="Normaltindrag"/>
      </w:pPr>
      <w:r w:rsidRPr="00515A4C">
        <w:t>I proposition 1975/76:209 delade regeringen utredningens bedömning att det inte var praktiskt möjligt att i grundlag ge rättigheterna ett omfattande skydd mot angrepp från enskilda. I de flesta fall förelåg enligt propositionen  inte något behov av ett sådant skydd. De möjl</w:t>
      </w:r>
      <w:r w:rsidRPr="00515A4C">
        <w:t>igheter som erbjöds genom vanlig lagstiftning fick anses vara helt tillräckliga.</w:t>
      </w:r>
    </w:p>
    <w:p w:rsidR="00322A77" w:rsidRPr="00515A4C" w:rsidRDefault="00322A77">
      <w:pPr>
        <w:pStyle w:val="Normaltindrag"/>
      </w:pPr>
      <w:r w:rsidRPr="00515A4C">
        <w:t>I sitt betänkande Förstärkt skydd för fri- och rättigheter (SOU 1978:34) diskuterade Rättighetsskyddsutredningen frågan om det rättighetsskydd som genom regeringsformen tillförsäkras medborgarna gentemot det allmänna borde utsträckas till att gälla även förhållanden mellan enskilda. Utredningen fann emellertid att det inte var möjligt att gå in på dessa vittomfattande pr</w:t>
      </w:r>
      <w:r w:rsidRPr="00515A4C">
        <w:t>o</w:t>
      </w:r>
      <w:r w:rsidRPr="00515A4C">
        <w:t>blem.</w:t>
      </w:r>
    </w:p>
    <w:p w:rsidR="00322A77" w:rsidRPr="00515A4C" w:rsidRDefault="00322A77">
      <w:pPr>
        <w:pStyle w:val="Normaltindrag"/>
      </w:pPr>
      <w:r w:rsidRPr="00515A4C">
        <w:t>Fri- och rättighetskommittén konstaterade i sitt delbetänkande Fri- och rä</w:t>
      </w:r>
      <w:r w:rsidRPr="00515A4C">
        <w:t>t</w:t>
      </w:r>
      <w:r w:rsidRPr="00515A4C">
        <w:t>tighetsfrågor (SOU 1993:40) att grundlagens rättighetsreglering – med u</w:t>
      </w:r>
      <w:r w:rsidRPr="00515A4C">
        <w:t>n</w:t>
      </w:r>
      <w:r w:rsidRPr="00515A4C">
        <w:t>dantag för rätten till fackliga stridsåtgärder och författares m.fl. rätt till sina verk (2 kap. 17 och 19 §§ regeringsformen) – endast gäller förhållandet me</w:t>
      </w:r>
      <w:r w:rsidRPr="00515A4C">
        <w:t>l</w:t>
      </w:r>
      <w:r w:rsidRPr="00515A4C">
        <w:t>lan den enskilde och det allmänna, inte förhållandet mellan enskilda inbördes. För att skydda medborgarnas rättigheter mot angrepp från andra enskilda, exempelvis organisationer, var det enligt kommittén, till skillnad från skyddet gentemot den offentliga makten, i de flesta fall</w:t>
      </w:r>
      <w:r w:rsidRPr="00515A4C">
        <w:t xml:space="preserve"> tillräckligt med vanlig lag. Detta hindrade enligt kommittén dock inte att det kunde finnas skäl att i grundlag ta in vissa klart avgränsade regler som gällde förhållandet mellan enskilda. Kommittén anförde att detta exempelvis kunde vara fallet då man gjort bedömningen att den vanliga lagformen i vissa hänseenden inte ger tillräckligt starkt skydd för den enskilde gentemot andra enskilda.</w:t>
      </w:r>
    </w:p>
    <w:p w:rsidR="00322A77" w:rsidRPr="00515A4C" w:rsidRDefault="00322A77">
      <w:pPr>
        <w:pStyle w:val="Normaltindrag"/>
      </w:pPr>
      <w:r w:rsidRPr="00515A4C">
        <w:t>Kommittén delade Fri- och rättighetsutredningens slutsats att det inte var praktiskt möjligt att i grundlag ta in en g</w:t>
      </w:r>
      <w:r w:rsidRPr="00515A4C">
        <w:t>enerell reglering av skyddet för de medborgerliga  fri- och rättigheterna såvitt gällde förhållandet mellan enski</w:t>
      </w:r>
      <w:r w:rsidRPr="00515A4C">
        <w:t>l</w:t>
      </w:r>
      <w:r w:rsidRPr="00515A4C">
        <w:t xml:space="preserve">da. </w:t>
      </w:r>
    </w:p>
    <w:p w:rsidR="00322A77" w:rsidRPr="00515A4C" w:rsidRDefault="00322A77">
      <w:pPr>
        <w:pStyle w:val="Normaltindrag"/>
      </w:pPr>
      <w:r w:rsidRPr="00515A4C">
        <w:t>Frågan om grundlagsskydd för fri- och rättigheter för enskilda mot andra enskilda har berörts av konstitutionsutskottet vid ett flertal tillfällen i samband med behandling av motioner om negativ föreningsrätt. Som skäl för avsty</w:t>
      </w:r>
      <w:r w:rsidRPr="00515A4C">
        <w:t>r</w:t>
      </w:r>
      <w:r w:rsidRPr="00515A4C">
        <w:t>kande av motionerna har i huvudsak anförts att det inte är praktiskt möjligt eller lämpligt att till utredning ta upp också den i sin helhet mycket omfatta</w:t>
      </w:r>
      <w:r w:rsidRPr="00515A4C">
        <w:t>n</w:t>
      </w:r>
      <w:r w:rsidRPr="00515A4C">
        <w:t>de frågan om rättighetsskydd för enskild mot annan enskild. Frågor om sådant skydd borde enligt utskottets mening som dittills lösas inom den vanliga lagstiftningens ram. (Se bet. KU 1983/84:8, 1984/85:30, 1986/87:17, 1987/88:9, 1987/88:32, 1989/90:KU7, 1990/91:KU6, 1992/93:KU2, och 1993/94:KU24).</w:t>
      </w:r>
    </w:p>
    <w:p w:rsidR="00322A77" w:rsidRPr="00515A4C" w:rsidRDefault="00322A77">
      <w:pPr>
        <w:pStyle w:val="Normaltindrag"/>
      </w:pPr>
      <w:r w:rsidRPr="00515A4C">
        <w:t>I betänkandet 1999/2000:KU11 (s. 53 f.) avstyrkte utskot</w:t>
      </w:r>
      <w:r w:rsidRPr="00515A4C">
        <w:t>tet ett motionsy</w:t>
      </w:r>
      <w:r w:rsidRPr="00515A4C">
        <w:t>r</w:t>
      </w:r>
      <w:r w:rsidRPr="00515A4C">
        <w:t>kande om grundlagsskydd för fri- och rättigheter i förhållande till andra e</w:t>
      </w:r>
      <w:r w:rsidRPr="00515A4C">
        <w:t>n</w:t>
      </w:r>
      <w:r w:rsidRPr="00515A4C">
        <w:t>skilda. Utskottet hänvisade till att såväl Fri- och rättighetsutredningen 1975 som Fri- och rättighetskommittén 1993 konstaterat att det inte är praktiskt möjligt att i grundlag ta in en generell reglering av skyddet för fri- och rätti</w:t>
      </w:r>
      <w:r w:rsidRPr="00515A4C">
        <w:t>g</w:t>
      </w:r>
      <w:r w:rsidRPr="00515A4C">
        <w:t>heterna såvitt gällde förhållandet mellan enskilda. Utskottet hade vid ett fle</w:t>
      </w:r>
      <w:r w:rsidRPr="00515A4C">
        <w:t>r</w:t>
      </w:r>
      <w:r w:rsidRPr="00515A4C">
        <w:t>tal tillfällen uttalat sitt stöd för den uppfattningen och det fanns inte anledning för utskottet att nu</w:t>
      </w:r>
      <w:r w:rsidRPr="00515A4C">
        <w:t xml:space="preserve"> ändra sin inställning. Frågor om skydd för enskilda mot andra enskilda bör som hittills lösas inom den vanliga lagstiftningens ram. De olika önskemål som därvid kan vara aktuella får hanteras allteftersom de framkommer. – En motion liknande den nu aktuella K375 avstyrktes senast våren 2002 med hänvisning till tidigare ställningstaganden (bet. 2001/02: KU15 s. 22). En reservation (kd) avgavs.</w:t>
      </w:r>
    </w:p>
    <w:p w:rsidR="00322A77" w:rsidRPr="00515A4C" w:rsidRDefault="00322A77">
      <w:pPr>
        <w:pStyle w:val="Rubrik5"/>
        <w:rPr>
          <w:noProof w:val="0"/>
        </w:rPr>
      </w:pPr>
      <w:r w:rsidRPr="00515A4C">
        <w:rPr>
          <w:noProof w:val="0"/>
        </w:rPr>
        <w:t>Minoritetsskydd vid lagstiftning på fri- och rättighetsområdet</w:t>
      </w:r>
    </w:p>
    <w:p w:rsidR="00322A77" w:rsidRPr="00515A4C" w:rsidRDefault="00322A77">
      <w:r w:rsidRPr="00515A4C">
        <w:t xml:space="preserve">De grundläggande fri- och rättigheterna som regleras i 2 kap. regeringsformen kan sägas vara av tre slag. För det första finns där fri- och rättigheter som är </w:t>
      </w:r>
      <w:r w:rsidRPr="00515A4C">
        <w:rPr>
          <w:i/>
        </w:rPr>
        <w:t xml:space="preserve">absoluta </w:t>
      </w:r>
      <w:r w:rsidRPr="00515A4C">
        <w:t xml:space="preserve">i den meningen att de inte kan begränsas annat än efter en ändring i grundlagen. Till denna grupp av fri- och rättigheter hör religionsfriheten (1 § första stycket 6) och de s.k. negativa opinionsfriheterna (2 §) samt förbuden mot åsiktsregistrering (3 § första stycket), dödsstraff (4 §), kroppsstraff och tortyr (5 §). Hit hör vidare förbudet mot landsförvisning och skyddet för svenskt medborgarskap (7 §), rätten att få ett frihetsberövande prövat av domstol eller därmed jämställd nämnd (9 §) samt </w:t>
      </w:r>
      <w:r w:rsidRPr="00515A4C">
        <w:t>förbuden mot retroakti</w:t>
      </w:r>
      <w:r w:rsidRPr="00515A4C">
        <w:t>v</w:t>
      </w:r>
      <w:r w:rsidRPr="00515A4C">
        <w:t>strafflag (10 § första stycket), retroaktiv skattelag (10 § andra stycket) och tillfä</w:t>
      </w:r>
      <w:r w:rsidRPr="00515A4C">
        <w:t>l</w:t>
      </w:r>
      <w:r w:rsidRPr="00515A4C">
        <w:t>liga domstolar (11 §).</w:t>
      </w:r>
    </w:p>
    <w:p w:rsidR="00322A77" w:rsidRPr="00515A4C" w:rsidRDefault="00322A77">
      <w:pPr>
        <w:pStyle w:val="Normaltindrag"/>
      </w:pPr>
      <w:r w:rsidRPr="00515A4C">
        <w:t xml:space="preserve">För det andra finns </w:t>
      </w:r>
      <w:r w:rsidRPr="00515A4C">
        <w:rPr>
          <w:i/>
        </w:rPr>
        <w:t>det fri- och rättigheter som får begränsas, men i pri</w:t>
      </w:r>
      <w:r w:rsidRPr="00515A4C">
        <w:rPr>
          <w:i/>
        </w:rPr>
        <w:t>n</w:t>
      </w:r>
      <w:r w:rsidRPr="00515A4C">
        <w:rPr>
          <w:i/>
        </w:rPr>
        <w:t>cip bara genom lag</w:t>
      </w:r>
      <w:r w:rsidRPr="00515A4C">
        <w:t>. Dessa fri- och rättigheter är yttrandefriheten (1 § första stycket 1), informationsfriheten (1 § första stycket 2), mötesfriheten (1 § första stycket 3), demonstrationsfriheten (1 § första stycket 4), förenings-friheten (1 § första stycket 5), skyddet mot påtvingat kroppsligt ingrepp, kroppsvisitation och husrannsakan och liknande intrång (6 §), skyddet för förtrolig kommunikation (6 §), rörelsefriheten (8 §) samt rätten till offentli</w:t>
      </w:r>
      <w:r w:rsidRPr="00515A4C">
        <w:t>g rättegång (11 § andra stycket).</w:t>
      </w:r>
    </w:p>
    <w:p w:rsidR="00322A77" w:rsidRPr="00515A4C" w:rsidRDefault="00322A77">
      <w:pPr>
        <w:pStyle w:val="Normaltindrag"/>
      </w:pPr>
      <w:r w:rsidRPr="00515A4C">
        <w:t>De nu angivna fri- och rättigheterna får, enligt 2 kap. 12 § andra stycket regeringsformen, endast begränsas i viss utsträckning. En begränsning får bara göras för att tillgodose ett ändamål som är godtagbart i ett demokratiskt samhälle. Begränsningen får aldrig gå utöver vad som är nödvändigt med hänsyn till det ändamål som har föranlett den och inte heller sträcka sig så långt att den utgör ett hot mot den fria åsiktsbildningen såsom en av folkst</w:t>
      </w:r>
      <w:r w:rsidRPr="00515A4C">
        <w:t>y</w:t>
      </w:r>
      <w:r w:rsidRPr="00515A4C">
        <w:t>relsens grundvalar. En begränsning får vidare inte göras enbart på grund av politisk, religiös, kulturell eller annan sådan åskådning. För yttrande- och informationsfriheterna ges ytterligare föreskrifter i 13 § och för mötes- och demonstrationsfriheterna i 14 §. Vid begränsning av rättigheter måste lagsti</w:t>
      </w:r>
      <w:r w:rsidRPr="00515A4C">
        <w:t>f</w:t>
      </w:r>
      <w:r w:rsidRPr="00515A4C">
        <w:t>taren också beakta förbud i 15 och 16 §§ mot diskriminering med hänsyn till ras, hudfärg eller etniskt ursprung eller på grund av kön.</w:t>
      </w:r>
    </w:p>
    <w:p w:rsidR="00322A77" w:rsidRPr="00515A4C" w:rsidRDefault="00322A77">
      <w:pPr>
        <w:pStyle w:val="Normaltindrag"/>
      </w:pPr>
      <w:r w:rsidRPr="00515A4C">
        <w:t xml:space="preserve">Till de två nu behandlade grupperna av rättigheter kommer ett antal </w:t>
      </w:r>
      <w:r w:rsidRPr="00515A4C">
        <w:t>rätti</w:t>
      </w:r>
      <w:r w:rsidRPr="00515A4C">
        <w:t>g</w:t>
      </w:r>
      <w:r w:rsidRPr="00515A4C">
        <w:t xml:space="preserve">heter som alla kan få en stor del av sitt </w:t>
      </w:r>
      <w:r w:rsidRPr="00515A4C">
        <w:rPr>
          <w:i/>
        </w:rPr>
        <w:t>innehåll bestämt genom vanlig lag</w:t>
      </w:r>
      <w:r w:rsidRPr="00515A4C">
        <w:t>, varvid lagstiftaren inte i nämnvärd mån är bunden av några styrande regler i grundlagen. Hit hör reglerna om skydd mot integritetskränkande ADB-registrering (3 § andra stycket) och om skyddet för de fackliga friheterna (17 §), för äganderätten och allemansrätten (18 §), för upphovsrätten och liknande rättigheter (19 §), för närings- och yrkesfriheten (20 §) och för rätten till utbildning (21 §).</w:t>
      </w:r>
    </w:p>
    <w:p w:rsidR="00322A77" w:rsidRPr="00515A4C" w:rsidRDefault="00322A77">
      <w:r w:rsidRPr="00515A4C">
        <w:t xml:space="preserve">Av 2 kap. 12 § tredje stycket </w:t>
      </w:r>
      <w:r w:rsidRPr="00515A4C">
        <w:t xml:space="preserve">regeringsformen framgår att ett </w:t>
      </w:r>
      <w:r w:rsidRPr="00515A4C">
        <w:rPr>
          <w:i/>
        </w:rPr>
        <w:t>särskilt lagstif</w:t>
      </w:r>
      <w:r w:rsidRPr="00515A4C">
        <w:rPr>
          <w:i/>
        </w:rPr>
        <w:t>t</w:t>
      </w:r>
      <w:r w:rsidRPr="00515A4C">
        <w:rPr>
          <w:i/>
        </w:rPr>
        <w:t xml:space="preserve">ningsförfarande </w:t>
      </w:r>
      <w:r w:rsidRPr="00515A4C">
        <w:t>skall tillämpas i fråga om rättighetsbegränsande lagstiftning. Bestämmelsen, som är utformad som ett uppskovsförfarande, infördes den 1 januari 1980 i syfte att förstärka skyddet för de grundläggande fri- och rättigheterna (prop. 1978/79:195, bet. KU 1978/79:39, rskr. 1978/79:359,  bet.  KU  1979/80:1, rskr.  1979/80:2). Om minst tio riksdagsledamöter begär det skall ett lagförslag om begränsningar i de icke-absoluta fri- och rättigheterna vil</w:t>
      </w:r>
      <w:r w:rsidRPr="00515A4C">
        <w:t>a i minst tolv månader från det att det första utskottsyttrandet över förslaget anmäldes i kammaren. Ett uppskov kan dock undvikas på två sätt. Lagförsl</w:t>
      </w:r>
      <w:r w:rsidRPr="00515A4C">
        <w:t>a</w:t>
      </w:r>
      <w:r w:rsidRPr="00515A4C">
        <w:t xml:space="preserve">get kan omedelbart avslås. Det kan också omedelbart antas om minst fem sjättedelar av de röstande förenar sig om beslutet. Enligt paragrafens femte stycke prövar konstitutionsutskottet för riksdagens vidkommande om det särskilda  lagstiftningsförfarandet är tillämpligt i fråga om ett visst lagförslag. Enligt 4 kap. 10 § riksdagsordningen får utskottet inte </w:t>
      </w:r>
      <w:r w:rsidRPr="00515A4C">
        <w:t>förklara att det särski</w:t>
      </w:r>
      <w:r w:rsidRPr="00515A4C">
        <w:t>l</w:t>
      </w:r>
      <w:r w:rsidRPr="00515A4C">
        <w:t>da förfarandet inte är tillämpligt utan att Lagrådet först hörts i saken. Utsko</w:t>
      </w:r>
      <w:r w:rsidRPr="00515A4C">
        <w:t>t</w:t>
      </w:r>
      <w:r w:rsidRPr="00515A4C">
        <w:t>tet är emellertid inte bundet av La</w:t>
      </w:r>
      <w:r w:rsidRPr="00515A4C">
        <w:t>g</w:t>
      </w:r>
      <w:r w:rsidRPr="00515A4C">
        <w:t>rådets yttrande.</w:t>
      </w:r>
    </w:p>
    <w:p w:rsidR="00322A77" w:rsidRPr="00515A4C" w:rsidRDefault="00322A77">
      <w:pPr>
        <w:pStyle w:val="Normaltindrag"/>
      </w:pPr>
      <w:r w:rsidRPr="00515A4C">
        <w:t>Den parlamentariska Rättighetsskyddsutredningen var i sitt betänkande Förstärkt skydd för fri- och rättigheter (SOU 1978:34) enig om att det vore bäst om rättighetsskyddet utformades med hjälp av en s.k. materiell metod, varmed avses bl.a. att man i grundlagen anger vilka rättighetsbegränsningar som riksdagen skall få besluta genom vanlig lag. Utredning</w:t>
      </w:r>
      <w:r w:rsidRPr="00515A4C">
        <w:t>en kom emellertid fram till att det var svårt att på detta sätt förstärka rättighetsskyddet, oavsett om det gällde opinionsfriheterna eller de ”kroppsliga” fri- och rättigheterna, och att ett särskilt förfarande för beslut om lagar som begränsar fri- och rä</w:t>
      </w:r>
      <w:r w:rsidRPr="00515A4C">
        <w:t>t</w:t>
      </w:r>
      <w:r w:rsidRPr="00515A4C">
        <w:t>tigheterna var det enda ytterligare grundlagsskydd som kunde ges. Rättighet</w:t>
      </w:r>
      <w:r w:rsidRPr="00515A4C">
        <w:t>s</w:t>
      </w:r>
      <w:r w:rsidRPr="00515A4C">
        <w:t>skyddsutredningen föreslog därför att ett särskilt lagstiftningsförfarande skulle införas. Bakom förslaget stod representanterna i utredningen för rik</w:t>
      </w:r>
      <w:r w:rsidRPr="00515A4C">
        <w:t>s</w:t>
      </w:r>
      <w:r w:rsidRPr="00515A4C">
        <w:t>dagens fyra största partier</w:t>
      </w:r>
      <w:r w:rsidRPr="00515A4C">
        <w:t>. Endast representanten för Vänsterpartiet komm</w:t>
      </w:r>
      <w:r w:rsidRPr="00515A4C">
        <w:t>u</w:t>
      </w:r>
      <w:r w:rsidRPr="00515A4C">
        <w:t>ni</w:t>
      </w:r>
      <w:r w:rsidRPr="00515A4C">
        <w:t>s</w:t>
      </w:r>
      <w:r w:rsidRPr="00515A4C">
        <w:t>terna reserverade sig mot förslaget.</w:t>
      </w:r>
    </w:p>
    <w:p w:rsidR="00322A77" w:rsidRPr="00515A4C" w:rsidRDefault="00322A77">
      <w:pPr>
        <w:pStyle w:val="Normaltindrag"/>
      </w:pPr>
      <w:r w:rsidRPr="00515A4C">
        <w:t>När det gäller tillämpningsområdet för det särskilda förfarandet hade det i direktiven bl.a. uttalats att kommittén borde överväga om förfarandereglerna kunde begränsas till opinionsfriheterna eller om de skulle ha större räckvidd. Rättighetsskyddsutredningen ansåg att inte bara opinionsfriheterna utan också de kroppsliga friheterna var av grundläggande betydelse för demokratins funktion och bestånd, varför skyddet i stö</w:t>
      </w:r>
      <w:r w:rsidRPr="00515A4C">
        <w:t>rsta möjliga utsträckning borde omfatta också dessa. Det särskilda beslutsförfarandet borde enligt utredningen vara tillämpligt på de begränsningsbara fri- och rättigheter som fanns uppta</w:t>
      </w:r>
      <w:r w:rsidRPr="00515A4C">
        <w:t>g</w:t>
      </w:r>
      <w:r w:rsidRPr="00515A4C">
        <w:t>na i 2 kap. 1–11 §§ regeringsformen. Bestämmelsen om författares m.fl. rätt till sina verk passade enligt utredningen inte för att omfattas av detta skydd. Inte heller i fråga om de fackliga rättigheterna ansåg utredningen att begrän</w:t>
      </w:r>
      <w:r w:rsidRPr="00515A4C">
        <w:t>s</w:t>
      </w:r>
      <w:r w:rsidRPr="00515A4C">
        <w:t>ningar behövde beslutas med särskilt förfarande. Utredningen menade vidare att förbuden mo</w:t>
      </w:r>
      <w:r w:rsidRPr="00515A4C">
        <w:t>t rasdiskriminering och mot könsdiskriminering hade en a</w:t>
      </w:r>
      <w:r w:rsidRPr="00515A4C">
        <w:t>b</w:t>
      </w:r>
      <w:r w:rsidRPr="00515A4C">
        <w:t>solut karaktär inom sina respektive tillämpningsområden och därför inte var aktuella i detta sammanhang, samt att även regeln om ersättning vid expropr</w:t>
      </w:r>
      <w:r w:rsidRPr="00515A4C">
        <w:t>i</w:t>
      </w:r>
      <w:r w:rsidRPr="00515A4C">
        <w:t>ation i princip var av denna natur.</w:t>
      </w:r>
    </w:p>
    <w:p w:rsidR="00322A77" w:rsidRPr="00515A4C" w:rsidRDefault="00322A77">
      <w:pPr>
        <w:pStyle w:val="Normaltindrag"/>
      </w:pPr>
      <w:r w:rsidRPr="00515A4C">
        <w:t>I proposition 1978/79:195, som hade föregåtts av partiledaröverläggningar, anfördes att det föreslagna förfarandet skulle innebära en väsentlig förstär</w:t>
      </w:r>
      <w:r w:rsidRPr="00515A4C">
        <w:t>k</w:t>
      </w:r>
      <w:r w:rsidRPr="00515A4C">
        <w:t>ning av rättighetsskyddet och att det i allt väsentligt borde genomföras. B</w:t>
      </w:r>
      <w:r w:rsidRPr="00515A4C">
        <w:t>e</w:t>
      </w:r>
      <w:r w:rsidRPr="00515A4C">
        <w:t>träffande tillämpningsområdet för det särskilda förfarandet konstaterade r</w:t>
      </w:r>
      <w:r w:rsidRPr="00515A4C">
        <w:t>e</w:t>
      </w:r>
      <w:r w:rsidRPr="00515A4C">
        <w:t>geringen att utredningens förslag i allt väsentligt hade godtagits av remissi</w:t>
      </w:r>
      <w:r w:rsidRPr="00515A4C">
        <w:t>n</w:t>
      </w:r>
      <w:r w:rsidRPr="00515A4C">
        <w:t>stanserna. Inte he</w:t>
      </w:r>
      <w:r w:rsidRPr="00515A4C">
        <w:t>l</w:t>
      </w:r>
      <w:r w:rsidRPr="00515A4C">
        <w:t>ler regeringen såg  några skäl att frångå utredningsförslaget.</w:t>
      </w:r>
    </w:p>
    <w:p w:rsidR="00322A77" w:rsidRPr="00515A4C" w:rsidRDefault="00322A77">
      <w:pPr>
        <w:pStyle w:val="Normaltindrag"/>
      </w:pPr>
      <w:r w:rsidRPr="00515A4C">
        <w:t>Konstitutionsutskottet tillstyrkte enhälligt regeringens förslag i denna del (bet. KU 1978/79:39).</w:t>
      </w:r>
    </w:p>
    <w:p w:rsidR="00322A77" w:rsidRPr="00515A4C" w:rsidRDefault="00322A77">
      <w:pPr>
        <w:pStyle w:val="Normaltindrag"/>
      </w:pPr>
      <w:r w:rsidRPr="00515A4C">
        <w:t>Konstitutionsutskottet har vid upprepade tillfällen därefter behandlat m</w:t>
      </w:r>
      <w:r w:rsidRPr="00515A4C">
        <w:t>o</w:t>
      </w:r>
      <w:r w:rsidRPr="00515A4C">
        <w:t>tioner om kvalificerat beslutsförfarande vid rättighetsbegränsningar.</w:t>
      </w:r>
    </w:p>
    <w:p w:rsidR="00322A77" w:rsidRPr="00515A4C" w:rsidRDefault="00322A77">
      <w:pPr>
        <w:pStyle w:val="Normaltindrag"/>
      </w:pPr>
      <w:r w:rsidRPr="00515A4C">
        <w:t>I betänkande 1996/97:KU26 fann utskottet att de skäl som utskottet tidig</w:t>
      </w:r>
      <w:r w:rsidRPr="00515A4C">
        <w:t>a</w:t>
      </w:r>
      <w:r w:rsidRPr="00515A4C">
        <w:t>re anfört mot ett system med kvalificerad majoritet vid rättighetsbegränsnin</w:t>
      </w:r>
      <w:r w:rsidRPr="00515A4C">
        <w:t>g</w:t>
      </w:r>
      <w:r w:rsidRPr="00515A4C">
        <w:t>ar fortfarande var giltiga. Utskottet konstaterade att  möjligheterna att införa rättighetsbegränsande lagar försvårats genom det särskilda lagstiftningsförf</w:t>
      </w:r>
      <w:r w:rsidRPr="00515A4C">
        <w:t>a</w:t>
      </w:r>
      <w:r w:rsidRPr="00515A4C">
        <w:t>randet, enligt vilket en minoritet kan skjuta upp riksdagsbehandlingen i minst tolv månader. Den aktuella motionen avstyrktes (s. 5).</w:t>
      </w:r>
    </w:p>
    <w:p w:rsidR="00322A77" w:rsidRPr="00515A4C" w:rsidRDefault="00322A77">
      <w:pPr>
        <w:pStyle w:val="Normaltindrag"/>
      </w:pPr>
      <w:r w:rsidRPr="00515A4C">
        <w:t xml:space="preserve">I betänkande 1997/98:KU32 avstyrkte utskottet den aktuella motionen med motiveringen att bestämmelsen om särskilt lagstiftningsförfarande i 2 </w:t>
      </w:r>
      <w:r w:rsidRPr="00515A4C">
        <w:t>kap. 12 § tredje stycket regeringsformen ger ett tillräckligt skydd för minoriteter när det gäller inskrän</w:t>
      </w:r>
      <w:r w:rsidRPr="00515A4C">
        <w:t>k</w:t>
      </w:r>
      <w:r w:rsidRPr="00515A4C">
        <w:t>ningar i de medborgerliga fri- och rättigheterna.</w:t>
      </w:r>
    </w:p>
    <w:p w:rsidR="00322A77" w:rsidRPr="00515A4C" w:rsidRDefault="00322A77">
      <w:pPr>
        <w:pStyle w:val="Normaltindrag"/>
      </w:pPr>
      <w:r w:rsidRPr="00515A4C">
        <w:t>I betänkandet 1999/2000:KU11 (s. 59) avstyrktes en motion i frågan. U</w:t>
      </w:r>
      <w:r w:rsidRPr="00515A4C">
        <w:t>t</w:t>
      </w:r>
      <w:r w:rsidRPr="00515A4C">
        <w:t>skottet framhöll att det väsentligaste motivet för det särskilda lagstiftningsfö</w:t>
      </w:r>
      <w:r w:rsidRPr="00515A4C">
        <w:t>r</w:t>
      </w:r>
      <w:r w:rsidRPr="00515A4C">
        <w:t>farandet är att de fri- och rättigheter som omfattas anses ha särskild betydelse för demokratins funktion och bestånd. Utskottet hänvisade också till att den nuvarande regleringen vuxit fram under stort samförstånd mellan riksdag</w:t>
      </w:r>
      <w:r w:rsidRPr="00515A4C">
        <w:t>s</w:t>
      </w:r>
      <w:r w:rsidRPr="00515A4C">
        <w:t>partierna. Utskottet framhöll att det tidigare funnit att regleringen ger ett tillräckligt skydd för minoriteter i riksdagen, och utskottet gjorde inte nu någon annan bedömning. Våren 2002 vidhöll uts</w:t>
      </w:r>
      <w:r w:rsidRPr="00515A4C">
        <w:t>kottet sin bedömning i frågan (bet. 2001/02:KU15 s. 23). En reserv</w:t>
      </w:r>
      <w:r w:rsidRPr="00515A4C">
        <w:t>a</w:t>
      </w:r>
      <w:r w:rsidRPr="00515A4C">
        <w:t>tion (m) avgavs.</w:t>
      </w:r>
    </w:p>
    <w:p w:rsidR="00322A77" w:rsidRPr="00515A4C" w:rsidRDefault="00322A77">
      <w:pPr>
        <w:pStyle w:val="Rubrik5"/>
        <w:rPr>
          <w:noProof w:val="0"/>
        </w:rPr>
      </w:pPr>
      <w:r w:rsidRPr="00515A4C">
        <w:rPr>
          <w:noProof w:val="0"/>
        </w:rPr>
        <w:t>Europakonventionens ställning</w:t>
      </w:r>
    </w:p>
    <w:p w:rsidR="00322A77" w:rsidRPr="00515A4C" w:rsidRDefault="00322A77">
      <w:r w:rsidRPr="00515A4C">
        <w:t>Europakonventionen gäller som lag här i landet sedan den 1 januari 1995. När det gäller konventionens ställning i svensk rätt ansåg Fri- och rättighetsko</w:t>
      </w:r>
      <w:r w:rsidRPr="00515A4C">
        <w:t>m</w:t>
      </w:r>
      <w:r w:rsidRPr="00515A4C">
        <w:t>mittén att regler om de mänskliga fri- och rättigheterna är av sådan vikt att de har sin plats i en grundlag (SOU 1993:40, del B s. 127). Kommittén konstat</w:t>
      </w:r>
      <w:r w:rsidRPr="00515A4C">
        <w:t>e</w:t>
      </w:r>
      <w:r w:rsidRPr="00515A4C">
        <w:t>rade dock att 2 kap. regeringsformen redan innehöll en omfattande reglering av fri- och rättigheter, vari också stadgades under vilka förutsättningar fri- och rättigheterna får begränsas, och att denna reglering till stor del utformats med Europakonventionen som inspirationskälla. Enligt kommittén skulle en inkorporering av konventionen med status av gr</w:t>
      </w:r>
      <w:r w:rsidRPr="00515A4C">
        <w:t>undlag leda till en dubbelr</w:t>
      </w:r>
      <w:r w:rsidRPr="00515A4C">
        <w:t>e</w:t>
      </w:r>
      <w:r w:rsidRPr="00515A4C">
        <w:t>glering på grundlagsnivå av vissa rättigheter och hur dessa får inskränkas. Vid en eventuell konflikt mellan konventionen och regeringsformen skulle ko</w:t>
      </w:r>
      <w:r w:rsidRPr="00515A4C">
        <w:t>n</w:t>
      </w:r>
      <w:r w:rsidRPr="00515A4C">
        <w:t xml:space="preserve">ventionen enligt kommittén dessutom som senare lag ges företräde. Detta fann kommittén mindre lämpligt och föreslog i stället att Europakonventionen skulle få status av vanlig lag. Konsekvensen av detta skulle enligt kommittén bli att en lag stiftad före inkorporeringslagen inte skulle tillämpas om den stred mot konventionen. För </w:t>
      </w:r>
      <w:r w:rsidRPr="00515A4C">
        <w:t>att garantera Europakonventionen företräde även i förhållande till senare stiftad lag ansåg kommittén att den skulle ges en särskild betydelse genom en bestämmelse i regeringsformen som, efter för</w:t>
      </w:r>
      <w:r w:rsidRPr="00515A4C">
        <w:t>e</w:t>
      </w:r>
      <w:r w:rsidRPr="00515A4C">
        <w:t>bild av 1 kap. 7 § andra stycket yttrandefrihetsgrundlagen, stadgade att lag eller annan föreskrift inte får meddelas i strid med Europakonventi</w:t>
      </w:r>
      <w:r w:rsidRPr="00515A4C">
        <w:t>o</w:t>
      </w:r>
      <w:r w:rsidRPr="00515A4C">
        <w:t xml:space="preserve">nen. </w:t>
      </w:r>
    </w:p>
    <w:p w:rsidR="00322A77" w:rsidRPr="00515A4C" w:rsidRDefault="00322A77">
      <w:pPr>
        <w:pStyle w:val="Normaltindrag"/>
      </w:pPr>
      <w:r w:rsidRPr="00515A4C">
        <w:rPr>
          <w:snapToGrid w:val="0"/>
        </w:rPr>
        <w:t>Frågan om inkorporering av Europakonventionen behandlades i propos</w:t>
      </w:r>
      <w:r w:rsidRPr="00515A4C">
        <w:rPr>
          <w:snapToGrid w:val="0"/>
        </w:rPr>
        <w:t>i</w:t>
      </w:r>
      <w:r w:rsidRPr="00515A4C">
        <w:rPr>
          <w:snapToGrid w:val="0"/>
        </w:rPr>
        <w:t>tion 1993/94:117. Till grund för propositionen låg en överenskommelse i olika författningsfrågor som hade träffats mellan riksdagspartierna i december  1993. I propositionen delade regeringen kommitténs bedömning att inkorp</w:t>
      </w:r>
      <w:r w:rsidRPr="00515A4C">
        <w:rPr>
          <w:snapToGrid w:val="0"/>
        </w:rPr>
        <w:t>o</w:t>
      </w:r>
      <w:r w:rsidRPr="00515A4C">
        <w:rPr>
          <w:snapToGrid w:val="0"/>
        </w:rPr>
        <w:t>reringen av Europakonventionen skulle ske genom vanlig lag. Vidare menade regeringen att den föreslagna grundlagsbestämmelsen hade ett betydande värde. Genom en regel i regeringsformen markerades, enligt regeringen, den särskilda betydelse som konventionen har och som själva inkorporeri</w:t>
      </w:r>
      <w:r w:rsidRPr="00515A4C">
        <w:rPr>
          <w:snapToGrid w:val="0"/>
        </w:rPr>
        <w:t>ngsförf</w:t>
      </w:r>
      <w:r w:rsidRPr="00515A4C">
        <w:rPr>
          <w:snapToGrid w:val="0"/>
        </w:rPr>
        <w:t>a</w:t>
      </w:r>
      <w:r w:rsidRPr="00515A4C">
        <w:rPr>
          <w:snapToGrid w:val="0"/>
        </w:rPr>
        <w:t>randet syftade till att förstärka. Regeringen underströk att konventionen g</w:t>
      </w:r>
      <w:r w:rsidRPr="00515A4C">
        <w:rPr>
          <w:snapToGrid w:val="0"/>
        </w:rPr>
        <w:t>e</w:t>
      </w:r>
      <w:r w:rsidRPr="00515A4C">
        <w:rPr>
          <w:snapToGrid w:val="0"/>
        </w:rPr>
        <w:t>nom den föreslagna bestämmelsen inte fick grundlags status och att det inte heller skapades någon</w:t>
      </w:r>
      <w:r w:rsidRPr="00515A4C">
        <w:t xml:space="preserve"> ny nivå i normhierarkin mellan vanlig lag och grun</w:t>
      </w:r>
      <w:r w:rsidRPr="00515A4C">
        <w:t>d</w:t>
      </w:r>
      <w:r w:rsidRPr="00515A4C">
        <w:t>lag. Enligt regeringen innebar det att i fall av verklig eller skenbar konflikt mellan konventionen och annan lag – och motstridigheten inte är av den uppenbara karaktär som förutsätts i lagprövningsregeln (11 kap. 14 § rege</w:t>
      </w:r>
      <w:r w:rsidRPr="00515A4C">
        <w:t>r</w:t>
      </w:r>
      <w:r w:rsidRPr="00515A4C">
        <w:t>ingsformen) – måste konflikten lösas genom lagtolkning</w:t>
      </w:r>
      <w:r w:rsidRPr="00515A4C">
        <w:t xml:space="preserve"> eller med hjälp av rättstillämpningsmetoder. Vidare framhöll regeringen att någon risk för en konflikt mellan Europakonventionens bestämmelser och föreskrifterna i 2 kap. regeringsformen inte gärna kan uppstå. I den mån de två regelsystemen inte ger samma skydd kommer, enligt regeringen, den regel som går längst att bli den som avgör hur långt skyddet för fri- och rättigheterna sträcker sig. Med andra ord kompletterar regelsystemen varandra. Detsamma kunde enligt regeringen sägas om tryckfrihetsförordninge</w:t>
      </w:r>
      <w:r w:rsidRPr="00515A4C">
        <w:t>ns och yttrandefrihetsgrundl</w:t>
      </w:r>
      <w:r w:rsidRPr="00515A4C">
        <w:t>a</w:t>
      </w:r>
      <w:r w:rsidRPr="00515A4C">
        <w:t>gens förhållande till konventionen.</w:t>
      </w:r>
    </w:p>
    <w:p w:rsidR="00322A77" w:rsidRPr="00515A4C" w:rsidRDefault="00322A77">
      <w:pPr>
        <w:pStyle w:val="Normaltindrag"/>
      </w:pPr>
      <w:r w:rsidRPr="00515A4C">
        <w:t>Vid riksdagsbehandlingen ställde sig konstitutionsutskottet bakom rege</w:t>
      </w:r>
      <w:r w:rsidRPr="00515A4C">
        <w:t>r</w:t>
      </w:r>
      <w:r w:rsidRPr="00515A4C">
        <w:t>ingens förslag, med undantag i ett visst avseende för motivtexten beträffande aktuella principer för lagtolkning och rättstillämpningsmetoder (bet. 1993/94: KU24 s. 17 f.).</w:t>
      </w:r>
    </w:p>
    <w:p w:rsidR="00322A77" w:rsidRPr="00515A4C" w:rsidRDefault="00322A77">
      <w:pPr>
        <w:pStyle w:val="Normaltindrag"/>
      </w:pPr>
      <w:r w:rsidRPr="00515A4C">
        <w:t>Våren 2000 avstyrkte utskottet ett motionsyrkande (m) om att Europako</w:t>
      </w:r>
      <w:r w:rsidRPr="00515A4C">
        <w:t>n</w:t>
      </w:r>
      <w:r w:rsidRPr="00515A4C">
        <w:t>ventionens rättighetsskydd borde anpassas till regeringsformens högre skyddsnivå (bet. 1999/2000:KU11 s. 59). Utskottet framhöll att regleringen av grundläggande fri- och rättigheter i 2 kap. regeringsformen till stor del utformats med Europakonventionen som inspirationskälla. Att Europako</w:t>
      </w:r>
      <w:r w:rsidRPr="00515A4C">
        <w:t>n</w:t>
      </w:r>
      <w:r w:rsidRPr="00515A4C">
        <w:t>ventionen inte gavs grundlags status berodde främst på att man ville undvika en dubbelreglering på samma konstitutionella nivå av vissa rättigheter och av hur dessa får begränsas.</w:t>
      </w:r>
    </w:p>
    <w:p w:rsidR="00322A77" w:rsidRPr="00515A4C" w:rsidRDefault="00322A77">
      <w:pPr>
        <w:pStyle w:val="Normaltindrag"/>
      </w:pPr>
      <w:r w:rsidRPr="00515A4C">
        <w:t>Om Europakonventionen gavs ställning som</w:t>
      </w:r>
      <w:r w:rsidRPr="00515A4C">
        <w:t xml:space="preserve"> grundlag, skulle det innebära att den som senare tillkommen lag gavs företräde framför regeringsformen. I likhet med Fri- och rättighetskommittén ansåg utskottet att det skulle vara mindre lämpligt. Till den del fri- och rättigheterna i Europakonventionen har sin motsvarighet i regeringsformen, omfattas de av samma skydd mot rätti</w:t>
      </w:r>
      <w:r w:rsidRPr="00515A4C">
        <w:t>g</w:t>
      </w:r>
      <w:r w:rsidRPr="00515A4C">
        <w:t>hetsbegränsningar som det som gäller enligt regeringsformen. Utskottet ville i sammanhanget också framhålla dels att artiklarna 15–18 i konventionen  reglerar möjligheterna för s</w:t>
      </w:r>
      <w:r w:rsidRPr="00515A4C">
        <w:t>taterna att i vissa situationer göra  begränsningar i konventionens rättigheter, dels att flera av konventionens artiklar innehåller en tydlig reglering av i vilka situationer som den rättighet som avses i artikeln  får begränsas. Att införa ytterligare inskränkningar av när en rättighet som avses i konventionen kan begränsas skulle skapa oklarhet om konventionens ställning. Enligt utskottets mening saknades det mot denna bakgrund anle</w:t>
      </w:r>
      <w:r w:rsidRPr="00515A4C">
        <w:t>d</w:t>
      </w:r>
      <w:r w:rsidRPr="00515A4C">
        <w:t>ning att utvidga tillämpningsområdet för 2 kap. 12 § regeringsformen til</w:t>
      </w:r>
      <w:r w:rsidRPr="00515A4C">
        <w:t>l att omfatta även Europakonventionen.</w:t>
      </w:r>
    </w:p>
    <w:p w:rsidR="00322A77" w:rsidRPr="00515A4C" w:rsidRDefault="00322A77">
      <w:pPr>
        <w:pStyle w:val="Normaltindrag"/>
      </w:pPr>
      <w:r w:rsidRPr="00515A4C">
        <w:t>I betänkandet 2001/02:KU15 (s. 22) avstyrktes motioner i frågan med hä</w:t>
      </w:r>
      <w:r w:rsidRPr="00515A4C">
        <w:t>n</w:t>
      </w:r>
      <w:r w:rsidRPr="00515A4C">
        <w:t>visning till tidigare bedömningar. I två reservationer (m resp. kd) begärdes grundlagsskydd för Europakonventionen.</w:t>
      </w:r>
    </w:p>
    <w:p w:rsidR="00322A77" w:rsidRPr="00515A4C" w:rsidRDefault="00322A77">
      <w:pPr>
        <w:pStyle w:val="Normaltindrag"/>
      </w:pPr>
      <w:r w:rsidRPr="00515A4C">
        <w:t>I betänkande 2000/01:KU11 konstaterade utskottet att utrymmet för att tillämpa uppenbarhetsrekvisitet i 11 kap. 14 § andra punkten regeringsformen har minskat genom Sveriges medlemskap i EU och införlivandet av Europ</w:t>
      </w:r>
      <w:r w:rsidRPr="00515A4C">
        <w:t>a</w:t>
      </w:r>
      <w:r w:rsidRPr="00515A4C">
        <w:t>konventionen i svensk rätt. Utskottet ansåg därför att regeringen borde ges i uppdrag att låta utreda frågor om skyldigheten enligt 11 kap. 14 § regering</w:t>
      </w:r>
      <w:r w:rsidRPr="00515A4C">
        <w:t>s</w:t>
      </w:r>
      <w:r w:rsidRPr="00515A4C">
        <w:t>formen för domstolar eller andra offentliga organ att i vissa fall inte tillämpa  en föreskrift och om undantaget från denna skyldighet, det s.k. uppenbarhet</w:t>
      </w:r>
      <w:r w:rsidRPr="00515A4C">
        <w:t>s</w:t>
      </w:r>
      <w:r w:rsidRPr="00515A4C">
        <w:t>rekvisitet.</w:t>
      </w:r>
    </w:p>
    <w:p w:rsidR="00322A77" w:rsidRPr="00515A4C" w:rsidRDefault="00322A77">
      <w:pPr>
        <w:pStyle w:val="Normaltindrag"/>
      </w:pPr>
      <w:r w:rsidRPr="00515A4C">
        <w:t>Riksdagen beslutade i enlighet med utskottets hemställan (rskr. 2000/01:149). Våren 2002 ansåg utskottet alltjämt att det finns ett behov av att de frågor som berördes i utskottets tillkä</w:t>
      </w:r>
      <w:r w:rsidRPr="00515A4C">
        <w:t>nnagivande till regeringen under föregående riksmöte blir föremål för utredning. Enligt utskottets mening var det angeläget att åtgärder vidtas så att ett utredningsarbete snarast möjligt kan inledas. Utskottet förutsatte att så sker (bet. 2001/02:KU13 s. 57 f.).</w:t>
      </w:r>
    </w:p>
    <w:p w:rsidR="00322A77" w:rsidRPr="00515A4C" w:rsidRDefault="00322A77">
      <w:pPr>
        <w:pStyle w:val="Rubrik5"/>
        <w:rPr>
          <w:noProof w:val="0"/>
        </w:rPr>
      </w:pPr>
      <w:r w:rsidRPr="00515A4C">
        <w:rPr>
          <w:noProof w:val="0"/>
        </w:rPr>
        <w:t>Värdekommission</w:t>
      </w:r>
    </w:p>
    <w:p w:rsidR="00322A77" w:rsidRPr="00515A4C" w:rsidRDefault="00322A77">
      <w:r w:rsidRPr="00515A4C">
        <w:t>Lagutskottet har vid fyra tillfällen avstyrkt motioner om tillsättandet av en värdekommission. Senast skedde detta den 24 januari 2002 (2001/02:LU8) då lagutskottet inledningsvis redovisade att den dåvarande norska regeringen år 1998 tillsatte en kommission, den s.k. Verdikommisjonen, som bestod av företrädare för en mängd olika samhällssektorer. Kommissionens arbete f</w:t>
      </w:r>
      <w:r w:rsidRPr="00515A4C">
        <w:t>i</w:t>
      </w:r>
      <w:r w:rsidRPr="00515A4C">
        <w:t>nansierades med statliga medel men var i övrigt helt fristående från staten. Syftet med kommissionen var att den skulle bidra till en bred värdemässig och samhällsetisk mobilisering för att stärka gemenskapsvärderingar och ansvar för miljön och samhället. Arbetet bedrevs bl.a. genom utfrågningar, seminarier, konferenser, massmedieutspel, institutionsbesök, folkmöten och genom publicering av rapporter och andra publikationer. Kommissionens arbete hade nu slutredovisats. Lagutskottet fann inte skäl ändra tid</w:t>
      </w:r>
      <w:r w:rsidRPr="00515A4C">
        <w:t>igare stäl</w:t>
      </w:r>
      <w:r w:rsidRPr="00515A4C">
        <w:t>l</w:t>
      </w:r>
      <w:r w:rsidRPr="00515A4C">
        <w:t>ningstagande. Vid föregående års behandling av frågan (bet. 2000/01:LU13) hade lagutskottet framhållit att det självfallet inte hade någon annan uppfat</w:t>
      </w:r>
      <w:r w:rsidRPr="00515A4C">
        <w:t>t</w:t>
      </w:r>
      <w:r w:rsidRPr="00515A4C">
        <w:t>ning än motionärerna vad gäller det angelägna i att det i så många samma</w:t>
      </w:r>
      <w:r w:rsidRPr="00515A4C">
        <w:t>n</w:t>
      </w:r>
      <w:r w:rsidRPr="00515A4C">
        <w:t>hang som möjligt förs samtal, diskussioner och debatter i sådana frågor som tagits upp i motionerna. Som utskottet funnit våren 1999 (bet. 1998/99:LU18) och våren 2000 (bet. 1999/2000:LU16) var dock den föreslagna värdeko</w:t>
      </w:r>
      <w:r w:rsidRPr="00515A4C">
        <w:t>m</w:t>
      </w:r>
      <w:r w:rsidRPr="00515A4C">
        <w:t>missionen inte en framkomlig väg om man ville komma vi</w:t>
      </w:r>
      <w:r w:rsidRPr="00515A4C">
        <w:t>dare med de tank</w:t>
      </w:r>
      <w:r w:rsidRPr="00515A4C">
        <w:t>e</w:t>
      </w:r>
      <w:r w:rsidRPr="00515A4C">
        <w:t>gångar som utskottet givit uttryck för. Det föreligger nämligen en risk för att bara tillsättandet av en statlig kommission av många kan uppfattas som ett försök att lägga fast en för alla människor gemensam syn på de frågestäl</w:t>
      </w:r>
      <w:r w:rsidRPr="00515A4C">
        <w:t>l</w:t>
      </w:r>
      <w:r w:rsidRPr="00515A4C">
        <w:t>ningar som förts fram av motionärerna. Det kunde inte heller uteslutas att samtal och diskussioner i andra sammanhang kring grundläggande mänskliga värden avstannade och det synsätt som kom till uttryck i kommissionen blev allenarådande. Vad en värdekommission skulle</w:t>
      </w:r>
      <w:r w:rsidRPr="00515A4C">
        <w:t xml:space="preserve"> kunna lägga fast kunde des</w:t>
      </w:r>
      <w:r w:rsidRPr="00515A4C">
        <w:t>s</w:t>
      </w:r>
      <w:r w:rsidRPr="00515A4C">
        <w:t>utom endast bli redovisningar av uppfattningar hos enskilda ledamöter i en statlig kommitté. Därtill kom att det inte gick att bortse från att kommissi</w:t>
      </w:r>
      <w:r w:rsidRPr="00515A4C">
        <w:t>o</w:t>
      </w:r>
      <w:r w:rsidRPr="00515A4C">
        <w:t>nens slutsatser kan bli så allmänt hållna att de framstår som ointressanta och arbetet därmed utförts i onödan.</w:t>
      </w:r>
    </w:p>
    <w:p w:rsidR="00322A77" w:rsidRPr="00515A4C" w:rsidRDefault="00322A77">
      <w:pPr>
        <w:pStyle w:val="Normaltindrag"/>
      </w:pPr>
      <w:r w:rsidRPr="00515A4C">
        <w:t>Lagutskottet hänvisade till Biokteknikkommitténs betänkande Att spränga gränser (SOU 2000:103), som lyfte fram och hade förslag rörande sådana spörsmål som motionärerna önskade få belysta. Vad som därvid togs upp hade nä</w:t>
      </w:r>
      <w:r w:rsidRPr="00515A4C">
        <w:t>ra beröringspunkter med delar av den norska Verdikommisjonens arbete. Lagutskottet hänvisade också till Forum för levande historia. Det övergripande målet för detta forum skall vara att stärka viljan hos var och en att aktivt verka för alla människors lika värde (SOU 2001:5). Det redovisade ledde enligt lagutskottet fram till samma slutsatser som våren 1999 och våren 2000. Lagutskottet var således inte berett att ställa sig bakom kravet på inrä</w:t>
      </w:r>
      <w:r w:rsidRPr="00515A4C">
        <w:t>t</w:t>
      </w:r>
      <w:r w:rsidRPr="00515A4C">
        <w:t>tandet av en svensk värd</w:t>
      </w:r>
      <w:r w:rsidRPr="00515A4C">
        <w:t>e</w:t>
      </w:r>
      <w:r w:rsidRPr="00515A4C">
        <w:t>kommission.</w:t>
      </w:r>
    </w:p>
    <w:p w:rsidR="00322A77" w:rsidRPr="00515A4C" w:rsidRDefault="00322A77">
      <w:pPr>
        <w:pStyle w:val="Normaltindrag"/>
      </w:pPr>
      <w:r w:rsidRPr="00515A4C">
        <w:t>Konstitutionsutskottet avs</w:t>
      </w:r>
      <w:r w:rsidRPr="00515A4C">
        <w:t>tyrkte våren 2002 en motion (kd) om inrättandet av en värdekommission motsvarande den nu aktuella. (bet. 2001/02:KU15, s. 22). Enligt utskottets mening saknades anledning att gå ifrån riksdagens tidigare stäl</w:t>
      </w:r>
      <w:r w:rsidRPr="00515A4C">
        <w:t>l</w:t>
      </w:r>
      <w:r w:rsidRPr="00515A4C">
        <w:t>ningstaganden i frågan. En reservation (kd) avgavs.</w:t>
      </w:r>
    </w:p>
    <w:p w:rsidR="00322A77" w:rsidRPr="00515A4C" w:rsidRDefault="00322A77">
      <w:pPr>
        <w:pStyle w:val="Rubrik4"/>
        <w:rPr>
          <w:noProof w:val="0"/>
        </w:rPr>
      </w:pPr>
      <w:bookmarkStart w:id="52" w:name="_Toc34039154"/>
      <w:r w:rsidRPr="00515A4C">
        <w:rPr>
          <w:noProof w:val="0"/>
        </w:rPr>
        <w:t>Utskottets ställningstagande</w:t>
      </w:r>
      <w:bookmarkEnd w:id="52"/>
    </w:p>
    <w:p w:rsidR="00322A77" w:rsidRPr="00515A4C" w:rsidRDefault="00322A77">
      <w:r w:rsidRPr="00515A4C">
        <w:t xml:space="preserve">Frågor om utvidgning av dels </w:t>
      </w:r>
      <w:r w:rsidRPr="00515A4C">
        <w:rPr>
          <w:i/>
        </w:rPr>
        <w:t>området för de begränsningsgrunder</w:t>
      </w:r>
      <w:r w:rsidRPr="00515A4C">
        <w:t xml:space="preserve"> i fråga om fri- och rättigheter som gäller enligt 2 kap. 12 § andra stycket regeringsfo</w:t>
      </w:r>
      <w:r w:rsidRPr="00515A4C">
        <w:t>r</w:t>
      </w:r>
      <w:r w:rsidRPr="00515A4C">
        <w:t xml:space="preserve">men), dels utvidgning av </w:t>
      </w:r>
      <w:r w:rsidRPr="00515A4C">
        <w:rPr>
          <w:i/>
        </w:rPr>
        <w:t>minoritetsskyddet</w:t>
      </w:r>
      <w:r w:rsidRPr="00515A4C">
        <w:t xml:space="preserve"> vid fri- och rättighetsbegränsande lagstiftning enligt tredje stycket i samma paragraf till ytterligare fri- och rä</w:t>
      </w:r>
      <w:r w:rsidRPr="00515A4C">
        <w:t>t</w:t>
      </w:r>
      <w:r w:rsidRPr="00515A4C">
        <w:t>tigheter har behandlats av utskottet vid flera tidigare tillfällen. Utskottet har avstyrkt motioner om sådan utvidgning med hänvisning till att den nu gälla</w:t>
      </w:r>
      <w:r w:rsidRPr="00515A4C">
        <w:t>n</w:t>
      </w:r>
      <w:r w:rsidRPr="00515A4C">
        <w:t>de regleringen vuxit fram under stort samförstånd mellan partierna och ti</w:t>
      </w:r>
      <w:r w:rsidRPr="00515A4C">
        <w:t xml:space="preserve">ll att regleringen ger ett tillräckligt skydd för minoriteter i riksdagen. Utskottet gör inte nu någon annan bedömning. </w:t>
      </w:r>
    </w:p>
    <w:p w:rsidR="00322A77" w:rsidRPr="00515A4C" w:rsidRDefault="00322A77">
      <w:pPr>
        <w:pStyle w:val="Normaltindrag"/>
      </w:pPr>
      <w:r w:rsidRPr="00515A4C">
        <w:t>När det gäller det s.k. uppenbarhetsrekvisitet vill utskottet hänvisa till att utskottet avser att behandla frågan i ett senare betänkande om författningsfr</w:t>
      </w:r>
      <w:r w:rsidRPr="00515A4C">
        <w:t>å</w:t>
      </w:r>
      <w:r w:rsidRPr="00515A4C">
        <w:t>gor. Utskottet anser inte heller att det finns något behov av ett tillkännagiva</w:t>
      </w:r>
      <w:r w:rsidRPr="00515A4C">
        <w:t>n</w:t>
      </w:r>
      <w:r w:rsidRPr="00515A4C">
        <w:t xml:space="preserve">de till regeringen om kännbara </w:t>
      </w:r>
      <w:r w:rsidRPr="00515A4C">
        <w:rPr>
          <w:i/>
        </w:rPr>
        <w:t>konsekvenser för ansvariga politiker</w:t>
      </w:r>
      <w:r w:rsidRPr="00515A4C">
        <w:t xml:space="preserve"> för brott mot rättstatens grundläggande principer. Som framhållits i förarbetena till regeringsformen måste medborgarnas främsta skydd mot övergrepp ligga i det demokratiska systemet med bl.a. allmänna val och en vidsträckt allmän debatt. Genom de allmänna valen utkrävs ansvar för politiska beslut. Moti</w:t>
      </w:r>
      <w:r w:rsidRPr="00515A4C">
        <w:t>o</w:t>
      </w:r>
      <w:r w:rsidRPr="00515A4C">
        <w:t>nerna K379 yrkandena 7 och 8 (m), och K386 (m) avstyrks.</w:t>
      </w:r>
    </w:p>
    <w:p w:rsidR="00322A77" w:rsidRPr="00515A4C" w:rsidRDefault="00322A77">
      <w:pPr>
        <w:pStyle w:val="Normaltindrag"/>
        <w:ind w:right="-1"/>
      </w:pPr>
      <w:r w:rsidRPr="00515A4C">
        <w:t>N</w:t>
      </w:r>
      <w:r w:rsidRPr="00515A4C">
        <w:t xml:space="preserve">är det gäller frågan om </w:t>
      </w:r>
      <w:r w:rsidRPr="00515A4C">
        <w:rPr>
          <w:i/>
        </w:rPr>
        <w:t>Europakonventionens förhållande till regering</w:t>
      </w:r>
      <w:r w:rsidRPr="00515A4C">
        <w:rPr>
          <w:i/>
        </w:rPr>
        <w:t>s</w:t>
      </w:r>
      <w:r w:rsidRPr="00515A4C">
        <w:rPr>
          <w:i/>
        </w:rPr>
        <w:t xml:space="preserve">formen </w:t>
      </w:r>
      <w:r w:rsidRPr="00515A4C">
        <w:t>har utskottet tidigare vid flera tillfällen hänvisat till att regleringen av grundläggande rättigheter i 2 kap. regeringsformen till stor del utformats med Europakonventionen som inspirationskälla och till att konventionen inte getts grundlagsstatus främst beroende på att man ville undvika en dubbelreglering på samma konstitutionella nivå av vissa rättigheter och av hur dessa får b</w:t>
      </w:r>
      <w:r w:rsidRPr="00515A4C">
        <w:t>e</w:t>
      </w:r>
      <w:r w:rsidRPr="00515A4C">
        <w:t>gränsas. När det gäller alternativet att utvidga t</w:t>
      </w:r>
      <w:r w:rsidRPr="00515A4C">
        <w:t>illämpningsområdet för 2 kap. 12 § regeringsformen till att omfatta även Europakonventionen har utskottet hänvisat till att en sådan ordning skulle skapa oklarhet om konventionens ställning. Utskottet anser mot denna bakgrund fortfarande att det inte finns anledning att ge Europakonventionen grundlags status eller förstärka konve</w:t>
      </w:r>
      <w:r w:rsidRPr="00515A4C">
        <w:t>n</w:t>
      </w:r>
      <w:r w:rsidRPr="00515A4C">
        <w:t>tionens ställning på annat sätt. Utskottet avstyrker motion K379 yrkande 10 (m).</w:t>
      </w:r>
    </w:p>
    <w:p w:rsidR="00322A77" w:rsidRPr="00515A4C" w:rsidRDefault="00322A77">
      <w:pPr>
        <w:pStyle w:val="Normaltindrag"/>
      </w:pPr>
      <w:r w:rsidRPr="00515A4C">
        <w:t xml:space="preserve">Också frågan om </w:t>
      </w:r>
      <w:r w:rsidRPr="00515A4C">
        <w:rPr>
          <w:i/>
        </w:rPr>
        <w:t>grundlagsskydd för fri- och rättigheter i förhållanden mellan enskilda</w:t>
      </w:r>
      <w:r w:rsidRPr="00515A4C">
        <w:t xml:space="preserve"> har tidigare behandlats av utskottet vid upprepade tillfällen. Utskottet har hänvisat till att det efter utredningar i frågan konstaterats att det inte är praktiskt möjligt att i grundlag ta in en generell reglering av skyddet för fri- och rättigheter såvitt gäller förhållandet mellan enskilda. Utskottet gör fortfarande samma bedömning. Utskottet har vidare vid flera tidigare tillfällen tagit ställning mot en sådan utvidgning av fri- och</w:t>
      </w:r>
      <w:r w:rsidRPr="00515A4C">
        <w:t xml:space="preserve"> rättighetsskyddet som nu förordas i motion K375 i fråga om bl.a. den mänskliga integriteten och föräl</w:t>
      </w:r>
      <w:r w:rsidRPr="00515A4C">
        <w:t>d</w:t>
      </w:r>
      <w:r w:rsidRPr="00515A4C">
        <w:t>rarätt. Som utskottet uttalar i senare avsnitt i detta betänkande anser inte u</w:t>
      </w:r>
      <w:r w:rsidRPr="00515A4C">
        <w:t>t</w:t>
      </w:r>
      <w:r w:rsidRPr="00515A4C">
        <w:t>skottet att skyddet för den negativa föreningsrätten och äganderätten är otil</w:t>
      </w:r>
      <w:r w:rsidRPr="00515A4C">
        <w:t>l</w:t>
      </w:r>
      <w:r w:rsidRPr="00515A4C">
        <w:t>räckligt och när det gäller diskrimineringsskyddet gör utskottet en hänvisning till Diskrimineringskommitténs arbete. Motion K375 (kd) avstyrks följaktl</w:t>
      </w:r>
      <w:r w:rsidRPr="00515A4C">
        <w:t>i</w:t>
      </w:r>
      <w:r w:rsidRPr="00515A4C">
        <w:t>gen.</w:t>
      </w:r>
    </w:p>
    <w:p w:rsidR="00322A77" w:rsidRPr="00515A4C" w:rsidRDefault="00322A77">
      <w:pPr>
        <w:pStyle w:val="Normaltindrag"/>
      </w:pPr>
      <w:r w:rsidRPr="00515A4C">
        <w:t>Riksdagen har tidigare vid ett flertal tillfällen avslagit yrkanden om til</w:t>
      </w:r>
      <w:r w:rsidRPr="00515A4C">
        <w:t>l</w:t>
      </w:r>
      <w:r w:rsidRPr="00515A4C">
        <w:t xml:space="preserve">sättandet av en </w:t>
      </w:r>
      <w:r w:rsidRPr="00515A4C">
        <w:rPr>
          <w:i/>
        </w:rPr>
        <w:t>värdekommission.</w:t>
      </w:r>
      <w:r w:rsidRPr="00515A4C">
        <w:t xml:space="preserve"> Enligt utskottets mening saknas anledning att frångå riksdagens tidigare ställningstaganden i frågan. Motion K361 (kd) avstyrks.</w:t>
      </w:r>
    </w:p>
    <w:p w:rsidR="00322A77" w:rsidRPr="00515A4C" w:rsidRDefault="00322A77">
      <w:pPr>
        <w:pStyle w:val="Rubrik2"/>
        <w:spacing w:before="0"/>
      </w:pPr>
      <w:r w:rsidRPr="00515A4C">
        <w:br w:type="page"/>
      </w:r>
      <w:bookmarkStart w:id="53" w:name="_Toc34039155"/>
      <w:r w:rsidRPr="00515A4C">
        <w:t>Livsåskådning</w:t>
      </w:r>
      <w:bookmarkEnd w:id="53"/>
    </w:p>
    <w:p w:rsidR="00322A77" w:rsidRPr="00515A4C" w:rsidRDefault="00322A77">
      <w:pPr>
        <w:pStyle w:val="Utskottsfrslagikorthet-Rubrik"/>
        <w:outlineLvl w:val="0"/>
        <w:rPr>
          <w:noProof w:val="0"/>
        </w:rPr>
      </w:pPr>
      <w:r w:rsidRPr="00515A4C">
        <w:rPr>
          <w:noProof w:val="0"/>
        </w:rPr>
        <w:t>Utskottets förslag i korthet</w:t>
      </w:r>
    </w:p>
    <w:p w:rsidR="00322A77" w:rsidRPr="00515A4C" w:rsidRDefault="00322A77">
      <w:pPr>
        <w:pStyle w:val="Utskottsfrslagikorthet-Text"/>
      </w:pPr>
      <w:r w:rsidRPr="00515A4C">
        <w:t>Utskottet avstyrker en motion (s) om grundlagsskydd mot diskrim</w:t>
      </w:r>
      <w:r w:rsidRPr="00515A4C">
        <w:t>i</w:t>
      </w:r>
      <w:r w:rsidRPr="00515A4C">
        <w:t>nering på grund av livsåskådning.</w:t>
      </w:r>
    </w:p>
    <w:p w:rsidR="00322A77" w:rsidRPr="00515A4C" w:rsidRDefault="00322A77">
      <w:pPr>
        <w:pStyle w:val="Rubrik4"/>
        <w:rPr>
          <w:noProof w:val="0"/>
        </w:rPr>
      </w:pPr>
      <w:bookmarkStart w:id="54" w:name="_Toc34039156"/>
      <w:r w:rsidRPr="00515A4C">
        <w:rPr>
          <w:noProof w:val="0"/>
        </w:rPr>
        <w:t>Motionen</w:t>
      </w:r>
      <w:bookmarkEnd w:id="54"/>
    </w:p>
    <w:p w:rsidR="00322A77" w:rsidRPr="00515A4C" w:rsidRDefault="00322A77">
      <w:r w:rsidRPr="00515A4C">
        <w:t>Hillevi Larsson (s) begär i motion K307 en översyn av det lagrum i grundl</w:t>
      </w:r>
      <w:r w:rsidRPr="00515A4C">
        <w:t>a</w:t>
      </w:r>
      <w:r w:rsidRPr="00515A4C">
        <w:t>gen som förbjuder diskriminering på grund av trosuppfattning så att även sekulära livsåskådningar innefattas, exempelvis veganism. Enligt motionären bör en religiös livsåskådning inte vara överordnad en sekulär livsåskådning. Tron att det är fel att döda och äta upp djur när det finns alternativ vilket motiverar många vegetarianer och veganer är enligt motionen på intet sätt en mindre stark och okränkbar tro än tron på Gud.</w:t>
      </w:r>
    </w:p>
    <w:p w:rsidR="00322A77" w:rsidRPr="00515A4C" w:rsidRDefault="00322A77">
      <w:pPr>
        <w:pStyle w:val="Rubrik4"/>
        <w:rPr>
          <w:noProof w:val="0"/>
        </w:rPr>
      </w:pPr>
      <w:bookmarkStart w:id="55" w:name="_Toc34039157"/>
      <w:r w:rsidRPr="00515A4C">
        <w:rPr>
          <w:noProof w:val="0"/>
        </w:rPr>
        <w:t>Bakgrund</w:t>
      </w:r>
      <w:bookmarkEnd w:id="55"/>
    </w:p>
    <w:p w:rsidR="00322A77" w:rsidRPr="00515A4C" w:rsidRDefault="00322A77">
      <w:r w:rsidRPr="00515A4C">
        <w:t>Enligt regeringsformens målsättningsstadgande 1 kap. 2 § skall det allmänna verka för att alla människor skall kunna uppnå delaktighet och jämlikhet i samhället. Det allmänna skall motverka diskriminering av människor på grund av kön, hudfärg, nationellt eller etniskt ursprung, språklig eller religiös tillhörighet, funktionshinder, sexuell läggning, ålder eller annan omständighet som gäller den enskilde som person. Etniska, språkliga och religiösa minor</w:t>
      </w:r>
      <w:r w:rsidRPr="00515A4C">
        <w:t>i</w:t>
      </w:r>
      <w:r w:rsidRPr="00515A4C">
        <w:t>teters möjligheter att behålla och utveckla ett eget kultur- och samfundsliv bör främjas.</w:t>
      </w:r>
    </w:p>
    <w:p w:rsidR="00322A77" w:rsidRPr="00515A4C" w:rsidRDefault="00322A77">
      <w:pPr>
        <w:pStyle w:val="Normaltindrag"/>
      </w:pPr>
      <w:r w:rsidRPr="00515A4C">
        <w:t>Religionsfriheten hör till de grundläggande fri- och rättigheter som sky</w:t>
      </w:r>
      <w:r w:rsidRPr="00515A4C">
        <w:t>d</w:t>
      </w:r>
      <w:r w:rsidRPr="00515A4C">
        <w:t>das i 2 kap. 1 § regeringsformen. Den definieras där som frihet att ensam eller tillsammans med andra utöva sin religion och utgör liksom de övriga i par</w:t>
      </w:r>
      <w:r w:rsidRPr="00515A4C">
        <w:t>a</w:t>
      </w:r>
      <w:r w:rsidRPr="00515A4C">
        <w:t>grafen definierade friheterna en s.k. positiv opinionsfrihet. I 2 kap. 2 § rege</w:t>
      </w:r>
      <w:r w:rsidRPr="00515A4C">
        <w:t>r</w:t>
      </w:r>
      <w:r w:rsidRPr="00515A4C">
        <w:t>ingsformen föreskrivs skydd mot tvång att ge till känna sin åskådning i pol</w:t>
      </w:r>
      <w:r w:rsidRPr="00515A4C">
        <w:t>i</w:t>
      </w:r>
      <w:r w:rsidRPr="00515A4C">
        <w:t>tiskt, religiöst, kulturellt eller annat sådant hänseende och att tillhöra trossa</w:t>
      </w:r>
      <w:r w:rsidRPr="00515A4C">
        <w:t>m</w:t>
      </w:r>
      <w:r w:rsidRPr="00515A4C">
        <w:t>fund eller annan sammanslutning för sådan åskådning som nämnts. Detta skydd kan definieras som en negativ opinionsfr</w:t>
      </w:r>
      <w:r w:rsidRPr="00515A4C">
        <w:t>i</w:t>
      </w:r>
      <w:r w:rsidRPr="00515A4C">
        <w:t>he</w:t>
      </w:r>
      <w:r w:rsidRPr="00515A4C">
        <w:t>t.</w:t>
      </w:r>
    </w:p>
    <w:p w:rsidR="00322A77" w:rsidRPr="00515A4C" w:rsidRDefault="00322A77">
      <w:pPr>
        <w:pStyle w:val="Normaltindrag"/>
      </w:pPr>
      <w:r w:rsidRPr="00515A4C">
        <w:t>Efter 1976 års författningsreform (prop. 1975/76:209, bet. KU 1975/76:56 och 1976/77:1, rskr. 1976/77:2) kan religionsfriheten över huvud taget inte begränsas. Religionsfriheten är den enda av de positiva opinionsfriheterna för vilken detta gäller. Det hänger samman med det sätt varpå friheten har defin</w:t>
      </w:r>
      <w:r w:rsidRPr="00515A4C">
        <w:t>i</w:t>
      </w:r>
      <w:r w:rsidRPr="00515A4C">
        <w:t>erats i grundlagstexten: definitionen syftar uteslutande på vad som är specifikt just för religionsfriheten – att ensam eller tillsammans med andra utöva sin religion. De moment i religionsfriheten som närmast är utflöden av andra friheter, såsom yttrandefriheten, informationsfriheten, mötesfriheten och föreningsfriheten, kan b</w:t>
      </w:r>
      <w:r w:rsidRPr="00515A4C">
        <w:t>e</w:t>
      </w:r>
      <w:r w:rsidRPr="00515A4C">
        <w:t>gränsas enligt vad som gäller för dessa friheter.</w:t>
      </w:r>
    </w:p>
    <w:p w:rsidR="00322A77" w:rsidRPr="00515A4C" w:rsidRDefault="00322A77">
      <w:pPr>
        <w:pStyle w:val="Normaltindrag"/>
      </w:pPr>
      <w:r w:rsidRPr="00515A4C">
        <w:t>De allmänna begränsningar som gäller för människors handlande i sa</w:t>
      </w:r>
      <w:r w:rsidRPr="00515A4C">
        <w:t>m</w:t>
      </w:r>
      <w:r w:rsidRPr="00515A4C">
        <w:t>hället kan i vissa fall komma att beröra åtgärder som uppfattas såsom utöva</w:t>
      </w:r>
      <w:r w:rsidRPr="00515A4C">
        <w:t>n</w:t>
      </w:r>
      <w:r w:rsidRPr="00515A4C">
        <w:t>de av religionsfriheten. En i allmänhet straffbar handling är t.ex. inte skyddad bara därför att den förekommer i ett religiöst sammanhang. Grundlagsskyddet innebär ett förbud mot bestämmelser som uttryckligen riktar sig mot någon viss religionsutövning eller som, även om de har fått en mera allmän avfat</w:t>
      </w:r>
      <w:r w:rsidRPr="00515A4C">
        <w:t>t</w:t>
      </w:r>
      <w:r w:rsidRPr="00515A4C">
        <w:t>ning, uppenbart syftar till att motverka en viss rel</w:t>
      </w:r>
      <w:r w:rsidRPr="00515A4C">
        <w:t>i</w:t>
      </w:r>
      <w:r w:rsidRPr="00515A4C">
        <w:t>giös riktning.</w:t>
      </w:r>
    </w:p>
    <w:p w:rsidR="00322A77" w:rsidRPr="00515A4C" w:rsidRDefault="00322A77">
      <w:pPr>
        <w:pStyle w:val="Normaltindrag"/>
      </w:pPr>
      <w:r w:rsidRPr="00515A4C">
        <w:t>Föredragande statsrådet framhöll (s. 104 f.) att religionsfri</w:t>
      </w:r>
      <w:r w:rsidRPr="00515A4C">
        <w:t>heten närmast framstår som ett omfattande rättighetskomplex med inslag av yttrandefrihet, informationsrätt, mötesfrihet och föreningsfrihet, att i föreningsfriheten ingår betydande inslag av mötesfrihet samt att demonstrationsrätten nästan helt omfattas av mötesfriheten. Om den närmare innebörden yttrade statsrådet (a. prop. s. 114):</w:t>
      </w:r>
    </w:p>
    <w:p w:rsidR="00322A77" w:rsidRPr="00515A4C" w:rsidRDefault="00322A77">
      <w:pPr>
        <w:pStyle w:val="Citat"/>
        <w:spacing w:before="125"/>
      </w:pPr>
      <w:r w:rsidRPr="00515A4C">
        <w:t>Religionsfriheten anges t.ex. normalt innefatta inte bara en frihet att hysa viss religiös övertygelse och att enskilt utöva religion utan också frihet att sprida och ta del av</w:t>
      </w:r>
      <w:r w:rsidRPr="00515A4C">
        <w:t xml:space="preserve"> religiös förkunnelse, att anordna och delta i gud</w:t>
      </w:r>
      <w:r w:rsidRPr="00515A4C">
        <w:t>s</w:t>
      </w:r>
      <w:r w:rsidRPr="00515A4C">
        <w:t>tjänster samt att bilda och medverka i religiösa sammanslutningar. Sa</w:t>
      </w:r>
      <w:r w:rsidRPr="00515A4C">
        <w:t>m</w:t>
      </w:r>
      <w:r w:rsidRPr="00515A4C">
        <w:t>tidigt som det är angeläget att bereda dessa särskilda inslag i religionsfr</w:t>
      </w:r>
      <w:r w:rsidRPr="00515A4C">
        <w:t>i</w:t>
      </w:r>
      <w:r w:rsidRPr="00515A4C">
        <w:t>heten ett tillfredsställande skydd är det självklart att reglerna om relig</w:t>
      </w:r>
      <w:r w:rsidRPr="00515A4C">
        <w:t>i</w:t>
      </w:r>
      <w:r w:rsidRPr="00515A4C">
        <w:t>onsfriheten inte får hindra att de bestämmelser som i allmänhet gäller för begränsning av yttrande-, informations-, mötes-, demonstrations- och f</w:t>
      </w:r>
      <w:r w:rsidRPr="00515A4C">
        <w:t>ö</w:t>
      </w:r>
      <w:r w:rsidRPr="00515A4C">
        <w:t>reningsfriheterna är tillämpliga också när dessa friheter utövas i religiösa sammanhang. Det ä</w:t>
      </w:r>
      <w:r w:rsidRPr="00515A4C">
        <w:t>r t.ex. angeläget att under en epidemi kunna hindra sammankomster där smitta kan spridas vare sig det är fråga om gud</w:t>
      </w:r>
      <w:r w:rsidRPr="00515A4C">
        <w:t>s</w:t>
      </w:r>
      <w:r w:rsidRPr="00515A4C">
        <w:t>tjänster, teaterföreställningar eller politiska möten. Ärekränkande yttra</w:t>
      </w:r>
      <w:r w:rsidRPr="00515A4C">
        <w:t>n</w:t>
      </w:r>
      <w:r w:rsidRPr="00515A4C">
        <w:t>den måste, för att ta ett annat exempel, kunna beivras också när de fälls i religiösa sammanhang, och rasistisk verksamhet skall givetvis kunna hindras också när den till äventyrs bedrivs under religiös täckma</w:t>
      </w:r>
      <w:r w:rsidRPr="00515A4C">
        <w:t>n</w:t>
      </w:r>
      <w:r w:rsidRPr="00515A4C">
        <w:t>tel.</w:t>
      </w:r>
    </w:p>
    <w:p w:rsidR="00322A77" w:rsidRPr="00515A4C" w:rsidRDefault="00322A77">
      <w:r w:rsidRPr="00515A4C">
        <w:t xml:space="preserve">Om övriga friheter finns föreskrifter som anger hur och för vilka ändamål de får begränsas (2 kap. 12–14 </w:t>
      </w:r>
      <w:r w:rsidRPr="00515A4C">
        <w:t>§§ RF). Begränsningar får göras endast för att tillgodose ett ändamål som är godtagbart i ett demokratiskt samhälle. B</w:t>
      </w:r>
      <w:r w:rsidRPr="00515A4C">
        <w:t>e</w:t>
      </w:r>
      <w:r w:rsidRPr="00515A4C">
        <w:t>gränsningen får aldrig gå utöver vad som är nödvändigt med hänsyn till det ändamål som har föranlett den och inte heller sträcka sig så långt att den utgör ett hot mot den fria åsiktsbildningen som en av folkstyrelsens grundvalar. Begränsning får inte göras enbart på grund av politisk, religiös, kulturell eller annan sådan åskådning. Förbudet mot begränsning enbart på grund av åskå</w:t>
      </w:r>
      <w:r w:rsidRPr="00515A4C">
        <w:t>d</w:t>
      </w:r>
      <w:r w:rsidRPr="00515A4C">
        <w:t>ning gäl</w:t>
      </w:r>
      <w:r w:rsidRPr="00515A4C">
        <w:t>ler för både lagstiftning och rättstillämpning och innebär således dels att lagstiftaren inte kan besluta en föreskrift som möjliggör ingrepp ”enbart på grund av någons verkliga eller förmodade åskådning i politiska, religiösa eller andra – t.ex. konstnärliga eller vetenskapliga – frågor”, dels att det inte heller blir möjligt för en tillämpande myndighet att göra ingrepp i någons fri- och rättigheter enbart på grund av dennes åskådning. En myndighet får alltså inte enbart av någons åskådning dra slutsatsen</w:t>
      </w:r>
      <w:r w:rsidRPr="00515A4C">
        <w:t xml:space="preserve"> att förutsättningarna för ingripande är uppfyllda (a. prop. s. 120).</w:t>
      </w:r>
    </w:p>
    <w:p w:rsidR="00322A77" w:rsidRPr="00515A4C" w:rsidRDefault="00322A77">
      <w:pPr>
        <w:pStyle w:val="Normaltindrag"/>
      </w:pPr>
      <w:r w:rsidRPr="00515A4C">
        <w:t>Yttrandefriheten och informationsfriheten får begränsas med hänsyn till r</w:t>
      </w:r>
      <w:r w:rsidRPr="00515A4C">
        <w:t>i</w:t>
      </w:r>
      <w:r w:rsidRPr="00515A4C">
        <w:t>kets säkerhet, folkförsörjningen, allmän ordning och säkerhet, enskilds ans</w:t>
      </w:r>
      <w:r w:rsidRPr="00515A4C">
        <w:t>e</w:t>
      </w:r>
      <w:r w:rsidRPr="00515A4C">
        <w:t>ende, privatlivets helgd eller förebyggandet och beivrandet av brott. Vidare får friheten att yttra sig i näringsverksamhet begränsas. I övrigt får begrän</w:t>
      </w:r>
      <w:r w:rsidRPr="00515A4C">
        <w:t>s</w:t>
      </w:r>
      <w:r w:rsidRPr="00515A4C">
        <w:t>ningar av yttrandefriheten och informationsfriheten ske endast om särskilt viktiga skäl föranleder det. Vid bedömandet av vilka begränsningar som får ske skall särskilt beaktas vikten av vidaste möjliga yttrandefrihet och info</w:t>
      </w:r>
      <w:r w:rsidRPr="00515A4C">
        <w:t>r</w:t>
      </w:r>
      <w:r w:rsidRPr="00515A4C">
        <w:t>mationsfrihet i politiska, religiösa, fackliga, veten</w:t>
      </w:r>
      <w:r w:rsidRPr="00515A4C">
        <w:t>skapliga och kulturella angelägenheter.</w:t>
      </w:r>
    </w:p>
    <w:p w:rsidR="00322A77" w:rsidRPr="00515A4C" w:rsidRDefault="00322A77">
      <w:pPr>
        <w:pStyle w:val="Normaltindrag"/>
      </w:pPr>
      <w:r w:rsidRPr="00515A4C">
        <w:t>Mötesfriheten och demonstrationsfriheten får begränsas av hänsyn till or</w:t>
      </w:r>
      <w:r w:rsidRPr="00515A4C">
        <w:t>d</w:t>
      </w:r>
      <w:r w:rsidRPr="00515A4C">
        <w:t>ning och säkerhet vid sammankomsten eller demonstrationen eller till traf</w:t>
      </w:r>
      <w:r w:rsidRPr="00515A4C">
        <w:t>i</w:t>
      </w:r>
      <w:r w:rsidRPr="00515A4C">
        <w:t>ken. I övrigt får dessa friheter begränsas endast av hänsyn till rikets säkerhet eller för att motverka farsot. Mötes- och demonstrationsfriheterna behandlas ibland som en och samma rättighet, församlingsfrihet. Med sammankomst för ”annat liknande syfte” avses bl.a. gudstjänster och andra sammankomster för religionsutövning. Mötesfriheten gäller inte bara allmän sammankomst utan även enskilt möte. Föreningsfriheten får begränsas enda</w:t>
      </w:r>
      <w:r w:rsidRPr="00515A4C">
        <w:t>st såvitt gäller sa</w:t>
      </w:r>
      <w:r w:rsidRPr="00515A4C">
        <w:t>m</w:t>
      </w:r>
      <w:r w:rsidRPr="00515A4C">
        <w:t>manslutningar vilkas verksamhet är av militär eller liknande natur eller inn</w:t>
      </w:r>
      <w:r w:rsidRPr="00515A4C">
        <w:t>e</w:t>
      </w:r>
      <w:r w:rsidRPr="00515A4C">
        <w:t xml:space="preserve">bär förföljelse av folkgrupp av viss ras, med viss hudfärg eller av visst etniskt ursprung. </w:t>
      </w:r>
    </w:p>
    <w:p w:rsidR="00322A77" w:rsidRPr="00515A4C" w:rsidRDefault="00322A77">
      <w:pPr>
        <w:pStyle w:val="Normaltindrag"/>
      </w:pPr>
      <w:r w:rsidRPr="00515A4C">
        <w:t>Sverige är som nämnts ovan anslutet till Europeiska konventionen om skydd för de mänskliga rättigheterna och grundläggande friheterna med tilläggsprotokoll, och den har numera också direkt införlivats med svensk lagstiftning. Artiklarna 9–11 i konventionen handlar om opinionsfriheterna. Enligt artikel 9 har var och en rä</w:t>
      </w:r>
      <w:r w:rsidRPr="00515A4C">
        <w:t>tt till tankefrihet, samvetsfrihet och religion</w:t>
      </w:r>
      <w:r w:rsidRPr="00515A4C">
        <w:t>s</w:t>
      </w:r>
      <w:r w:rsidRPr="00515A4C">
        <w:t>frihet, och denna rätt innefattar frihet bl.a. att byta religion eller tro och frihet att ensam eller i gemenskap med andra, offentligt eller enskilt, utöva sin religion eller tro genom gudstjänst, undervisning, sedvänjor och ritualer. Friheten att utöva sin religion eller tro får endast underkastas sådana i</w:t>
      </w:r>
      <w:r w:rsidRPr="00515A4C">
        <w:t>n</w:t>
      </w:r>
      <w:r w:rsidRPr="00515A4C">
        <w:t>skränkningar som är föreskrivna i lag och som i ett demokratiskt samhälle är nödvändiga med hänsyn till den allmänna säkerheten eller till skydd för al</w:t>
      </w:r>
      <w:r w:rsidRPr="00515A4C">
        <w:t>l</w:t>
      </w:r>
      <w:r w:rsidRPr="00515A4C">
        <w:t>mä</w:t>
      </w:r>
      <w:r w:rsidRPr="00515A4C">
        <w:t>n ordning, hälsa eller moral eller till skydd för andra personers fri- och rättigheter.</w:t>
      </w:r>
    </w:p>
    <w:p w:rsidR="00322A77" w:rsidRPr="00515A4C" w:rsidRDefault="00322A77">
      <w:pPr>
        <w:pStyle w:val="Normaltindrag"/>
      </w:pPr>
      <w:r w:rsidRPr="00515A4C">
        <w:t>Genom att tanke- och samvetsfrihet nämns vid sidan av religionsfrihet görs klart att konventionen skyddar såväl religiösa som icke religiösa livsåskå</w:t>
      </w:r>
      <w:r w:rsidRPr="00515A4C">
        <w:t>d</w:t>
      </w:r>
      <w:r w:rsidRPr="00515A4C">
        <w:t>ningar. Det skall således stå individen fritt att ansluta sig till vilken religion som helst men också att ha en ateistisk uppfattning. Enligt artikel 10 har var och en rätt till yttrandefrihet. Denna rätt innefattar åsiktsfrihet samt frihet att ta emot och sprida uppgifter och tankar utan offentlig myndighets inblandning och oberoende av territoriella gränser. Utövandet av dessa friheter får unde</w:t>
      </w:r>
      <w:r w:rsidRPr="00515A4C">
        <w:t>r</w:t>
      </w:r>
      <w:r w:rsidRPr="00515A4C">
        <w:t>kastas sådana formföreskrifter, villkor, inskränkningar eller straffpåföljder som är föreskrivna i lag och som</w:t>
      </w:r>
      <w:r w:rsidRPr="00515A4C">
        <w:t xml:space="preserve"> i ett demokratiskt samhälle är nödvändiga med hänsyn till statens säkerhet, till den territoriella integriteten eller den allmänna säkerheten, till förebyggande av oordning eller brott, till skydd för hälsa eller moral eller för annans goda namn och rykte eller rättigheter, för att förhindra att förtroliga underrättelser sprids eller för att upprätthålla domst</w:t>
      </w:r>
      <w:r w:rsidRPr="00515A4C">
        <w:t>o</w:t>
      </w:r>
      <w:r w:rsidRPr="00515A4C">
        <w:t>larnas au</w:t>
      </w:r>
      <w:r w:rsidRPr="00515A4C">
        <w:t>k</w:t>
      </w:r>
      <w:r w:rsidRPr="00515A4C">
        <w:t>toritet och opartiskhet.</w:t>
      </w:r>
    </w:p>
    <w:p w:rsidR="00322A77" w:rsidRPr="00515A4C" w:rsidRDefault="00322A77">
      <w:pPr>
        <w:pStyle w:val="Normaltindrag"/>
      </w:pPr>
      <w:r w:rsidRPr="00515A4C">
        <w:t>Enligt artikel 11 har var och en rätt till frihet att delta i fredliga samma</w:t>
      </w:r>
      <w:r w:rsidRPr="00515A4C">
        <w:t>n</w:t>
      </w:r>
      <w:r w:rsidRPr="00515A4C">
        <w:t>komster samt till föreningsfrihet. Utövandet av dessa rättigheter får inte u</w:t>
      </w:r>
      <w:r w:rsidRPr="00515A4C">
        <w:t>n</w:t>
      </w:r>
      <w:r w:rsidRPr="00515A4C">
        <w:t>derkastas andra inskränkningar än sådana som är föreskrivna i lag och som i ett demokratiskt samhälle är nödvändiga med hänsyn till statens säkerhet eller den allmänna säkerheten, till förebyggande av oordning eller brott, till skydd för hälsa eller moral eller till skydd för andra personers fri- och rätti</w:t>
      </w:r>
      <w:r w:rsidRPr="00515A4C">
        <w:t>g</w:t>
      </w:r>
      <w:r w:rsidRPr="00515A4C">
        <w:t>heter.</w:t>
      </w:r>
    </w:p>
    <w:p w:rsidR="00322A77" w:rsidRPr="00515A4C" w:rsidRDefault="00322A77">
      <w:pPr>
        <w:pStyle w:val="Normaltindrag"/>
      </w:pPr>
      <w:r w:rsidRPr="00515A4C">
        <w:t>Fri- och rättighetskommittén gjorde i sitt betänkande Fri- och rättighetsfr</w:t>
      </w:r>
      <w:r w:rsidRPr="00515A4C">
        <w:t>å</w:t>
      </w:r>
      <w:r w:rsidRPr="00515A4C">
        <w:t>gor (SOU 1993:40, del B s. 62) en jämförelse mellan Europakonventionen och svenska regler till skydd för bl.a. religionsfriheten, och kommittén fann inte annat än att svensk lagstiftning stod i överensstämmelse med Europako</w:t>
      </w:r>
      <w:r w:rsidRPr="00515A4C">
        <w:t>n</w:t>
      </w:r>
      <w:r w:rsidRPr="00515A4C">
        <w:t xml:space="preserve">ventionen. </w:t>
      </w:r>
    </w:p>
    <w:p w:rsidR="00322A77" w:rsidRPr="00515A4C" w:rsidRDefault="00322A77">
      <w:pPr>
        <w:pStyle w:val="Normaltindrag"/>
      </w:pPr>
      <w:r w:rsidRPr="00515A4C">
        <w:t>I FN:s deklaration om de mänskliga rättigheterna, som antogs 1948, sägs i artikel 18 att envar har rätt till tankefrihet, samvetsfrihet och religionsfrihet. Denna rätt innefattar frihet att byta religion eller tro och att ensam eller i gemenskap med andra offentligt eller en</w:t>
      </w:r>
      <w:r w:rsidRPr="00515A4C">
        <w:t>skilt utöva sin religion eller tro g</w:t>
      </w:r>
      <w:r w:rsidRPr="00515A4C">
        <w:t>e</w:t>
      </w:r>
      <w:r w:rsidRPr="00515A4C">
        <w:t>nom undervisning, andaktsövningar, gudstjänst och iakttagande av religiösa sedvänjor. Rätten till åsiktsfrihet och yttrandefrihet omnämns i artikel 19 och rätten till frihet i fråga om fredliga möten och sammanslutningar i artikel 20. Enligt artikel 20 har envar rätt till frihet i fråga om fredliga möten och sa</w:t>
      </w:r>
      <w:r w:rsidRPr="00515A4C">
        <w:t>m</w:t>
      </w:r>
      <w:r w:rsidRPr="00515A4C">
        <w:t>manslutningar och ingen får tvingas att til</w:t>
      </w:r>
      <w:r w:rsidRPr="00515A4C">
        <w:t>l</w:t>
      </w:r>
      <w:r w:rsidRPr="00515A4C">
        <w:t>höra en sammanslutning.</w:t>
      </w:r>
    </w:p>
    <w:p w:rsidR="00322A77" w:rsidRPr="00515A4C" w:rsidRDefault="00322A77">
      <w:pPr>
        <w:pStyle w:val="Normaltindrag"/>
      </w:pPr>
      <w:r w:rsidRPr="00515A4C">
        <w:t>Internationella konventionen om medborgerliga och politiska rättigheter innehåller också bestä</w:t>
      </w:r>
      <w:r w:rsidRPr="00515A4C">
        <w:t>mmelser om tankefrihet, samvetsfrihet och religionsfr</w:t>
      </w:r>
      <w:r w:rsidRPr="00515A4C">
        <w:t>i</w:t>
      </w:r>
      <w:r w:rsidRPr="00515A4C">
        <w:t>het (artikel 18) samt om rätt till fredliga sammankomster (artikel 21) och rätt till föreningsfrihet (art</w:t>
      </w:r>
      <w:r w:rsidRPr="00515A4C">
        <w:t>i</w:t>
      </w:r>
      <w:r w:rsidRPr="00515A4C">
        <w:t>kel 22).</w:t>
      </w:r>
    </w:p>
    <w:p w:rsidR="00322A77" w:rsidRPr="00515A4C" w:rsidRDefault="00322A77">
      <w:pPr>
        <w:pStyle w:val="Rubrik4"/>
        <w:rPr>
          <w:noProof w:val="0"/>
        </w:rPr>
      </w:pPr>
      <w:bookmarkStart w:id="56" w:name="_Toc34039158"/>
      <w:r w:rsidRPr="00515A4C">
        <w:rPr>
          <w:noProof w:val="0"/>
        </w:rPr>
        <w:t>Tidigare behandling</w:t>
      </w:r>
      <w:bookmarkEnd w:id="56"/>
    </w:p>
    <w:p w:rsidR="00322A77" w:rsidRPr="00515A4C" w:rsidRDefault="00322A77">
      <w:r w:rsidRPr="00515A4C">
        <w:t>Utskottet behandlade frågan om att i regeringsformen utvidga skyddet för religionsfriheten till annan livsåskådning i betänkandet 1992/93:KU2 (s. 13 f.). En motion i ämnet avstyrktes med hänvisning till att livsåskådningsfrih</w:t>
      </w:r>
      <w:r w:rsidRPr="00515A4C">
        <w:t>e</w:t>
      </w:r>
      <w:r w:rsidRPr="00515A4C">
        <w:t>ten enligt utskottets mening redan skyddades av olika regler i regeringsfo</w:t>
      </w:r>
      <w:r w:rsidRPr="00515A4C">
        <w:t>r</w:t>
      </w:r>
      <w:r w:rsidRPr="00515A4C">
        <w:t>men och att i den mån begreppet livsåskådningsfrihet inte omfattades av religionsfriheten gav andra i regeringsformen upptagna fri- och rättigheter ett gott skydd mot icke önskvärda ingrepp. Det kunde enligt utskottet inte heller bortses från de avgränsningsproblem som kunde finnas när det gäller att a</w:t>
      </w:r>
      <w:r w:rsidRPr="00515A4C">
        <w:t>v</w:t>
      </w:r>
      <w:r w:rsidRPr="00515A4C">
        <w:t>göra vad som inryms i begreppet livsåskådningsfrihet. Våren 1997 avstyrkte utskottet åter en liknande motion (fp) med samma motiveri</w:t>
      </w:r>
      <w:r w:rsidRPr="00515A4C">
        <w:t>ng (bet. 1996/97: KU14).</w:t>
      </w:r>
    </w:p>
    <w:p w:rsidR="00322A77" w:rsidRPr="00515A4C" w:rsidRDefault="00322A77">
      <w:pPr>
        <w:pStyle w:val="Rubrik4"/>
        <w:rPr>
          <w:noProof w:val="0"/>
        </w:rPr>
      </w:pPr>
      <w:bookmarkStart w:id="57" w:name="_Toc34039159"/>
      <w:r w:rsidRPr="00515A4C">
        <w:rPr>
          <w:noProof w:val="0"/>
        </w:rPr>
        <w:t>Utskottets ställningstagande</w:t>
      </w:r>
      <w:bookmarkEnd w:id="57"/>
    </w:p>
    <w:p w:rsidR="00322A77" w:rsidRPr="00515A4C" w:rsidRDefault="00322A77">
      <w:pPr>
        <w:ind w:right="-2411"/>
        <w:outlineLvl w:val="0"/>
      </w:pPr>
      <w:r w:rsidRPr="00515A4C">
        <w:t>Utskottet vidhåller sitt tidigare ställningstagande. Motion K307 (s) avstyrks.</w:t>
      </w:r>
    </w:p>
    <w:p w:rsidR="00322A77" w:rsidRPr="00515A4C" w:rsidRDefault="00322A77">
      <w:pPr>
        <w:ind w:right="-2411"/>
      </w:pPr>
      <w:r w:rsidRPr="00515A4C">
        <w:tab/>
      </w:r>
    </w:p>
    <w:p w:rsidR="00322A77" w:rsidRPr="00515A4C" w:rsidRDefault="00322A77">
      <w:pPr>
        <w:pStyle w:val="Rubrik2"/>
        <w:spacing w:before="250"/>
      </w:pPr>
      <w:r w:rsidRPr="00515A4C">
        <w:br w:type="page"/>
      </w:r>
      <w:bookmarkStart w:id="58" w:name="_Toc34039160"/>
      <w:r w:rsidRPr="00515A4C">
        <w:t>Samvetsklausul</w:t>
      </w:r>
      <w:bookmarkEnd w:id="58"/>
    </w:p>
    <w:p w:rsidR="00322A77" w:rsidRPr="00515A4C" w:rsidRDefault="00322A77">
      <w:pPr>
        <w:pStyle w:val="Utskottsfrslagikorthet-Rubrik"/>
        <w:outlineLvl w:val="0"/>
        <w:rPr>
          <w:noProof w:val="0"/>
        </w:rPr>
      </w:pPr>
      <w:r w:rsidRPr="00515A4C">
        <w:rPr>
          <w:noProof w:val="0"/>
        </w:rPr>
        <w:t>Utskottets förslag i korthet</w:t>
      </w:r>
    </w:p>
    <w:p w:rsidR="00322A77" w:rsidRPr="00515A4C" w:rsidRDefault="00322A77">
      <w:pPr>
        <w:pStyle w:val="Utskottsfrslagikorthet-Text"/>
      </w:pPr>
      <w:r w:rsidRPr="00515A4C">
        <w:t>Utskottet avstyrker med hänvisning till tidigare ställningstaganden en motion (kd) om att samvetsfriheten skall införlivas i regering</w:t>
      </w:r>
      <w:r w:rsidRPr="00515A4C">
        <w:t>s</w:t>
      </w:r>
      <w:r w:rsidRPr="00515A4C">
        <w:t xml:space="preserve">formens rättighetskatalog. </w:t>
      </w:r>
    </w:p>
    <w:p w:rsidR="00322A77" w:rsidRPr="00515A4C" w:rsidRDefault="00322A77">
      <w:pPr>
        <w:pStyle w:val="Utskottsfrslagikorthet-Text"/>
      </w:pPr>
      <w:r w:rsidRPr="00515A4C">
        <w:t>Jämför reservation 4 – villkorad (kd).</w:t>
      </w:r>
    </w:p>
    <w:p w:rsidR="00322A77" w:rsidRPr="00515A4C" w:rsidRDefault="00322A77">
      <w:pPr>
        <w:pStyle w:val="Rubrik4"/>
        <w:rPr>
          <w:noProof w:val="0"/>
        </w:rPr>
      </w:pPr>
      <w:bookmarkStart w:id="59" w:name="_Toc34039161"/>
      <w:r w:rsidRPr="00515A4C">
        <w:rPr>
          <w:noProof w:val="0"/>
        </w:rPr>
        <w:t>Motionen</w:t>
      </w:r>
      <w:bookmarkEnd w:id="59"/>
    </w:p>
    <w:p w:rsidR="00322A77" w:rsidRPr="00515A4C" w:rsidRDefault="00322A77">
      <w:r w:rsidRPr="00515A4C">
        <w:t>Per Landgren och Tuve Skånberg (kd) begär i motion Ub495 (yrkande 1) att samvetsfriheten införlivas i rättighetskatalogen i Sveriges grundlag. Samvetet kan definieras som en etisk medvetenhet i var människa. Med en samvet</w:t>
      </w:r>
      <w:r w:rsidRPr="00515A4C">
        <w:t>s</w:t>
      </w:r>
      <w:r w:rsidRPr="00515A4C">
        <w:t>klausul kan man tillvarata kunnandet och engagemanget hos alla de personer som funnit sin uppgift inom sjukvården, utan att tvinga den som hyser sa</w:t>
      </w:r>
      <w:r w:rsidRPr="00515A4C">
        <w:t>m</w:t>
      </w:r>
      <w:r w:rsidRPr="00515A4C">
        <w:t>vetsbetänkligheter kring vissa svåra etiska frågor att delta i viss verksamhet. Detta kan gälla abort, insättandet av abortiv spiral eller transplantationer av och forskning som inbegriper celler från aborterade foster, embryonala sta</w:t>
      </w:r>
      <w:r w:rsidRPr="00515A4C">
        <w:t>m</w:t>
      </w:r>
      <w:r w:rsidRPr="00515A4C">
        <w:t>celler samt annan praxis som utifrån traditionell etik är kontroversiell och oetisk. Annan verksamhet som kan vara stötande ur e</w:t>
      </w:r>
      <w:r w:rsidRPr="00515A4C">
        <w:t>tt annat etiskt perspektiv är vissa djurförsök eller transplantationer av djurorgan till människor. Frågan när det gäller samvetsklausul är hur Sverige skall tillämpa Europakonventi</w:t>
      </w:r>
      <w:r w:rsidRPr="00515A4C">
        <w:t>o</w:t>
      </w:r>
      <w:r w:rsidRPr="00515A4C">
        <w:t>nen, som redan är en del av svensk la</w:t>
      </w:r>
      <w:r w:rsidRPr="00515A4C">
        <w:t>g</w:t>
      </w:r>
      <w:r w:rsidRPr="00515A4C">
        <w:t xml:space="preserve">stiftning. </w:t>
      </w:r>
    </w:p>
    <w:p w:rsidR="00322A77" w:rsidRPr="00515A4C" w:rsidRDefault="00322A77">
      <w:pPr>
        <w:pStyle w:val="Rubrik4"/>
        <w:rPr>
          <w:noProof w:val="0"/>
        </w:rPr>
      </w:pPr>
      <w:bookmarkStart w:id="60" w:name="_Toc34039162"/>
      <w:r w:rsidRPr="00515A4C">
        <w:rPr>
          <w:noProof w:val="0"/>
        </w:rPr>
        <w:t>Bakgrund</w:t>
      </w:r>
      <w:bookmarkEnd w:id="60"/>
    </w:p>
    <w:p w:rsidR="00322A77" w:rsidRPr="00515A4C" w:rsidRDefault="00322A77">
      <w:r w:rsidRPr="00515A4C">
        <w:t>Regeringen beslutade 1993 att tillsätta en utredning (dir. 1993:48) om en samvetsklausul i högskoleutbildningen. Den särskilde utredaren hade till uppgift att mot bakgrund av högskolereformen utreda frågan hur studenternas rätt att av religiösa, etiska eller andra skäl vägra delta i vissa obligatoriska utbildningsmoment kunde tillgodoses i högskoleförordningen. Som exempel nämndes studenter på barnmorskelinjen som nekats dispens från den obligat</w:t>
      </w:r>
      <w:r w:rsidRPr="00515A4C">
        <w:t>o</w:t>
      </w:r>
      <w:r w:rsidRPr="00515A4C">
        <w:t>riska kursen i insättning av spiral. Skälen till en sådan vägran kunde vara religiösa eller etiska. En vägran kunde innebära att studenten inte blev go</w:t>
      </w:r>
      <w:r w:rsidRPr="00515A4C">
        <w:t>d</w:t>
      </w:r>
      <w:r w:rsidRPr="00515A4C">
        <w:t>känd på utbildningen och alltså inte fick ut sitt examensbevis.</w:t>
      </w:r>
    </w:p>
    <w:p w:rsidR="00322A77" w:rsidRPr="00515A4C" w:rsidRDefault="00322A77">
      <w:pPr>
        <w:pStyle w:val="Normaltindrag"/>
      </w:pPr>
      <w:r w:rsidRPr="00515A4C">
        <w:t>Utredningen om en samvetsklausul i högskoleutbildningen lade fram sitt betänkande 1994 (SOU 1994:84). Utredaren framhöll att frågan om behovet av en samvetsklausul egentligen handlar om att göra en rimlig avvägning mellan samhällsintressena och respekten för studenters etiska och religiösa åskå</w:t>
      </w:r>
      <w:r w:rsidRPr="00515A4C">
        <w:t>dningar. Enligt utredaren talade sammantaget övervägande skäl för att inte införa någon samvetsklausul inom högskoleutbildningen. Utredaren föreslog dock att det skulle införas en möjlighet att hos Överklagandenäm</w:t>
      </w:r>
      <w:r w:rsidRPr="00515A4C">
        <w:t>n</w:t>
      </w:r>
      <w:r w:rsidRPr="00515A4C">
        <w:t>den för högskolan överklaga beslut som innebär att studenten fått avslag på sin dispensansökan. Den av utredningen föreslagna ändringen genomfördes år 1996.</w:t>
      </w:r>
    </w:p>
    <w:p w:rsidR="00322A77" w:rsidRPr="00515A4C" w:rsidRDefault="00322A77">
      <w:pPr>
        <w:pStyle w:val="Rubrik4"/>
        <w:rPr>
          <w:noProof w:val="0"/>
        </w:rPr>
      </w:pPr>
      <w:bookmarkStart w:id="61" w:name="_Toc34039163"/>
      <w:r w:rsidRPr="00515A4C">
        <w:rPr>
          <w:noProof w:val="0"/>
        </w:rPr>
        <w:t>Tidigare behandling</w:t>
      </w:r>
      <w:bookmarkEnd w:id="61"/>
    </w:p>
    <w:p w:rsidR="00322A77" w:rsidRPr="00515A4C" w:rsidRDefault="00322A77">
      <w:r w:rsidRPr="00515A4C">
        <w:t>Utbildningsutskottet behandlade våren 1994 flera motioner vari ifrågasattes införandet av en s.k. samvetsklausul i högskoleutbildningen som innebär att en studerande av samvetsskäl kan befrias från att delta i vissa utbildning</w:t>
      </w:r>
      <w:r w:rsidRPr="00515A4C">
        <w:t>s</w:t>
      </w:r>
      <w:r w:rsidRPr="00515A4C">
        <w:t>moment (bet. 1993/94:UbU16, rskr. 1993/94:308). En majoritet av utbil</w:t>
      </w:r>
      <w:r w:rsidRPr="00515A4C">
        <w:t>d</w:t>
      </w:r>
      <w:r w:rsidRPr="00515A4C">
        <w:t>ningsutskottet tog avstånd från att införa en bestämmelse som innebär att studenter kan vägra att genomgå ett obligatoriskt kursmoment av religiösa, etiska eller andra skäl.</w:t>
      </w:r>
    </w:p>
    <w:p w:rsidR="00322A77" w:rsidRPr="00515A4C" w:rsidRDefault="00322A77">
      <w:pPr>
        <w:pStyle w:val="Normaltindrag"/>
      </w:pPr>
      <w:r w:rsidRPr="00515A4C">
        <w:t>Den fråga som motionärerna väckte var enligt majoritetens mening av mycket stor principiell vikt. Utbildningsutskottets grundläggande uppfattning var att varje patient som söker hälso- och sjukvård alltid skall vara säker på att få den vård och behandling som situati</w:t>
      </w:r>
      <w:r w:rsidRPr="00515A4C">
        <w:t>onen kräver. Han eller hon skall vara garanterad att bli behandlad av personal som är utbildad och kompetent att sköta uppgiften. Alla vårdsökande skall känna sig förvissade om att pers</w:t>
      </w:r>
      <w:r w:rsidRPr="00515A4C">
        <w:t>o</w:t>
      </w:r>
      <w:r w:rsidRPr="00515A4C">
        <w:t>nalen handlar enligt vetenskap och beprövad erfarenhet och följer gällande föreskrifter. Denna princip ställer naturligtvis höga krav på de patientorient</w:t>
      </w:r>
      <w:r w:rsidRPr="00515A4C">
        <w:t>e</w:t>
      </w:r>
      <w:r w:rsidRPr="00515A4C">
        <w:t>rade utbildningarna. För att vårdpersonal skall erhålla den utbildning och kompetens som samhället fordrar får det i princip inte finnas utrymme för en student att vägra ge</w:t>
      </w:r>
      <w:r w:rsidRPr="00515A4C">
        <w:t>nomgå ett obligatoriskt kursmoment. Utbildningsutskottet erinrade om att riksdagen tidigare i samband med utformningen av barnmo</w:t>
      </w:r>
      <w:r w:rsidRPr="00515A4C">
        <w:t>r</w:t>
      </w:r>
      <w:r w:rsidRPr="00515A4C">
        <w:t>skeutbildningen behandlat frågan om ett eventuellt införande av samvetskla</w:t>
      </w:r>
      <w:r w:rsidRPr="00515A4C">
        <w:t>u</w:t>
      </w:r>
      <w:r w:rsidRPr="00515A4C">
        <w:t>sul med hänsyn till sjukvårdspersonalens etiska övertygelse (bet. 1986/87: SoU5). Någon samvetsklausul hade emellertid inte införts och yrkesverksam personal saknade lagstadgad rätt att t.ex. slippa medverka vid aborter. Utbil</w:t>
      </w:r>
      <w:r w:rsidRPr="00515A4C">
        <w:t>d</w:t>
      </w:r>
      <w:r w:rsidRPr="00515A4C">
        <w:t>ningsutskottet hade under hand erfarit att problemen föreföll vara av ringa omfat</w:t>
      </w:r>
      <w:r w:rsidRPr="00515A4C">
        <w:t>tning. Det fanns enligt utskottets mening förutsättningar att i det enski</w:t>
      </w:r>
      <w:r w:rsidRPr="00515A4C">
        <w:t>l</w:t>
      </w:r>
      <w:r w:rsidRPr="00515A4C">
        <w:t>da fallet nå tillfredsställande lösningar på konflikten mellan utbildningens krav och den etiska övertygelsen. Utbildningsutskottet kunde i sammanhanget peka på att, enligt Socialstyrelsens allmänna råd för sjukvårdspersonal, borde personer, som på etiska, religiösa eller andra grunder inte kan acceptera att abort utförs, inte delta i abortvården av hänsyn till den abortsökande kvinnan. Enligt utbildningsutskottets bestämda mening bor</w:t>
      </w:r>
      <w:r w:rsidRPr="00515A4C">
        <w:t>de en samvetsklausul i högskoleutbildningen i enlighet med vad som anförts i beslutade utredning</w:t>
      </w:r>
      <w:r w:rsidRPr="00515A4C">
        <w:t>s</w:t>
      </w:r>
      <w:r w:rsidRPr="00515A4C">
        <w:t>direktiv inte komma i fråga. Utbildningsutskottet föreslog ett tillkännagivande till regeringen om detta.</w:t>
      </w:r>
    </w:p>
    <w:p w:rsidR="00322A77" w:rsidRPr="00515A4C" w:rsidRDefault="00322A77">
      <w:pPr>
        <w:pStyle w:val="Normaltindrag"/>
      </w:pPr>
      <w:r w:rsidRPr="00515A4C">
        <w:t>Socialutskottet framhöll våren 1995 i betänkande 1994/95:SoU21 att fr</w:t>
      </w:r>
      <w:r w:rsidRPr="00515A4C">
        <w:t>å</w:t>
      </w:r>
      <w:r w:rsidRPr="00515A4C">
        <w:t>gan om samvetsklausul nyligen utretts (SOU 1994:84). Med hänsyn härtill var socialutskottet inte berett att tillstyrka ett motionsyrkande om en samvet</w:t>
      </w:r>
      <w:r w:rsidRPr="00515A4C">
        <w:t>s</w:t>
      </w:r>
      <w:r w:rsidRPr="00515A4C">
        <w:t>klausul innebärande att vårdpersonal skall ha möjlighet att avstå från delt</w:t>
      </w:r>
      <w:r w:rsidRPr="00515A4C">
        <w:t>a</w:t>
      </w:r>
      <w:r w:rsidRPr="00515A4C">
        <w:t xml:space="preserve">gande i forskning och transplantationsverksamhet där vävnad från aborterat foster används. </w:t>
      </w:r>
    </w:p>
    <w:p w:rsidR="00322A77" w:rsidRPr="00515A4C" w:rsidRDefault="00322A77">
      <w:pPr>
        <w:pStyle w:val="Normaltindrag"/>
      </w:pPr>
      <w:r w:rsidRPr="00515A4C">
        <w:t>Våren 2002 avstyrkte konstitutionsutskottet motionsyrkanden (kd) motsv</w:t>
      </w:r>
      <w:r w:rsidRPr="00515A4C">
        <w:t>a</w:t>
      </w:r>
      <w:r w:rsidRPr="00515A4C">
        <w:t>rande det nu aktuella (bet. 2001/02:KU15 s. 87 f.). Utskottet hänvisade till att frågan om införande av en samvetsklausul inom sjukvården och högskoleu</w:t>
      </w:r>
      <w:r w:rsidRPr="00515A4C">
        <w:t>t</w:t>
      </w:r>
      <w:r w:rsidRPr="00515A4C">
        <w:t>bildningen tidigare varit föremål för ingående bedömningar inom riksdagen och av en offentlig utredning. Det hade befunnits att övervägande skäl talade mot att införa sådana samvetsklausuler. Utskottet var inte berett att göra n</w:t>
      </w:r>
      <w:r w:rsidRPr="00515A4C">
        <w:t>å</w:t>
      </w:r>
      <w:r w:rsidRPr="00515A4C">
        <w:t>gon annan bedö</w:t>
      </w:r>
      <w:r w:rsidRPr="00515A4C">
        <w:t>m</w:t>
      </w:r>
      <w:r w:rsidRPr="00515A4C">
        <w:t>ning.</w:t>
      </w:r>
    </w:p>
    <w:p w:rsidR="00322A77" w:rsidRPr="00515A4C" w:rsidRDefault="00322A77">
      <w:pPr>
        <w:pStyle w:val="Rubrik4"/>
        <w:rPr>
          <w:noProof w:val="0"/>
        </w:rPr>
      </w:pPr>
      <w:bookmarkStart w:id="62" w:name="_Toc34039164"/>
      <w:r w:rsidRPr="00515A4C">
        <w:rPr>
          <w:noProof w:val="0"/>
        </w:rPr>
        <w:t>Utskottets ställningstagande</w:t>
      </w:r>
      <w:bookmarkEnd w:id="62"/>
      <w:r w:rsidRPr="00515A4C">
        <w:rPr>
          <w:noProof w:val="0"/>
        </w:rPr>
        <w:t xml:space="preserve"> </w:t>
      </w:r>
    </w:p>
    <w:p w:rsidR="00322A77" w:rsidRPr="00515A4C" w:rsidRDefault="00322A77">
      <w:r w:rsidRPr="00515A4C">
        <w:t>Utskottet har inte funnit nya omständigheter som talar för en annan bedö</w:t>
      </w:r>
      <w:r w:rsidRPr="00515A4C">
        <w:t>m</w:t>
      </w:r>
      <w:r w:rsidRPr="00515A4C">
        <w:t>ning än den utskottet tidigare gjort. Motion Ub495 yrkande 1 (kd) avstyrks.</w:t>
      </w:r>
    </w:p>
    <w:p w:rsidR="00322A77" w:rsidRPr="00515A4C" w:rsidRDefault="00322A77">
      <w:pPr>
        <w:pStyle w:val="Rubrik2"/>
      </w:pPr>
      <w:bookmarkStart w:id="63" w:name="_Toc34039165"/>
      <w:r w:rsidRPr="00515A4C">
        <w:t>Förbud mot rasistiska organisationer, m.m.</w:t>
      </w:r>
      <w:bookmarkEnd w:id="63"/>
    </w:p>
    <w:p w:rsidR="00322A77" w:rsidRPr="00515A4C" w:rsidRDefault="00322A77">
      <w:pPr>
        <w:pStyle w:val="Utskottsfrslagikorthet-Rubrik"/>
        <w:outlineLvl w:val="0"/>
        <w:rPr>
          <w:noProof w:val="0"/>
        </w:rPr>
      </w:pPr>
      <w:r w:rsidRPr="00515A4C">
        <w:rPr>
          <w:noProof w:val="0"/>
        </w:rPr>
        <w:t>Utskottets förslag i korthet</w:t>
      </w:r>
    </w:p>
    <w:p w:rsidR="00322A77" w:rsidRPr="00515A4C" w:rsidRDefault="00322A77">
      <w:pPr>
        <w:pStyle w:val="Utskottsfrslagikorthet-Text"/>
      </w:pPr>
      <w:r w:rsidRPr="00515A4C">
        <w:t>Utskottet avstyrker med hänvisning till tidigare ställningstaganden en motion (mp) om förbud mot rasistiska organisationer. Vidare a</w:t>
      </w:r>
      <w:r w:rsidRPr="00515A4C">
        <w:t>v</w:t>
      </w:r>
      <w:r w:rsidRPr="00515A4C">
        <w:t xml:space="preserve">styrks med hänsyn till vidtagna åtgärder m.m. ett motionsyrkande (fp) om åtgärder mot det politiska våldet. </w:t>
      </w:r>
    </w:p>
    <w:p w:rsidR="00322A77" w:rsidRPr="00515A4C" w:rsidRDefault="00322A77">
      <w:pPr>
        <w:pStyle w:val="Utskottsfrslagikorthet-Text"/>
      </w:pPr>
      <w:r w:rsidRPr="00515A4C">
        <w:t>Jämför reservation 5 (fp). Särskilt yttrande 1 (kd).</w:t>
      </w:r>
    </w:p>
    <w:p w:rsidR="00322A77" w:rsidRPr="00515A4C" w:rsidRDefault="00322A77">
      <w:pPr>
        <w:pStyle w:val="Rubrik4"/>
        <w:rPr>
          <w:noProof w:val="0"/>
        </w:rPr>
      </w:pPr>
      <w:bookmarkStart w:id="64" w:name="_Toc34039166"/>
      <w:r w:rsidRPr="00515A4C">
        <w:rPr>
          <w:noProof w:val="0"/>
        </w:rPr>
        <w:t>Motionerna</w:t>
      </w:r>
      <w:bookmarkEnd w:id="64"/>
    </w:p>
    <w:p w:rsidR="00322A77" w:rsidRPr="00515A4C" w:rsidRDefault="00322A77">
      <w:r w:rsidRPr="00515A4C">
        <w:t>Gustav Fridolin och Helena Hillar Rosenqvist (båda mp) begär i motion K322 ett förbud mot rasistiska organisationer. Enligt motionärerna visar utredning efter utredning att Sverige är ett av de länder i Europa som har mest problem med högerextremism och vardagsrasism. Den svenska högerextremismen är i hög grad uppbyggd kring det faktum att den är laglig. Motionärerna ifråg</w:t>
      </w:r>
      <w:r w:rsidRPr="00515A4C">
        <w:t>a</w:t>
      </w:r>
      <w:r w:rsidRPr="00515A4C">
        <w:t>sätter om det är samhällets sak att garantera människor rätten att organisera sig för att samlas bakom kravet att utrota andra människor. Varje samhälle har en naturlig gräns för sin organisations- och yttrandefrihet. Organisation</w:t>
      </w:r>
      <w:r w:rsidRPr="00515A4C">
        <w:t>s</w:t>
      </w:r>
      <w:r w:rsidRPr="00515A4C">
        <w:t>frihet för rasisterna kränker i dag svenskars med utländsk bakgrund frihet att fritt röra sig, att slippa vara rädda och ibland också den primära rätten till liv. Ett förbud och ökad upplysning och information måste gå hand i hand. M</w:t>
      </w:r>
      <w:r w:rsidRPr="00515A4C">
        <w:t>o</w:t>
      </w:r>
      <w:r w:rsidRPr="00515A4C">
        <w:t>tionärerna ifrågasätter att ett förbud mot ras</w:t>
      </w:r>
      <w:r w:rsidRPr="00515A4C">
        <w:t>istiska organisationer skulle inn</w:t>
      </w:r>
      <w:r w:rsidRPr="00515A4C">
        <w:t>e</w:t>
      </w:r>
      <w:r w:rsidRPr="00515A4C">
        <w:t>bära en sämre kontroll. Motionärerna framhåller att det kommer att bli svårt att dra gränser mellan vilka organisationer som blir olagliga och vilka som måste betraktas som legala. Varje ny lag innebär dock gränsdragningspr</w:t>
      </w:r>
      <w:r w:rsidRPr="00515A4C">
        <w:t>o</w:t>
      </w:r>
      <w:r w:rsidRPr="00515A4C">
        <w:t>blem. Risken för att ett förbud mot rasistiska organisationer skulle öppna för ytterligare förbud väger enligt motionerna inte tungt.</w:t>
      </w:r>
    </w:p>
    <w:p w:rsidR="00322A77" w:rsidRPr="00515A4C" w:rsidRDefault="00322A77">
      <w:pPr>
        <w:pStyle w:val="Normaltindrag"/>
      </w:pPr>
      <w:r w:rsidRPr="00515A4C">
        <w:t>Helena Bargholtz m.fl. (fp) begär i motion K385 att regeringen skall ta itu med det politiska våldet (yrkande 10). Motio</w:t>
      </w:r>
      <w:r w:rsidRPr="00515A4C">
        <w:t>närerna säger sig vara bekymr</w:t>
      </w:r>
      <w:r w:rsidRPr="00515A4C">
        <w:t>a</w:t>
      </w:r>
      <w:r w:rsidRPr="00515A4C">
        <w:t>de över de senaste årens utveckling när det gäller brott med rasistiska, nazi</w:t>
      </w:r>
      <w:r w:rsidRPr="00515A4C">
        <w:t>s</w:t>
      </w:r>
      <w:r w:rsidRPr="00515A4C">
        <w:t>tiska och antisemitiska förtecken. Att människor skräms till tystnad kan enligt motionen aldrig accepteras. När demonstranter missbrukar demonstrations- och yttrandefriheten på det sätt som skett i Göteborg 2001 är det inte bara ett angrepp mot dem som drabbades av vandaliseringen utan också en attack mot demokratin. Det odlas enligt motionen en våldsromantik och en tro på att utomparlamentariska akti</w:t>
      </w:r>
      <w:r w:rsidRPr="00515A4C">
        <w:t>oner är överlägsna den representativa demokratin, som får legitimera direkt antidemokratiska handlingar. Det är alla demokr</w:t>
      </w:r>
      <w:r w:rsidRPr="00515A4C">
        <w:t>a</w:t>
      </w:r>
      <w:r w:rsidRPr="00515A4C">
        <w:t>ters uppgift att reagera kraftfullt när den extrema högern och den yttersta vänstern gör gemensam sak.</w:t>
      </w:r>
    </w:p>
    <w:p w:rsidR="00322A77" w:rsidRPr="00515A4C" w:rsidRDefault="00322A77">
      <w:pPr>
        <w:pStyle w:val="Rubrik4"/>
        <w:rPr>
          <w:noProof w:val="0"/>
        </w:rPr>
      </w:pPr>
      <w:bookmarkStart w:id="65" w:name="_Toc34039167"/>
      <w:r w:rsidRPr="00515A4C">
        <w:rPr>
          <w:noProof w:val="0"/>
        </w:rPr>
        <w:t>Bakgrund</w:t>
      </w:r>
      <w:bookmarkEnd w:id="65"/>
    </w:p>
    <w:p w:rsidR="00322A77" w:rsidRPr="00515A4C" w:rsidRDefault="00322A77">
      <w:r w:rsidRPr="00515A4C">
        <w:t>Enligt 2 kap. 1 § 5 regeringsformen är varje medborgare gentemot det al</w:t>
      </w:r>
      <w:r w:rsidRPr="00515A4C">
        <w:t>l</w:t>
      </w:r>
      <w:r w:rsidRPr="00515A4C">
        <w:t>männa tillförsäkrad föreningsfrihet, dvs. frihet att sammansluta sig med andra för allmänna eller enskilda syften. Föreningsfriheten får enligt 2 kap. 14 § begränsas endast såvitt gäller sammanslutningar, vilkas verksamhet är av militär eller liknande natur eller innebär förföljelse av folkgrupp av viss ras, med viss hudfärg eller av visst etniskt ursprung.</w:t>
      </w:r>
    </w:p>
    <w:p w:rsidR="00322A77" w:rsidRPr="00515A4C" w:rsidRDefault="00322A77">
      <w:pPr>
        <w:pStyle w:val="Normaltindrag"/>
      </w:pPr>
      <w:r w:rsidRPr="00515A4C">
        <w:t>Sverige ratificerade år 1971 FN-konventionen om avskaffandet av alla former av rasdiskriminering (SÖ 1971:40). Konventionen syftar till faktisk jämlikh</w:t>
      </w:r>
      <w:r w:rsidRPr="00515A4C">
        <w:t>et mellan människor utan åtskillnad på grund av ras, hudfärg eller nationellt eller etniskt ursprung. Konventionsstaterna har åtagit sig att förbj</w:t>
      </w:r>
      <w:r w:rsidRPr="00515A4C">
        <w:t>u</w:t>
      </w:r>
      <w:r w:rsidRPr="00515A4C">
        <w:t>da och med alla lämpliga medel, däribland den lagstiftning som omständi</w:t>
      </w:r>
      <w:r w:rsidRPr="00515A4C">
        <w:t>g</w:t>
      </w:r>
      <w:r w:rsidRPr="00515A4C">
        <w:t>heterna påkallar, göra slut på rasdiskriminering från personers, gruppers eller organisationers sida (artikel 2 1 d). Staterna skall, i syfte att avskaffa rasdi</w:t>
      </w:r>
      <w:r w:rsidRPr="00515A4C">
        <w:t>s</w:t>
      </w:r>
      <w:r w:rsidRPr="00515A4C">
        <w:t>krimineringen och med vederbörligt beaktande av de principer som omfattas av den allmänna förklaringen om de mänskliga rättigheterna</w:t>
      </w:r>
      <w:r w:rsidRPr="00515A4C">
        <w:t xml:space="preserve"> och av de rätti</w:t>
      </w:r>
      <w:r w:rsidRPr="00515A4C">
        <w:t>g</w:t>
      </w:r>
      <w:r w:rsidRPr="00515A4C">
        <w:t>heter som uttryckligen anges i artikel 5, bl.a. olagligförklara och förbjuda organisationer och organiserad och annan propaganda som främjar och up</w:t>
      </w:r>
      <w:r w:rsidRPr="00515A4C">
        <w:t>p</w:t>
      </w:r>
      <w:r w:rsidRPr="00515A4C">
        <w:t>manar till rasdiskriminering samt förklara deltagande i dylika organisationer eller dylik verksamhet som en brottslig handling, straffbar enligt lag (artikel 4 b). I artikel 5 nämns bl.a. rätten till åsikts- och yttrandefrihet samt till försa</w:t>
      </w:r>
      <w:r w:rsidRPr="00515A4C">
        <w:t>m</w:t>
      </w:r>
      <w:r w:rsidRPr="00515A4C">
        <w:t xml:space="preserve">lings- och föreningsfrihet i fredligt syfte. </w:t>
      </w:r>
    </w:p>
    <w:p w:rsidR="00322A77" w:rsidRPr="00515A4C" w:rsidRDefault="00322A77">
      <w:pPr>
        <w:pStyle w:val="Normaltindrag"/>
      </w:pPr>
      <w:r w:rsidRPr="00515A4C">
        <w:t>Ett förslag till lagstiftning riktad mot rasistiska organi</w:t>
      </w:r>
      <w:r w:rsidRPr="00515A4C">
        <w:t>sationers verksamhet lades år 1991 fram av Utredningen för åtgärder mot etnisk diskriminering i betänkandet Organiserad rasism (SOU 1991:75). Utredningen föreslog en ny bestämmelse i brottsbalken avseende organiserad rasism och stöd åt organis</w:t>
      </w:r>
      <w:r w:rsidRPr="00515A4C">
        <w:t>e</w:t>
      </w:r>
      <w:r w:rsidRPr="00515A4C">
        <w:t>rad rasism. Enligt förslaget skulle det göras straffbart att delta i, bilda eller stödja en sammanslutning som, genom att medverka i eller uppmana till brottslighet som innebär våld, hot eller tvång, måste anses förfölja folkgrupp eller annan sådan grupp av personer p</w:t>
      </w:r>
      <w:r w:rsidRPr="00515A4C">
        <w:t>å grund av ras, hudfärg, nationellt eller etniskt ursprung eller trosbekännelse. Motsvarande bestämmelse föreslogs införas i tryckfrihetsfö</w:t>
      </w:r>
      <w:r w:rsidRPr="00515A4C">
        <w:t>r</w:t>
      </w:r>
      <w:r w:rsidRPr="00515A4C">
        <w:t>ordningen.</w:t>
      </w:r>
    </w:p>
    <w:p w:rsidR="00322A77" w:rsidRPr="00515A4C" w:rsidRDefault="00322A77">
      <w:pPr>
        <w:pStyle w:val="Normaltindrag"/>
      </w:pPr>
      <w:r w:rsidRPr="00515A4C">
        <w:t>Regeringen gjorde bedömningen att utredningens förslag inte borde genomföras (prop. 1993/94:101 s. 23) och anförde bl.a. att det kunde förutses stora svårigheter i bevishänseende. De sammanslutningar som förslagets straffbestämmelse tog sikte på torde inte vara registrerade och kan lätt ombi</w:t>
      </w:r>
      <w:r w:rsidRPr="00515A4C">
        <w:t>l</w:t>
      </w:r>
      <w:r w:rsidRPr="00515A4C">
        <w:t>das. I praktiken torde det vara fråga om löst sammansatta grupperingar utan någon egentlig organisationsstruktur. Svårigheten att tillämpa de aktuella bestämmelserna kunde enligt regeringen leda till att bestämmelserna blir ineffektiva och därigenom utgör ett dåligt hjälpmedel i kampen mot rasismen. En rasistisk organisation kan nämligen oförtjänt komma att uppfattas som godkänd i samhället i fall då inget rättsligt förfarande inleds eller, om så sker, detta inte leder till fällande dom. Ytterligare en asp</w:t>
      </w:r>
      <w:r w:rsidRPr="00515A4C">
        <w:t>ekt var enligt regeringen att det är svårt att utforma straffbestämmelser av den typ utredningen föresl</w:t>
      </w:r>
      <w:r w:rsidRPr="00515A4C">
        <w:t>a</w:t>
      </w:r>
      <w:r w:rsidRPr="00515A4C">
        <w:t>git utan att eftersätta grundläggande rättssäkerhetskrav som förutsebarhet och avgränsning av det straffbara området. Som hade påpekats från ett flertal remissinstanser fanns det i en rad hänseenden betydande osäkerhet om den närmare innebörden av de föreslagna straffbestämmelserna. Osäkerheten gällde både vilka sammanslutningar som bestämmelsen skulle vara tillämplig på och vilken befattning med sammansl</w:t>
      </w:r>
      <w:r w:rsidRPr="00515A4C">
        <w:t>utningen som var avsedd att medföra ansvar. Eftersom de föreslagna straffbestämmelserna skulle föra med sig en inskränkning av den grundlagsfästa föreningsfriheten talade detta med sä</w:t>
      </w:r>
      <w:r w:rsidRPr="00515A4C">
        <w:t>r</w:t>
      </w:r>
      <w:r w:rsidRPr="00515A4C">
        <w:t xml:space="preserve">skild styrka mot förslaget. </w:t>
      </w:r>
    </w:p>
    <w:p w:rsidR="00322A77" w:rsidRPr="00515A4C" w:rsidRDefault="00322A77">
      <w:pPr>
        <w:pStyle w:val="Normaltindrag"/>
      </w:pPr>
      <w:r w:rsidRPr="00515A4C">
        <w:t xml:space="preserve">Kommittén om straffansvar för organiserad brottslighet, m.m. avlämnade i oktober 2000 betänkandet Organiserad brottslighet, hets mot folkgrupp, hets mot homosexuella, m.m. – straffansvarets räckvidd (SOU 2000:88). </w:t>
      </w:r>
    </w:p>
    <w:p w:rsidR="00322A77" w:rsidRPr="00515A4C" w:rsidRDefault="00322A77">
      <w:pPr>
        <w:pStyle w:val="Normaltindrag"/>
      </w:pPr>
      <w:r w:rsidRPr="00515A4C">
        <w:t>En av kommitténs huvuduppgifter var att överväga om det borde införas ett straffansvar för aktivt deltagande – t.ex. finansiering av verksamheten eller upplåtelse av lokal – i en sammanslutning som har brottslighet som ett v</w:t>
      </w:r>
      <w:r w:rsidRPr="00515A4C">
        <w:t>ä</w:t>
      </w:r>
      <w:r w:rsidRPr="00515A4C">
        <w:t>sentligt inslag i sin verksamhet. Däremot avvisades i direktiven ett straffa</w:t>
      </w:r>
      <w:r w:rsidRPr="00515A4C">
        <w:t>n</w:t>
      </w:r>
      <w:r w:rsidRPr="00515A4C">
        <w:t>svar för själva medlemskapet i organisationer. Enligt direktiven skulle en sådan kriminalisering utgöra ett alltför stort ingrepp i föreningsfriheten, och dessutom skulle den komma att träffa förfaranden som helt saknar straffvärde. Kommittén diskuterade förutsättningarna för en utvidgad kriminalisering av aktivt deltagande i eller stöd till sammanslutningar där allvarlig brottslighet förekommer och gjorde därefter bedömningen att</w:t>
      </w:r>
      <w:r w:rsidRPr="00515A4C">
        <w:t xml:space="preserve"> en sådan utvidgning inte borde genomföras. Kommittén pekade dock på en lösning som innebär att det införs särskilda straffbestämmelser, som direkt tar sikte på just de förfaranden som borde omfattas av en utvidgning av det straffbara området. En konkret modell för utvidgning av det kriminaliserade området utarbetades. Enligt denna modell skulle det i brottsbalken tas in en ny paragraf, som riktar sig mot personer i ledande ställning i en sammanslutning där allvarlig brottslig verksamhet förekommer och mot </w:t>
      </w:r>
      <w:r w:rsidRPr="00515A4C">
        <w:t>dem som lämnar stöd till en sådan sa</w:t>
      </w:r>
      <w:r w:rsidRPr="00515A4C">
        <w:t>m</w:t>
      </w:r>
      <w:r w:rsidRPr="00515A4C">
        <w:t>manslutning. Kommittén ansåg dock inte att en sådan kriminalisering borde införas. Bestämmelserna skulle närmast komma att utgöra kompletteringar av nuvarande regler om medverkan, förberedelse och stämpling till brott och skulle följaktligen få ett förhållandevis begränsat tillämpningsområde. B</w:t>
      </w:r>
      <w:r w:rsidRPr="00515A4C">
        <w:t>e</w:t>
      </w:r>
      <w:r w:rsidRPr="00515A4C">
        <w:t>stämmelserna skulle vidare vara förknippade med svårigheter i bevishänsee</w:t>
      </w:r>
      <w:r w:rsidRPr="00515A4C">
        <w:t>n</w:t>
      </w:r>
      <w:r w:rsidRPr="00515A4C">
        <w:t>de, och vissa tillämpningsproblem kunde förutses. Sammantaget betydde problemen att det kunde befaras att</w:t>
      </w:r>
      <w:r w:rsidRPr="00515A4C">
        <w:t xml:space="preserve"> bestämmelserna inte skulle bli särskilt effektiva. Vidare fanns det enligt kommittén en risk för att vissa organisati</w:t>
      </w:r>
      <w:r w:rsidRPr="00515A4C">
        <w:t>o</w:t>
      </w:r>
      <w:r w:rsidRPr="00515A4C">
        <w:t>ner som i dag verkar tämligen öppet skulle välja att övergå till ”underjordisk” verksamhet eller i vart fall försöka organisera sig så att det blir svårt att ide</w:t>
      </w:r>
      <w:r w:rsidRPr="00515A4C">
        <w:t>n</w:t>
      </w:r>
      <w:r w:rsidRPr="00515A4C">
        <w:t>tifiera personer med ledande ställning i organis</w:t>
      </w:r>
      <w:r w:rsidRPr="00515A4C">
        <w:t>a</w:t>
      </w:r>
      <w:r w:rsidRPr="00515A4C">
        <w:t xml:space="preserve">tionen. </w:t>
      </w:r>
    </w:p>
    <w:p w:rsidR="00322A77" w:rsidRPr="00515A4C" w:rsidRDefault="00322A77">
      <w:pPr>
        <w:pStyle w:val="Normaltindrag"/>
      </w:pPr>
      <w:r w:rsidRPr="00515A4C">
        <w:t>En kriminalisering enligt modellen skulle enligt kommitténs bedömning inte innebära en sådan begränsning av föreningsfriheten som förutsätter en ändring i regeringsformen. E</w:t>
      </w:r>
      <w:r w:rsidRPr="00515A4C">
        <w:t>n fråga i sammanhanget var emellertid om en sådan kriminalisering ändå skulle kunna medföra att möjligheten till politisk opinionsbildning inskränktes på ett otillbörligt sätt. I direktiven till utrednin</w:t>
      </w:r>
      <w:r w:rsidRPr="00515A4C">
        <w:t>g</w:t>
      </w:r>
      <w:r w:rsidRPr="00515A4C">
        <w:t>en hade konstaterats att det inom miljörörelsen och fredsrörelsen finns gru</w:t>
      </w:r>
      <w:r w:rsidRPr="00515A4C">
        <w:t>p</w:t>
      </w:r>
      <w:r w:rsidRPr="00515A4C">
        <w:t>per som för att uppnå politiska mål som i och för sig är accepterade i ett d</w:t>
      </w:r>
      <w:r w:rsidRPr="00515A4C">
        <w:t>e</w:t>
      </w:r>
      <w:r w:rsidRPr="00515A4C">
        <w:t>mokratiskt samhälle använder sig av metoder som är brottsliga och genomför sina aktioner i organiserad form. Även om de brottsliga gärningarna som sådana g</w:t>
      </w:r>
      <w:r w:rsidRPr="00515A4C">
        <w:t>ivetvis måste beivras kunde det enligt direktiven inte komma i fråga att ingripa mot deltagandet i eller stödet till sådana organisationer i och för sig. Just ett sådant ingripande skulle innebära att möjligheterna till politisk opinionsbildning skulle kringskäras på ett sätt som är oacceptabelt i ett dem</w:t>
      </w:r>
      <w:r w:rsidRPr="00515A4C">
        <w:t>o</w:t>
      </w:r>
      <w:r w:rsidRPr="00515A4C">
        <w:t>kratiskt samhälle. Enligt kommittén kunde det inte gärna komma i fråga att utforma straffbestämmelserna på ett sådant sätt att skillnad skulle göras me</w:t>
      </w:r>
      <w:r w:rsidRPr="00515A4C">
        <w:t>l</w:t>
      </w:r>
      <w:r w:rsidRPr="00515A4C">
        <w:t>lan olika sammanslutningar beroende på vilka mål de v</w:t>
      </w:r>
      <w:r w:rsidRPr="00515A4C">
        <w:t>ill uppnå med de brottsliga aktiviteterna. Kommittén ansåg att övervägande skäl talade mot att införa de diskuterade lagbestämmelserna. Kommittén gjorde bedömningen att någon utvidgning inte borde ske av det kriminaliserade området såvitt gäller deltagande i eller stöd till de sammanslutningar där det förekommer allvarlig brottslighet.</w:t>
      </w:r>
    </w:p>
    <w:p w:rsidR="00322A77" w:rsidRPr="00515A4C" w:rsidRDefault="00322A77">
      <w:pPr>
        <w:pStyle w:val="Normaltindrag"/>
      </w:pPr>
      <w:r w:rsidRPr="00515A4C">
        <w:t>Kommittébetänkandet har legat till grund för regeringens förslag i prop</w:t>
      </w:r>
      <w:r w:rsidRPr="00515A4C">
        <w:t>o</w:t>
      </w:r>
      <w:r w:rsidRPr="00515A4C">
        <w:t>sitionen Hets mot folkgrupp m.m. (prop. 2001/02:59). Frågan om det bör införas ett utvidgat straffansvar för aktivt deltagande i en sammanslutning som har brottslighet som ett väsentligt inslag i sin verksamhet behandlades inte i prop</w:t>
      </w:r>
      <w:r w:rsidRPr="00515A4C">
        <w:t>o</w:t>
      </w:r>
      <w:r w:rsidRPr="00515A4C">
        <w:t xml:space="preserve">sitionen. </w:t>
      </w:r>
    </w:p>
    <w:p w:rsidR="00322A77" w:rsidRPr="00515A4C" w:rsidRDefault="00322A77">
      <w:pPr>
        <w:pStyle w:val="Normaltindrag"/>
      </w:pPr>
      <w:r w:rsidRPr="00515A4C">
        <w:t>Säkerhetspolisens verksamhet för författningsskydd har enligt verksa</w:t>
      </w:r>
      <w:r w:rsidRPr="00515A4C">
        <w:t>m</w:t>
      </w:r>
      <w:r w:rsidRPr="00515A4C">
        <w:t>hetsberättelsen för 2001 inriktats på inhemska grupper och nätverk samt enskilda individer som genom sitt handlande visat att de är beredda att ta till våld eller hot i syfte att nå politisk vinning eller som kan befaras stödja såd</w:t>
      </w:r>
      <w:r w:rsidRPr="00515A4C">
        <w:t>a</w:t>
      </w:r>
      <w:r w:rsidRPr="00515A4C">
        <w:t xml:space="preserve">na aktiviteter. Det gäller främst personer med koppling till Vit makt eller den autonoma miljön. </w:t>
      </w:r>
    </w:p>
    <w:p w:rsidR="00322A77" w:rsidRPr="00515A4C" w:rsidRDefault="00322A77">
      <w:pPr>
        <w:pStyle w:val="Normaltindrag"/>
      </w:pPr>
      <w:r w:rsidRPr="00515A4C">
        <w:t>Antalet anmälda brott med ideologisk koppling till vit makt-miljön ökade mellan 1999 och 2000 från 1 331 till 2 092. Ökningen avsåg mest hets mot folkgrupp, skadegörelse och olaga h</w:t>
      </w:r>
      <w:r w:rsidRPr="00515A4C">
        <w:t>ot medan antalet våldsbrott visade en svagare ökning. Antalet anmälda brott av antifascister och övrig vänster var 383 år 2000 mot 113 år 1997. År 2000 var misshandel det tredje vanligaste av de aktuella brotten, efter klotter och skadegörelse.</w:t>
      </w:r>
    </w:p>
    <w:p w:rsidR="00322A77" w:rsidRPr="00515A4C" w:rsidRDefault="00322A77">
      <w:pPr>
        <w:pStyle w:val="Normaltindrag"/>
      </w:pPr>
      <w:r w:rsidRPr="00515A4C">
        <w:t>Enligt verksamhetsberättelsen hade var femte till sjätte  kommuna</w:t>
      </w:r>
      <w:r w:rsidRPr="00515A4C">
        <w:t>l</w:t>
      </w:r>
      <w:r w:rsidRPr="00515A4C">
        <w:t>nämndsordförande övervägt att lämna sitt uppdrag på grund av inträffade hot. I september 2001 tillsattes inom Regeringskansliet en arbetsgrupp mot våld och hot mot politiker. I november 2002 presenterades handboken Ett hot mot demokratin och broschyren Hot och våld mot politiker. Broschyren är tänkt som ett stöd till den förtroendevalde om denne skulle utsättas för en hotsitu</w:t>
      </w:r>
      <w:r w:rsidRPr="00515A4C">
        <w:t>a</w:t>
      </w:r>
      <w:r w:rsidRPr="00515A4C">
        <w:t>tion.</w:t>
      </w:r>
    </w:p>
    <w:p w:rsidR="00322A77" w:rsidRPr="00515A4C" w:rsidRDefault="00322A77">
      <w:pPr>
        <w:pStyle w:val="Normaltindrag"/>
      </w:pPr>
      <w:r w:rsidRPr="00515A4C">
        <w:t>Enligt budgetpropositionen för år 2003 (prop. 2002/03:1 utg. omr. 4) pri</w:t>
      </w:r>
      <w:r w:rsidRPr="00515A4C">
        <w:t>o</w:t>
      </w:r>
      <w:r w:rsidRPr="00515A4C">
        <w:t>riteras bl.a. att polisen skall utveckla sin förmåga att bekämpa våldsbrott och brott med rasistiska eller främlingsfientliga, antisemitiska och homofobiska inslag (s. 18). Regeringen framhåller (s. 29) att ordningsstörningar och våld av det slag som förekom vid Europeiska rådets möte i Göteborg utgör ett hot mot demokratin i flera avseenden. Sådana angrepp hotar att hindra demokr</w:t>
      </w:r>
      <w:r w:rsidRPr="00515A4C">
        <w:t>a</w:t>
      </w:r>
      <w:r w:rsidRPr="00515A4C">
        <w:t>tiskt valda företrädare att mötas, och de hotar att hindra demokratiska organ</w:t>
      </w:r>
      <w:r w:rsidRPr="00515A4C">
        <w:t>i</w:t>
      </w:r>
      <w:r w:rsidRPr="00515A4C">
        <w:t>sationer från att anordna demonstrationer eller p</w:t>
      </w:r>
      <w:r w:rsidRPr="00515A4C">
        <w:t>å annat sätt uttrycka åsikter. Dessutom kan angreppen leda till att människor skadas, egendom förstörs och samhället känns otryggare. Enligt propositionen skall polisen och rättsväse</w:t>
      </w:r>
      <w:r w:rsidRPr="00515A4C">
        <w:t>n</w:t>
      </w:r>
      <w:r w:rsidRPr="00515A4C">
        <w:t>dets övriga myndigheter ha goda möjligheter och en hög beredskap att effe</w:t>
      </w:r>
      <w:r w:rsidRPr="00515A4C">
        <w:t>k</w:t>
      </w:r>
      <w:r w:rsidRPr="00515A4C">
        <w:t>tivt kunna förebygga och bekämpa allvarliga ordningsstörningar.</w:t>
      </w:r>
    </w:p>
    <w:p w:rsidR="00322A77" w:rsidRPr="00515A4C" w:rsidRDefault="00322A77">
      <w:pPr>
        <w:pStyle w:val="Normaltindrag"/>
      </w:pPr>
      <w:r w:rsidRPr="00515A4C">
        <w:t>I budgetpropositionen (utg.omr. 1 s. 16) redovisas också att det under 2000–2002 genomförts ett långsiktigt utvecklingsarbete för den svenska folkstyrelsen – Tid för demokrati. Avsikten med u</w:t>
      </w:r>
      <w:r w:rsidRPr="00515A4C">
        <w:t>tvecklingsarbetet har varit att utveckla medborgarnas aktiva deltagande i de politiska beslutsprocesserna och i samhället i övrigt. Ambitionen har varit att nå sådana grupper som va</w:t>
      </w:r>
      <w:r w:rsidRPr="00515A4C">
        <w:t>n</w:t>
      </w:r>
      <w:r w:rsidRPr="00515A4C">
        <w:t>ligen inte nås i demokratiutvecklingsarbetet Under 2000 genomfördes ett nationellt rådslag om demokrati och delaktighet, och bidrag har lämnats till projekt för utvecklingsarbete för den svenska folkstyrelsen. En utvärdering av utvecklingsarbetet aviserades. Regeringen avser att med beaktande av resu</w:t>
      </w:r>
      <w:r w:rsidRPr="00515A4C">
        <w:t>l</w:t>
      </w:r>
      <w:r w:rsidRPr="00515A4C">
        <w:t>tatet av utvärderingen överv</w:t>
      </w:r>
      <w:r w:rsidRPr="00515A4C">
        <w:t>äga hur det fortsatta stödet för demokratiutvec</w:t>
      </w:r>
      <w:r w:rsidRPr="00515A4C">
        <w:t>k</w:t>
      </w:r>
      <w:r w:rsidRPr="00515A4C">
        <w:t xml:space="preserve">ling skall vara organiserat. </w:t>
      </w:r>
    </w:p>
    <w:p w:rsidR="00322A77" w:rsidRPr="00515A4C" w:rsidRDefault="00322A77">
      <w:pPr>
        <w:pStyle w:val="Normaltindrag"/>
      </w:pPr>
      <w:r w:rsidRPr="00515A4C">
        <w:t>Göteborgskommittén hade som uppgift att göra en kartläggning och analys av händelserna i samband med EU-toppmötet i Göteborg den 14–16 juni 2001. Med utgångspunkt i den analysen och i erfarenheter av liknande ev</w:t>
      </w:r>
      <w:r w:rsidRPr="00515A4C">
        <w:t>e</w:t>
      </w:r>
      <w:r w:rsidRPr="00515A4C">
        <w:t>nemang hade kommittén att överväga och föreslå åtgärder som med behållen respekt för demonstrationsfriheten kan leda till att allvarliga ordningsstö</w:t>
      </w:r>
      <w:r w:rsidRPr="00515A4C">
        <w:t>r</w:t>
      </w:r>
      <w:r w:rsidRPr="00515A4C">
        <w:t>ningar kan förebyggas. Kommittén redovisade sitt arbete i betänkandet Göt</w:t>
      </w:r>
      <w:r w:rsidRPr="00515A4C">
        <w:t>e</w:t>
      </w:r>
      <w:r w:rsidRPr="00515A4C">
        <w:t>borg 2001 (SOU 2002:122). Enligt kommittén kan protesterna i Göteborg inte enbart ses som ordningsfrågor som skall hanteras med polisiära insatser. En analys av de bakomliggande orsakerna visar att det framför allt handlar om frågor som bara kan lösas politiskt inom de demokratiska struk</w:t>
      </w:r>
      <w:r w:rsidRPr="00515A4C">
        <w:t>turerna. När det politiska engagemanget liksom den politiska arenan förändras krävs nya kanaler för dialog och påverkan. Dagens nya rörelser präglas av en mångfald av åsikter, ett icke-hierarkiskt nätverk, avsaknad av visionen om den stora samhällslösningen, engagemang i de konkreta orättvisorna i världen samt ett växande medieberoende. Upparbetade kanaler, t.ex. traditionella folkrörelser och politiska partier, fångar inte alltid upp de nya rörelsernas uttryckssätt. Kommittén betonar vikten av den politisk</w:t>
      </w:r>
      <w:r w:rsidRPr="00515A4C">
        <w:t>a dialogen i form av samtal och andra kanaler för påverkan och deltagande i det demokratiska beslutsfatta</w:t>
      </w:r>
      <w:r w:rsidRPr="00515A4C">
        <w:t>n</w:t>
      </w:r>
      <w:r w:rsidRPr="00515A4C">
        <w:t>det. Kommittén konstaterade brister rörande polisens insatser för att föreby</w:t>
      </w:r>
      <w:r w:rsidRPr="00515A4C">
        <w:t>g</w:t>
      </w:r>
      <w:r w:rsidRPr="00515A4C">
        <w:t>ga och bekämpa allvarliga ordningsstörningar och föreslog en rad förbättrin</w:t>
      </w:r>
      <w:r w:rsidRPr="00515A4C">
        <w:t>g</w:t>
      </w:r>
      <w:r w:rsidRPr="00515A4C">
        <w:t>ar. Kommittén föreslog också att det införs ett förbud mot maskering vid demonstrationer  och andra liknande samma</w:t>
      </w:r>
      <w:r w:rsidRPr="00515A4C">
        <w:t>n</w:t>
      </w:r>
      <w:r w:rsidRPr="00515A4C">
        <w:t>komster.</w:t>
      </w:r>
    </w:p>
    <w:p w:rsidR="00322A77" w:rsidRPr="00515A4C" w:rsidRDefault="00322A77">
      <w:pPr>
        <w:pStyle w:val="Rubrik4"/>
        <w:rPr>
          <w:noProof w:val="0"/>
        </w:rPr>
      </w:pPr>
      <w:bookmarkStart w:id="66" w:name="_Toc34039168"/>
      <w:r w:rsidRPr="00515A4C">
        <w:rPr>
          <w:noProof w:val="0"/>
        </w:rPr>
        <w:t>Tidigare behandling</w:t>
      </w:r>
      <w:bookmarkEnd w:id="66"/>
    </w:p>
    <w:p w:rsidR="00322A77" w:rsidRPr="00515A4C" w:rsidRDefault="00322A77">
      <w:r w:rsidRPr="00515A4C">
        <w:t>Riksdagen behandlade utförligt frågor om rasistisk brottslighet under våren 1994 med anledning av ett regeringsförslag om åtgärder mot rasistisk brott</w:t>
      </w:r>
      <w:r w:rsidRPr="00515A4C">
        <w:t>s</w:t>
      </w:r>
      <w:r w:rsidRPr="00515A4C">
        <w:t>lighet och etnisk diskriminering i arbetslivet (prop. 1993/94:101, bet. 1993/94:JuU13).</w:t>
      </w:r>
    </w:p>
    <w:p w:rsidR="00322A77" w:rsidRPr="00515A4C" w:rsidRDefault="00322A77">
      <w:pPr>
        <w:pStyle w:val="Normaltindrag"/>
      </w:pPr>
      <w:r w:rsidRPr="00515A4C">
        <w:t>Justitieutskottet, som tillstyrkte regeringens förslag, delade regeringens bedömning att FN-konventionen om avskaffande av alla former av rasdiskr</w:t>
      </w:r>
      <w:r w:rsidRPr="00515A4C">
        <w:t>i</w:t>
      </w:r>
      <w:r w:rsidRPr="00515A4C">
        <w:t>minering inte innebär en absolut plikt att lagstifta om ett sådant förbud, utan att varje stat har rätt att själv bestämma vilka metoder som skall användas för att uppfylla konventionens syfte. Den svenska lagstiftningen uppfyllde ko</w:t>
      </w:r>
      <w:r w:rsidRPr="00515A4C">
        <w:t>n</w:t>
      </w:r>
      <w:r w:rsidRPr="00515A4C">
        <w:t>ventionens krav, eftersom den medför att varje yttring av rasism är förbjuden, vilket i praktiken tvingar organisationer som främjar rasdiskriminering till passivitet. Med hänvisning till bl.a. svårigheter att upprätthålla grundläggande rättssäkerhetskrav vad gäller förutsebar</w:t>
      </w:r>
      <w:r w:rsidRPr="00515A4C">
        <w:t>het och avgränsning av det straffbara området avstyrkte justitieutskottet motioner om förbud mot rasistiska organ</w:t>
      </w:r>
      <w:r w:rsidRPr="00515A4C">
        <w:t>i</w:t>
      </w:r>
      <w:r w:rsidRPr="00515A4C">
        <w:t>sationer. År 1996 vidhöll justitieutskottet denna bedömning (bet. 1995/96:JuU14).</w:t>
      </w:r>
    </w:p>
    <w:p w:rsidR="00322A77" w:rsidRPr="00515A4C" w:rsidRDefault="00322A77">
      <w:pPr>
        <w:pStyle w:val="Normaltindrag"/>
      </w:pPr>
      <w:r w:rsidRPr="00515A4C">
        <w:t>Konstitutionsutskottet behandlade i betänkande 1996/97:KU14 bl.a. en motion om kriminalisering av den som deltar i eller lämnar stöd till sa</w:t>
      </w:r>
      <w:r w:rsidRPr="00515A4C">
        <w:t>m</w:t>
      </w:r>
      <w:r w:rsidRPr="00515A4C">
        <w:t>manslutning som ägnar sig åt rasistisk förföljelse antingen genom att ligga bakom eller uppmana till allvarliga brott. Utskottet ansåg att riksdagen borde vidhålla sin tidigare bedömning i fråga om förbud mot rasistiska organisati</w:t>
      </w:r>
      <w:r w:rsidRPr="00515A4C">
        <w:t>o</w:t>
      </w:r>
      <w:r w:rsidRPr="00515A4C">
        <w:t>ner m.m. och avstyrkte motionen.</w:t>
      </w:r>
    </w:p>
    <w:p w:rsidR="00322A77" w:rsidRPr="00515A4C" w:rsidRDefault="00322A77">
      <w:pPr>
        <w:pStyle w:val="Normaltindrag"/>
      </w:pPr>
      <w:r w:rsidRPr="00515A4C">
        <w:t>Konstitutionsutskottet avstyrkte med hänvisning till ett aviserat utre</w:t>
      </w:r>
      <w:r w:rsidRPr="00515A4C">
        <w:t>d</w:t>
      </w:r>
      <w:r w:rsidRPr="00515A4C">
        <w:t>ningsarbete i betänkande 1997/98:KU32 en motion om ändringar i regering</w:t>
      </w:r>
      <w:r w:rsidRPr="00515A4C">
        <w:t>s</w:t>
      </w:r>
      <w:r w:rsidRPr="00515A4C">
        <w:t>formen som syftade till att kunna kriminalisera enskilds deltagande i organ</w:t>
      </w:r>
      <w:r w:rsidRPr="00515A4C">
        <w:t>i</w:t>
      </w:r>
      <w:r w:rsidRPr="00515A4C">
        <w:t xml:space="preserve">serad brottslighet. </w:t>
      </w:r>
    </w:p>
    <w:p w:rsidR="00322A77" w:rsidRPr="00515A4C" w:rsidRDefault="00322A77">
      <w:pPr>
        <w:pStyle w:val="Normaltindrag"/>
      </w:pPr>
      <w:r w:rsidRPr="00515A4C">
        <w:t>Våren 2000 avstyrkte utskottet ett liknande motionsyrkande med hänvi</w:t>
      </w:r>
      <w:r w:rsidRPr="00515A4C">
        <w:t>s</w:t>
      </w:r>
      <w:r w:rsidRPr="00515A4C">
        <w:t xml:space="preserve">ning till arbetet i Kommittén om straffansvar för organiserad brottslighet m.m. (bet. 1999/2000:KU11). </w:t>
      </w:r>
    </w:p>
    <w:p w:rsidR="00322A77" w:rsidRPr="00515A4C" w:rsidRDefault="00322A77">
      <w:pPr>
        <w:pStyle w:val="Normaltindrag"/>
      </w:pPr>
      <w:r w:rsidRPr="00515A4C">
        <w:t>Våren 2002 behandlade utskottet åter frågan (bet. 2001/02:KU15 s. 82). Utskottet hänvisade till att Kommittén om straffansvar för organiserad brott</w:t>
      </w:r>
      <w:r w:rsidRPr="00515A4C">
        <w:t>s</w:t>
      </w:r>
      <w:r w:rsidRPr="00515A4C">
        <w:t>lighet m.m. i oktober 2000 redovisat resultatet av sitt arbete (SOU 2000:88). Kommittén ansåg efter ingående överväganden att det inte borde ske en u</w:t>
      </w:r>
      <w:r w:rsidRPr="00515A4C">
        <w:t>t</w:t>
      </w:r>
      <w:r w:rsidRPr="00515A4C">
        <w:t>vidgning av det kriminaliserade området såvitt gäller deltagande i eller stöd till sammanslutningar där det förekommer brottslighet. Remissbehandlingen av utredningens betänkande ledde inte till att regeringen gjort någon annan bedömning. Mot bakgrund av att frågan nyligen utretts var utskottet inte berett att ställa sig bakom ett tillkännagivande till regeri</w:t>
      </w:r>
      <w:r w:rsidRPr="00515A4C">
        <w:t>ngen i kriminalis</w:t>
      </w:r>
      <w:r w:rsidRPr="00515A4C">
        <w:t>e</w:t>
      </w:r>
      <w:r w:rsidRPr="00515A4C">
        <w:t>ringsfrågan. En rese</w:t>
      </w:r>
      <w:r w:rsidRPr="00515A4C">
        <w:t>r</w:t>
      </w:r>
      <w:r w:rsidRPr="00515A4C">
        <w:t xml:space="preserve">vation (kd) avgavs. </w:t>
      </w:r>
    </w:p>
    <w:p w:rsidR="00322A77" w:rsidRPr="00515A4C" w:rsidRDefault="00322A77">
      <w:pPr>
        <w:pStyle w:val="Rubrik4"/>
        <w:rPr>
          <w:noProof w:val="0"/>
        </w:rPr>
      </w:pPr>
      <w:bookmarkStart w:id="67" w:name="_Toc34039169"/>
      <w:r w:rsidRPr="00515A4C">
        <w:rPr>
          <w:noProof w:val="0"/>
        </w:rPr>
        <w:t>Utskottets ställningstagande</w:t>
      </w:r>
      <w:bookmarkEnd w:id="67"/>
    </w:p>
    <w:p w:rsidR="00322A77" w:rsidRPr="00515A4C" w:rsidRDefault="00322A77">
      <w:r w:rsidRPr="00515A4C">
        <w:t>Utskottet anser liksom vid tidigare ställningstaganden att bl.a. svårigheterna att upprätthålla grundläggande rättssäkerhetskrav vad gäller förutsebarhet och avgränsning av det straffbara området för med sig att ett förbud mot rasistiska organ</w:t>
      </w:r>
      <w:r w:rsidRPr="00515A4C">
        <w:t>i</w:t>
      </w:r>
      <w:r w:rsidRPr="00515A4C">
        <w:t>sationer inte bör införas. Motion K322 (mp) avstyrks.</w:t>
      </w:r>
    </w:p>
    <w:p w:rsidR="00322A77" w:rsidRPr="00515A4C" w:rsidRDefault="00322A77">
      <w:pPr>
        <w:pStyle w:val="Normaltindrag"/>
      </w:pPr>
      <w:r w:rsidRPr="00515A4C">
        <w:t>När det gäller frågan om det politiska våldet delar utskottet självfallet m</w:t>
      </w:r>
      <w:r w:rsidRPr="00515A4C">
        <w:t>o</w:t>
      </w:r>
      <w:r w:rsidRPr="00515A4C">
        <w:t>tionärernas uppfattning om vikten av att våldsromantik och antidemokratiska handlingar motverkas. Bland prioriteringarna för polisen och rättsväsendet i övrigt ingår att förebygga och bekämpa brott med rasistiska och främlingsf</w:t>
      </w:r>
      <w:r w:rsidRPr="00515A4C">
        <w:t>i</w:t>
      </w:r>
      <w:r w:rsidRPr="00515A4C">
        <w:t>entliga inslag liksom sådana händelser som inträffade under EU-mötet i G</w:t>
      </w:r>
      <w:r w:rsidRPr="00515A4C">
        <w:t>ö</w:t>
      </w:r>
      <w:r w:rsidRPr="00515A4C">
        <w:t>teborg våren 2001. Företeelserna måste emellertid motverkas också i andra sammanhang. Det är enligt utskottets mening bl.a. angeläget att främja ett aktivt deltagande i de politiska beslutsprocesserna inom rame</w:t>
      </w:r>
      <w:r w:rsidRPr="00515A4C">
        <w:t>n för den repr</w:t>
      </w:r>
      <w:r w:rsidRPr="00515A4C">
        <w:t>e</w:t>
      </w:r>
      <w:r w:rsidRPr="00515A4C">
        <w:t>sentativa demokratin. Ett sådant långsiktigt utvecklingsarbete har skett i pr</w:t>
      </w:r>
      <w:r w:rsidRPr="00515A4C">
        <w:t>o</w:t>
      </w:r>
      <w:r w:rsidRPr="00515A4C">
        <w:t>jektet Tid för demokrati. Enligt utskottets mening är ett tillkännagivande till regeringen i frågan inte påkallat. Utskottet avstyrker motion K385 yrkande 10 (fp).</w:t>
      </w:r>
    </w:p>
    <w:p w:rsidR="00322A77" w:rsidRPr="00515A4C" w:rsidRDefault="00322A77">
      <w:pPr>
        <w:pStyle w:val="Rubrik2"/>
      </w:pPr>
      <w:bookmarkStart w:id="68" w:name="_Toc4902245"/>
      <w:bookmarkStart w:id="69" w:name="_Toc34039170"/>
      <w:r w:rsidRPr="00515A4C">
        <w:t>Negativ föreningsfrihet</w:t>
      </w:r>
      <w:bookmarkEnd w:id="68"/>
      <w:bookmarkEnd w:id="69"/>
    </w:p>
    <w:p w:rsidR="00322A77" w:rsidRPr="00515A4C" w:rsidRDefault="00322A77">
      <w:pPr>
        <w:pStyle w:val="Utskottsfrslagikorthet-Rubrik"/>
        <w:outlineLvl w:val="0"/>
        <w:rPr>
          <w:noProof w:val="0"/>
        </w:rPr>
      </w:pPr>
      <w:r w:rsidRPr="00515A4C">
        <w:rPr>
          <w:noProof w:val="0"/>
        </w:rPr>
        <w:t>Utskottets förslag i korthet</w:t>
      </w:r>
    </w:p>
    <w:p w:rsidR="00322A77" w:rsidRPr="00515A4C" w:rsidRDefault="00322A77">
      <w:pPr>
        <w:pStyle w:val="Utskottsfrslagikorthet-Text"/>
      </w:pPr>
      <w:r w:rsidRPr="00515A4C">
        <w:t>Utskottet avstyrker med hänvisning till tidigare ställningstaganden ett motionsyrkande om förstärkning av den negativa föreningsrä</w:t>
      </w:r>
      <w:r w:rsidRPr="00515A4C">
        <w:t>t</w:t>
      </w:r>
      <w:r w:rsidRPr="00515A4C">
        <w:t>ten.</w:t>
      </w:r>
    </w:p>
    <w:p w:rsidR="00322A77" w:rsidRPr="00515A4C" w:rsidRDefault="00322A77">
      <w:pPr>
        <w:pStyle w:val="Utskottsfrslagikorthet-Text"/>
      </w:pPr>
      <w:r w:rsidRPr="00515A4C">
        <w:t xml:space="preserve">Jämför reservation 6 (m, fp, kd, och c). </w:t>
      </w:r>
    </w:p>
    <w:p w:rsidR="00322A77" w:rsidRPr="00515A4C" w:rsidRDefault="00322A77">
      <w:pPr>
        <w:pStyle w:val="Rubrik4"/>
        <w:rPr>
          <w:noProof w:val="0"/>
        </w:rPr>
      </w:pPr>
      <w:bookmarkStart w:id="70" w:name="_Toc34039171"/>
      <w:r w:rsidRPr="00515A4C">
        <w:rPr>
          <w:noProof w:val="0"/>
        </w:rPr>
        <w:t>Motionen</w:t>
      </w:r>
      <w:bookmarkEnd w:id="70"/>
    </w:p>
    <w:p w:rsidR="00322A77" w:rsidRPr="00515A4C" w:rsidRDefault="00322A77">
      <w:r w:rsidRPr="00515A4C">
        <w:t>I motion K379 av Bo Lundgren m.fl. (m) begärs ett förslag om ändring av regeringsformen vad gäller den negativa föreningsfriheten (yrkande 13). Motionärerna anser att det med rätten att ansluta sig till en förening rimligen också borde följa en rätt att utan sanktion utträda ur en förening, men att en sådan rätt är långt ifrån given med nuvarande regelsystem. Enligt motionäre</w:t>
      </w:r>
      <w:r w:rsidRPr="00515A4C">
        <w:t>r</w:t>
      </w:r>
      <w:r w:rsidRPr="00515A4C">
        <w:t>na förekommer det fortfarande att en facklig organisation nekar eller ställer upp hinder när en medlem önskar utträda. På samma sätt kan det uppstå sv</w:t>
      </w:r>
      <w:r w:rsidRPr="00515A4C">
        <w:t>å</w:t>
      </w:r>
      <w:r w:rsidRPr="00515A4C">
        <w:t>righeter när ett arbetsgivare förbundit sig att endast anställa personer med viss facklig tillhörighet. Det förekommer enligt motionen också påtryckningar på arbetsgivare att acceptera kollektivavtal. Den nuvarande bristen i regering</w:t>
      </w:r>
      <w:r w:rsidRPr="00515A4C">
        <w:t>s</w:t>
      </w:r>
      <w:r w:rsidRPr="00515A4C">
        <w:t>formen bör snarast avhjälpas på så sätt att det av grundlagen uttryckligt fra</w:t>
      </w:r>
      <w:r w:rsidRPr="00515A4C">
        <w:t>m</w:t>
      </w:r>
      <w:r w:rsidRPr="00515A4C">
        <w:t>går att enskilda kan ingå exempelvis icke-kollek</w:t>
      </w:r>
      <w:r w:rsidRPr="00515A4C">
        <w:t>tivavtalsbundna arbetsrätt</w:t>
      </w:r>
      <w:r w:rsidRPr="00515A4C">
        <w:t>s</w:t>
      </w:r>
      <w:r w:rsidRPr="00515A4C">
        <w:t>avtal.</w:t>
      </w:r>
    </w:p>
    <w:p w:rsidR="00322A77" w:rsidRPr="00515A4C" w:rsidRDefault="00322A77">
      <w:pPr>
        <w:pStyle w:val="Rubrik4"/>
        <w:rPr>
          <w:noProof w:val="0"/>
        </w:rPr>
      </w:pPr>
      <w:bookmarkStart w:id="71" w:name="_Toc34039172"/>
      <w:r w:rsidRPr="00515A4C">
        <w:rPr>
          <w:noProof w:val="0"/>
        </w:rPr>
        <w:t>Gällande regler</w:t>
      </w:r>
      <w:bookmarkEnd w:id="71"/>
    </w:p>
    <w:p w:rsidR="00322A77" w:rsidRPr="00515A4C" w:rsidRDefault="00322A77">
      <w:r w:rsidRPr="00515A4C">
        <w:t>Enligt 2 kap. 1 § 5 regeringsformen är varje medborgare gentemot det al</w:t>
      </w:r>
      <w:r w:rsidRPr="00515A4C">
        <w:t>l</w:t>
      </w:r>
      <w:r w:rsidRPr="00515A4C">
        <w:t>männa tillförsäkrad föreningsfrihet: frihet att sammansluta sig med andra för allmänna och enskilda syften. Enligt 2 kap. 2 § regeringsformen är varje medborgare gentemot det allmänna skyddad mot tvång att delta i samma</w:t>
      </w:r>
      <w:r w:rsidRPr="00515A4C">
        <w:t>n</w:t>
      </w:r>
      <w:r w:rsidRPr="00515A4C">
        <w:t>komst för opinionsbildning eller i demonstration eller annan meningsyttring eller att tillhöra politisk sammanslutning, trossamfund eller annan sa</w:t>
      </w:r>
      <w:r w:rsidRPr="00515A4C">
        <w:t>m</w:t>
      </w:r>
      <w:r w:rsidRPr="00515A4C">
        <w:t>manslutning för åskådning i politiskt, religiöst, kulturellt eller annat sådant hänsee</w:t>
      </w:r>
      <w:r w:rsidRPr="00515A4C">
        <w:t>n</w:t>
      </w:r>
      <w:r w:rsidRPr="00515A4C">
        <w:t xml:space="preserve">de. </w:t>
      </w:r>
    </w:p>
    <w:p w:rsidR="00322A77" w:rsidRPr="00515A4C" w:rsidRDefault="00322A77">
      <w:pPr>
        <w:pStyle w:val="Rubrik4"/>
        <w:rPr>
          <w:noProof w:val="0"/>
        </w:rPr>
      </w:pPr>
      <w:bookmarkStart w:id="72" w:name="_Toc4902247"/>
      <w:bookmarkStart w:id="73" w:name="_Toc34039173"/>
      <w:r w:rsidRPr="00515A4C">
        <w:rPr>
          <w:noProof w:val="0"/>
        </w:rPr>
        <w:t>Tidigare riksdagsbehandling</w:t>
      </w:r>
      <w:bookmarkEnd w:id="72"/>
      <w:bookmarkEnd w:id="73"/>
    </w:p>
    <w:p w:rsidR="00322A77" w:rsidRPr="00515A4C" w:rsidRDefault="00322A77">
      <w:r w:rsidRPr="00515A4C">
        <w:t>Frågan om den negativa föreningsfriheten har behandlats av konstitutionsu</w:t>
      </w:r>
      <w:r w:rsidRPr="00515A4C">
        <w:t>t</w:t>
      </w:r>
      <w:r w:rsidRPr="00515A4C">
        <w:t>skottet vid ett flertal tillfällen (se bet. KU 1983/84:8, KU 1984/85:30, KU 1986/87:17, KU 1987/88:9, KU 1987/88:32, 1989/90:KU7, 1990/91:KU6, 1992/93:KU2, 1999/2000:KU11 och 2001/02:KU15). Vid varje tillfälle har motionerna avstyrkts. Som skäl härför har i huvudsak anförts att det inte är praktiskt möjligt eller lämpligt att till utredning ta upp också den i sin helhet mycket omfattande frågan om rättighetsskydd för enskild mot annan enskild. Frågor om sådant skydd borde enligt utskottets mening som ditti</w:t>
      </w:r>
      <w:r w:rsidRPr="00515A4C">
        <w:t>lls lösas inom den vanliga lagstif</w:t>
      </w:r>
      <w:r w:rsidRPr="00515A4C">
        <w:t>t</w:t>
      </w:r>
      <w:r w:rsidRPr="00515A4C">
        <w:t>ningens ram.</w:t>
      </w:r>
    </w:p>
    <w:p w:rsidR="00322A77" w:rsidRPr="00515A4C" w:rsidRDefault="00322A77">
      <w:pPr>
        <w:pStyle w:val="Normaltindrag"/>
      </w:pPr>
      <w:r w:rsidRPr="00515A4C">
        <w:t>I betänkande 1993/94:KU24 behandlades regeringens proposition om i</w:t>
      </w:r>
      <w:r w:rsidRPr="00515A4C">
        <w:t>n</w:t>
      </w:r>
      <w:r w:rsidRPr="00515A4C">
        <w:t>korporering av Europakonventionen och andra fri- och rättighetsfrågor. U</w:t>
      </w:r>
      <w:r w:rsidRPr="00515A4C">
        <w:t>t</w:t>
      </w:r>
      <w:r w:rsidRPr="00515A4C">
        <w:t>skottet behandlade bl.a. en motion vari begärdes ett tillkännagivande till rege-ringen om grundlagsfäst negativ föreningsrätt. Utskottet som avstyrkte m</w:t>
      </w:r>
      <w:r w:rsidRPr="00515A4C">
        <w:t>o</w:t>
      </w:r>
      <w:r w:rsidRPr="00515A4C">
        <w:t>tionen gjorde följande bedömning (s. 49).</w:t>
      </w:r>
    </w:p>
    <w:p w:rsidR="00322A77" w:rsidRPr="00515A4C" w:rsidRDefault="00322A77">
      <w:pPr>
        <w:pStyle w:val="Citat"/>
        <w:spacing w:before="125"/>
      </w:pPr>
      <w:r w:rsidRPr="00515A4C">
        <w:t>De personer eller organisationer mot vilka en skyddsregel i grundlagen för den negativa föreningsfriheten skulle verka bör, som Fri- och rätti</w:t>
      </w:r>
      <w:r w:rsidRPr="00515A4C">
        <w:t>g</w:t>
      </w:r>
      <w:r w:rsidRPr="00515A4C">
        <w:t>hetskommittén anför, ha rätt att någorlunda detaljerat få veta vilka han</w:t>
      </w:r>
      <w:r w:rsidRPr="00515A4C">
        <w:t>d</w:t>
      </w:r>
      <w:r w:rsidRPr="00515A4C">
        <w:t>lingar från deras sida som är förbjudna. Detta låter sig inte göras med hjälp av sådana allmänna regler som skulle bli aktuella i regeringsfo</w:t>
      </w:r>
      <w:r w:rsidRPr="00515A4C">
        <w:t>r</w:t>
      </w:r>
      <w:r w:rsidRPr="00515A4C">
        <w:t>men. Utskottet anser att det inte heller är möjligt att i grundlagen reglera vilka påföljder som eventuellt skall följa då exempelvis en facklig org</w:t>
      </w:r>
      <w:r w:rsidRPr="00515A4C">
        <w:t>a</w:t>
      </w:r>
      <w:r w:rsidRPr="00515A4C">
        <w:t>nisation, en arbetsgivare eller arbetskamrater utövar påtryckningar på e</w:t>
      </w:r>
      <w:r w:rsidRPr="00515A4C">
        <w:t>l</w:t>
      </w:r>
      <w:r w:rsidRPr="00515A4C">
        <w:t>ler diskriminerar en e</w:t>
      </w:r>
      <w:r w:rsidRPr="00515A4C">
        <w:t>n</w:t>
      </w:r>
      <w:r w:rsidRPr="00515A4C">
        <w:t>skild.</w:t>
      </w:r>
    </w:p>
    <w:p w:rsidR="00322A77" w:rsidRPr="00515A4C" w:rsidRDefault="00322A77">
      <w:pPr>
        <w:pStyle w:val="CitatIndrag"/>
      </w:pPr>
      <w:r w:rsidRPr="00515A4C">
        <w:t>Ett ytterligare problem som skulle uppstå om</w:t>
      </w:r>
      <w:r w:rsidRPr="00515A4C">
        <w:t xml:space="preserve"> ett skydd för den negat</w:t>
      </w:r>
      <w:r w:rsidRPr="00515A4C">
        <w:t>i</w:t>
      </w:r>
      <w:r w:rsidRPr="00515A4C">
        <w:t>va föreningsfriheten infördes i grundlagen är, som kommittén påpekar, hur en sådan reglering skall förhålla sig till principen om avtalsfrihet. En grundlagsreglering av den negativa föreningsfriheten ger nämligen up</w:t>
      </w:r>
      <w:r w:rsidRPr="00515A4C">
        <w:t>p</w:t>
      </w:r>
      <w:r w:rsidRPr="00515A4C">
        <w:t>hov till frågan om denna skall anses innefatta förbud mot vissa typer av avtalsklausuler, exempelvis organisationsklausuler. Utskottet anser i li</w:t>
      </w:r>
      <w:r w:rsidRPr="00515A4C">
        <w:t>k</w:t>
      </w:r>
      <w:r w:rsidRPr="00515A4C">
        <w:t>het med kommittén att principen om avtalsfrihet är så viktig att denna inte bör inskränkas annat än i de fall då avtalsfrihet</w:t>
      </w:r>
      <w:r w:rsidRPr="00515A4C">
        <w:t>en klart missbrukas. Inte heller detta förhållande är möjligt att på ett lämpligt sätt avgränsa i en grundlagsregel.</w:t>
      </w:r>
    </w:p>
    <w:p w:rsidR="00322A77" w:rsidRPr="00515A4C" w:rsidRDefault="00322A77">
      <w:pPr>
        <w:pStyle w:val="Normaltindrag"/>
        <w:spacing w:before="125"/>
      </w:pPr>
      <w:r w:rsidRPr="00515A4C">
        <w:t>I betänkande 1997/98:KU32 behandlades åter frågan om förstärkt skydd för den negativa f</w:t>
      </w:r>
      <w:r w:rsidRPr="00515A4C">
        <w:t>ö</w:t>
      </w:r>
      <w:r w:rsidRPr="00515A4C">
        <w:t>reningsfriheten. Utskottet gjorde då följande bedömning.</w:t>
      </w:r>
    </w:p>
    <w:p w:rsidR="00322A77" w:rsidRPr="00515A4C" w:rsidRDefault="00322A77">
      <w:pPr>
        <w:pStyle w:val="Citat"/>
        <w:spacing w:before="125"/>
      </w:pPr>
      <w:r w:rsidRPr="00515A4C">
        <w:t>Den grundlagsskyddade negativa föreningsrätten ger medborgarna ett skydd mot att det allmänna tvingar någon att tillhöra en politisk sa</w:t>
      </w:r>
      <w:r w:rsidRPr="00515A4C">
        <w:t>m</w:t>
      </w:r>
      <w:r w:rsidRPr="00515A4C">
        <w:t>manslutning, trossamfund eller annan sammanslutning för åskådning i politiskt, religiöst, kulturellt eller annat sådant hänseende. Den europei</w:t>
      </w:r>
      <w:r w:rsidRPr="00515A4C">
        <w:t>s</w:t>
      </w:r>
      <w:r w:rsidRPr="00515A4C">
        <w:t>ka konventionen angående skydd för de mänskliga rättigheterna och de grundläggande friheterna gäller sedan den 1 januari 1995 som lag i Sv</w:t>
      </w:r>
      <w:r w:rsidRPr="00515A4C">
        <w:t>e</w:t>
      </w:r>
      <w:r w:rsidRPr="00515A4C">
        <w:t>rige. Enligt konventionen skall envar äga rätt till frihet att deltaga i fre</w:t>
      </w:r>
      <w:r w:rsidRPr="00515A4C">
        <w:t>d</w:t>
      </w:r>
      <w:r w:rsidRPr="00515A4C">
        <w:t>liga sammankomster samt till föreningsfrihet, däri inbegripet rätten att bilda och ansluta sig till fackföreningar för att skydda sina intressen. E</w:t>
      </w:r>
      <w:r w:rsidRPr="00515A4C">
        <w:t>n</w:t>
      </w:r>
      <w:r w:rsidRPr="00515A4C">
        <w:t>ligt</w:t>
      </w:r>
      <w:r w:rsidRPr="00515A4C">
        <w:t xml:space="preserve"> sin ordalydelse garanteras endast den positiva föreningsfriheten. E</w:t>
      </w:r>
      <w:r w:rsidRPr="00515A4C">
        <w:t>u</w:t>
      </w:r>
      <w:r w:rsidRPr="00515A4C">
        <w:t>ropadomstolen har emellertid fastslagit att rätten till föreningsfrihet inb</w:t>
      </w:r>
      <w:r w:rsidRPr="00515A4C">
        <w:t>e</w:t>
      </w:r>
      <w:r w:rsidRPr="00515A4C">
        <w:t>griper rätten att inte vara medlem av en förening. Utskottet vidhåller sin tidigare inställning när det gäller frågan om en utvidgad grundlagsfäst negativ föreningsrätt och avstyrker därför motionerna.</w:t>
      </w:r>
    </w:p>
    <w:p w:rsidR="00322A77" w:rsidRPr="00515A4C" w:rsidRDefault="00322A77">
      <w:pPr>
        <w:rPr>
          <w:b/>
          <w:sz w:val="21"/>
        </w:rPr>
      </w:pPr>
      <w:r w:rsidRPr="00515A4C">
        <w:t>Motionsyrkanden liknande det nu aktuella behandlades åren 2000 och 2002 (bet. 1999/2000:KU11 resp. bet. 2001/02:KU15). Utskottet vidhöll sin tidig</w:t>
      </w:r>
      <w:r w:rsidRPr="00515A4C">
        <w:t>a</w:t>
      </w:r>
      <w:r w:rsidRPr="00515A4C">
        <w:t>re inställning i frågan och avstyrkte motionsyrkandena. År 2000 framhöll utskottet att några nya omständigheter som talade för att förstärka regering</w:t>
      </w:r>
      <w:r w:rsidRPr="00515A4C">
        <w:t>s</w:t>
      </w:r>
      <w:r w:rsidRPr="00515A4C">
        <w:t>formens skydd för den negativa föreningsfriheten inte hade framkommit. Vid båda tillfällena a</w:t>
      </w:r>
      <w:r w:rsidRPr="00515A4C">
        <w:t>v</w:t>
      </w:r>
      <w:r w:rsidRPr="00515A4C">
        <w:t>gavs reservationer (m, kd, c och fp).</w:t>
      </w:r>
      <w:bookmarkStart w:id="74" w:name="_Toc4902248"/>
    </w:p>
    <w:p w:rsidR="00322A77" w:rsidRPr="00515A4C" w:rsidRDefault="00322A77">
      <w:pPr>
        <w:pStyle w:val="Rubrik4"/>
        <w:rPr>
          <w:noProof w:val="0"/>
        </w:rPr>
      </w:pPr>
      <w:bookmarkStart w:id="75" w:name="_Toc34039174"/>
      <w:r w:rsidRPr="00515A4C">
        <w:rPr>
          <w:noProof w:val="0"/>
        </w:rPr>
        <w:t>Utskottets ställningstagande</w:t>
      </w:r>
      <w:bookmarkEnd w:id="74"/>
      <w:bookmarkEnd w:id="75"/>
    </w:p>
    <w:p w:rsidR="00322A77" w:rsidRPr="00515A4C" w:rsidRDefault="00322A77">
      <w:r w:rsidRPr="00515A4C">
        <w:t>Utskottet har vid flera tidigare tillfällen avstyrkt motionsyrkanden om fö</w:t>
      </w:r>
      <w:r w:rsidRPr="00515A4C">
        <w:t>r</w:t>
      </w:r>
      <w:r w:rsidRPr="00515A4C">
        <w:t>stärkning av regeringsformens skydd för den negativa föreningsfrih</w:t>
      </w:r>
      <w:r w:rsidRPr="00515A4C">
        <w:t>e</w:t>
      </w:r>
      <w:r w:rsidRPr="00515A4C">
        <w:t>ten.</w:t>
      </w:r>
    </w:p>
    <w:p w:rsidR="00322A77" w:rsidRPr="00515A4C" w:rsidRDefault="00322A77">
      <w:pPr>
        <w:pStyle w:val="Normaltindrag"/>
        <w:rPr>
          <w:b/>
          <w:i/>
        </w:rPr>
      </w:pPr>
      <w:r w:rsidRPr="00515A4C">
        <w:t>Utskottet anser fortfarande att det inte framkommit några nya omständi</w:t>
      </w:r>
      <w:r w:rsidRPr="00515A4C">
        <w:t>g</w:t>
      </w:r>
      <w:r w:rsidRPr="00515A4C">
        <w:t>heter som talar för att förstärka regeringsformens skydd för den negativa föreningsfr</w:t>
      </w:r>
      <w:r w:rsidRPr="00515A4C">
        <w:t>i</w:t>
      </w:r>
      <w:r w:rsidRPr="00515A4C">
        <w:t>heten. Motion K379 yrkande 13 (m) avstyrks.</w:t>
      </w:r>
    </w:p>
    <w:p w:rsidR="00322A77" w:rsidRPr="00515A4C" w:rsidRDefault="00322A77">
      <w:pPr>
        <w:pStyle w:val="Rubrik2"/>
      </w:pPr>
      <w:bookmarkStart w:id="76" w:name="_Toc34039175"/>
      <w:r w:rsidRPr="00515A4C">
        <w:t>Retroaktivitetsförbud</w:t>
      </w:r>
      <w:bookmarkEnd w:id="76"/>
    </w:p>
    <w:p w:rsidR="00322A77" w:rsidRPr="00515A4C" w:rsidRDefault="00322A77">
      <w:pPr>
        <w:pStyle w:val="Utskottsfrslagikorthet-Rubrik"/>
        <w:outlineLvl w:val="0"/>
        <w:rPr>
          <w:noProof w:val="0"/>
        </w:rPr>
      </w:pPr>
      <w:r w:rsidRPr="00515A4C">
        <w:rPr>
          <w:noProof w:val="0"/>
        </w:rPr>
        <w:t xml:space="preserve">Utskottets förslag i korthet </w:t>
      </w:r>
    </w:p>
    <w:p w:rsidR="00322A77" w:rsidRPr="00515A4C" w:rsidRDefault="00322A77">
      <w:pPr>
        <w:pStyle w:val="Utskottsfrslagikorthet-Text"/>
      </w:pPr>
      <w:r w:rsidRPr="00515A4C">
        <w:t>Utskottet avstyrker med hänvisning till tidigare bedömningar en motion om utvidgning av området för förbud mot retroaktiv la</w:t>
      </w:r>
      <w:r w:rsidRPr="00515A4C">
        <w:t>g</w:t>
      </w:r>
      <w:r w:rsidRPr="00515A4C">
        <w:t>stiftning och en motion om ytterligare begränsningar av riksdagens möjligheter att besluta om retroaktiv tillämpning av skattelag.</w:t>
      </w:r>
    </w:p>
    <w:p w:rsidR="00322A77" w:rsidRPr="00515A4C" w:rsidRDefault="00322A77">
      <w:pPr>
        <w:pStyle w:val="Utskottsfrslagikorthet-Text"/>
      </w:pPr>
      <w:r w:rsidRPr="00515A4C">
        <w:t>Jämför reservation 7 (m, kd, c).</w:t>
      </w:r>
    </w:p>
    <w:p w:rsidR="00322A77" w:rsidRPr="00515A4C" w:rsidRDefault="00322A77">
      <w:pPr>
        <w:pStyle w:val="Rubrik4"/>
        <w:rPr>
          <w:noProof w:val="0"/>
        </w:rPr>
      </w:pPr>
      <w:bookmarkStart w:id="77" w:name="_Toc34039176"/>
      <w:r w:rsidRPr="00515A4C">
        <w:rPr>
          <w:noProof w:val="0"/>
        </w:rPr>
        <w:t>Motionerna</w:t>
      </w:r>
      <w:bookmarkEnd w:id="77"/>
    </w:p>
    <w:p w:rsidR="00322A77" w:rsidRPr="00515A4C" w:rsidRDefault="00322A77">
      <w:r w:rsidRPr="00515A4C">
        <w:t>I motion K241 av Maud Olofsson m.fl. (c) begärs en översyn av retroaktiv</w:t>
      </w:r>
      <w:r w:rsidRPr="00515A4C">
        <w:t>i</w:t>
      </w:r>
      <w:r w:rsidRPr="00515A4C">
        <w:t>tetsförbudet i 2 kap. 10 § regeringsformen som skyddar mot retroaktiv la</w:t>
      </w:r>
      <w:r w:rsidRPr="00515A4C">
        <w:t>g</w:t>
      </w:r>
      <w:r w:rsidRPr="00515A4C">
        <w:t>stiftning i fråga om strafflagstiftning och skatter eller avgifter (yrkande 35). Det finns enligt motionen problem när andra regler ändras med retroaktiv verkan. Det är uppenbart att förändringar av t.ex. bidrag kan ha nog så stor betydelse för företags och enskildas möjligheter att planera långsiktigt. Det är därför enligt motionen önskvärt att göra retroaktivitetsförbudet mer allmänt tillämpligt i fråga om all lagstiftning med retro</w:t>
      </w:r>
      <w:r w:rsidRPr="00515A4C">
        <w:t>aktiv verkan som missgynnar medborgare eller en grupp av me</w:t>
      </w:r>
      <w:r w:rsidRPr="00515A4C">
        <w:t>d</w:t>
      </w:r>
      <w:r w:rsidRPr="00515A4C">
        <w:t xml:space="preserve">borgare. </w:t>
      </w:r>
    </w:p>
    <w:p w:rsidR="00322A77" w:rsidRPr="00515A4C" w:rsidRDefault="00322A77">
      <w:r w:rsidRPr="00515A4C">
        <w:t>Marietta de Pourbaix-Lundin (m) begär i motion K237 att regeringen skall lägga fram förslag till sådana ändringar i regeringsformen att det införs ytte</w:t>
      </w:r>
      <w:r w:rsidRPr="00515A4C">
        <w:t>r</w:t>
      </w:r>
      <w:r w:rsidRPr="00515A4C">
        <w:t>ligare begränsningar av möjligheterna för riksdagen att med hänvisning till särskilda skäl fatta beslut om skatter och avgifter med retroaktiv verkan. Motionären vänder sig mot det nuvarande utrymmet för undantaget som medger att skatt eller statlig avgift får tas ut trots att lagen inte trätt i kraft när omständigheterna inträffat.</w:t>
      </w:r>
    </w:p>
    <w:p w:rsidR="00322A77" w:rsidRPr="00515A4C" w:rsidRDefault="00322A77">
      <w:pPr>
        <w:pStyle w:val="Rubrik4"/>
        <w:rPr>
          <w:noProof w:val="0"/>
        </w:rPr>
      </w:pPr>
      <w:bookmarkStart w:id="78" w:name="_Toc4902242"/>
      <w:bookmarkStart w:id="79" w:name="_Toc34039177"/>
      <w:r w:rsidRPr="00515A4C">
        <w:rPr>
          <w:noProof w:val="0"/>
        </w:rPr>
        <w:t>Gällande regler m.m..</w:t>
      </w:r>
      <w:bookmarkEnd w:id="78"/>
      <w:bookmarkEnd w:id="79"/>
    </w:p>
    <w:p w:rsidR="00322A77" w:rsidRPr="00515A4C" w:rsidRDefault="00322A77">
      <w:r w:rsidRPr="00515A4C">
        <w:t>Enligt 2 kap. 10 § första stycket regeringsformen får straff eller annan påföljd inte åläggas för gärning som icke var belagd med brottspåföljd när den fö</w:t>
      </w:r>
      <w:r w:rsidRPr="00515A4C">
        <w:t>r</w:t>
      </w:r>
      <w:r w:rsidRPr="00515A4C">
        <w:t>övades. Ej heller får svårare brottspåföljd åläggas för gärningen än den som var föreskriven då. Samma gäller även förverkande och annan särskild rätt</w:t>
      </w:r>
      <w:r w:rsidRPr="00515A4C">
        <w:t>s</w:t>
      </w:r>
      <w:r w:rsidRPr="00515A4C">
        <w:t>verkan av brott. Enligt andra stycket får skatt eller avgift ej uttagas i vidare mån än som följer av föreskrift som gällde när den omständighet inträffade som utlöste skatt- eller avgiftsskyldigheten. Finner riksdagen särskilda skäl påkalla det, får dock lag innebära att skatt eller statlig avgift uttages trots att lagen inte hade trätt i kraft när nyssnämn</w:t>
      </w:r>
      <w:r w:rsidRPr="00515A4C">
        <w:t>da omständighet inträffade, om regeringen eller riksdagsutskott då hade lämnat förslag härom till riksdagen. Med förslag jämställs ett meddelande i skrivelse från regeringen till riksdagen om att sådant förslag är att vänta.</w:t>
      </w:r>
    </w:p>
    <w:p w:rsidR="00322A77" w:rsidRPr="00515A4C" w:rsidRDefault="00322A77">
      <w:pPr>
        <w:pStyle w:val="Normaltindrag"/>
      </w:pPr>
      <w:r w:rsidRPr="00515A4C">
        <w:t>1973 års fri- och rättighetsutredning övervägde att införa ett förbud mot retroaktiv lagstiftning enligt 8 kap. 3 § regeringsformen, dvs. föreskrifter om förhållandet mellan enskilda och det allmänna, som avser ingrepp i enskilda personliga eller ekonomiska förhållanden. Av två skäl fan</w:t>
      </w:r>
      <w:r w:rsidRPr="00515A4C">
        <w:t>n utredningen att det inte var möjligt att föreslå ett sådant förbud. Först konstaterades att något undantagslöst förbud mot retroaktiv lagstiftning inte upprätthålls på de angi</w:t>
      </w:r>
      <w:r w:rsidRPr="00515A4C">
        <w:t>v</w:t>
      </w:r>
      <w:r w:rsidRPr="00515A4C">
        <w:t>na rättsområdena, och att i lagtext med någon grad av precision ange föru</w:t>
      </w:r>
      <w:r w:rsidRPr="00515A4C">
        <w:t>t</w:t>
      </w:r>
      <w:r w:rsidRPr="00515A4C">
        <w:t>sättningarna för när avsteg får medges fann utredningen inte vara möjligt. Till det sagda kom problemet att avgöra vad som skall förstås med att en lag är tillbakaverkande eller har retroaktiv verkan. Utanför straffrättens område, menade utredningen, är det of</w:t>
      </w:r>
      <w:r w:rsidRPr="00515A4C">
        <w:t>ta oklart och föremål för delade meningar vad som skall anses vara en retroaktiv verkan av en lag (SOU 1975:75 s. 159).</w:t>
      </w:r>
    </w:p>
    <w:p w:rsidR="00322A77" w:rsidRPr="00515A4C" w:rsidRDefault="00322A77">
      <w:pPr>
        <w:pStyle w:val="Normaltindrag"/>
      </w:pPr>
      <w:r w:rsidRPr="00515A4C">
        <w:t>Rättighetsskyddsutredningen, som 1978 övervägde frågan om förstärkt skydd mot retroaktiv lagstiftning, framhöll att det varit en angelägen uppgift att fortsätta övervägningarna om retroaktivitetsförbud. Som de tidigare öve</w:t>
      </w:r>
      <w:r w:rsidRPr="00515A4C">
        <w:t>r</w:t>
      </w:r>
      <w:r w:rsidRPr="00515A4C">
        <w:t>vägandena hade visat uppställde sig emellertid några ganska svårlösta pr</w:t>
      </w:r>
      <w:r w:rsidRPr="00515A4C">
        <w:t>o</w:t>
      </w:r>
      <w:r w:rsidRPr="00515A4C">
        <w:t>blem när man undersökte möjligheterna att vidga förbudet mot retroaktiv lagstiftning. Ett bestod i att man dittills inte helt kunnat undvika retroaktivitet i lagstiftningsarbetet på något rättsområde utanför straffrättens. Ett annat huvudproblem var att avgöra vad som skall förstås med att en lag är tillbak</w:t>
      </w:r>
      <w:r w:rsidRPr="00515A4C">
        <w:t>a</w:t>
      </w:r>
      <w:r w:rsidRPr="00515A4C">
        <w:t>verkande eller har retroaktiv verkan. Utanför straffrätten fanns inga godtagna principer för att avgöra detta. Det hade inte vari</w:t>
      </w:r>
      <w:r w:rsidRPr="00515A4C">
        <w:t>t möjligt att överväga hela frågan om en vidgning av förbudet mot retroaktiv lagstiftning, och utrednin</w:t>
      </w:r>
      <w:r w:rsidRPr="00515A4C">
        <w:t>g</w:t>
      </w:r>
      <w:r w:rsidRPr="00515A4C">
        <w:t>en begränsade sig till ett förslag om att retroaktivitetsförbudet i 2 kap. 10 § regeringsformen skulle utvidgas till att utöver straffrättens område gälla för</w:t>
      </w:r>
      <w:r w:rsidRPr="00515A4C">
        <w:t>e</w:t>
      </w:r>
      <w:r w:rsidRPr="00515A4C">
        <w:t xml:space="preserve">skrifter om skatt jämte avgifter till det allmänna (SOU 1978:34 s. 156).  </w:t>
      </w:r>
    </w:p>
    <w:p w:rsidR="00322A77" w:rsidRPr="00515A4C" w:rsidRDefault="00322A77">
      <w:pPr>
        <w:pStyle w:val="Normaltindrag"/>
      </w:pPr>
      <w:r w:rsidRPr="00515A4C">
        <w:t>Utredningen anförde inledningsvis att huvudskälet mot retroaktiv lagstif</w:t>
      </w:r>
      <w:r w:rsidRPr="00515A4C">
        <w:t>t</w:t>
      </w:r>
      <w:r w:rsidRPr="00515A4C">
        <w:t>ning är att en sådan lagstiftning bryter mot grundsatsen att man i förväg skall kunna bedöma de rättsliga konsekvenserna av sitt handlande. En medborgare som handlar med utgångspunkt i gällande rätt riskerar att hans handling kommer att bedömas enligt regler som tillkommit i efterhand när han inte kan göra gjort ogjort. Om retroaktiviteten innebär skärpning av skattelag kan han t.ex. i efterhand bli vägrad avdrag för utgifter som var avdragsgilla när de bestreds. Ett indirekt resultat är ofta att den enski</w:t>
      </w:r>
      <w:r w:rsidRPr="00515A4C">
        <w:t xml:space="preserve">lde finner att han har gjort en civilrättslig handling som han inte skulle ha gjort – eller skulle ha gjort på annat sätt – om han vetat hur den skulle bli bedömd skatterättsligt. </w:t>
      </w:r>
    </w:p>
    <w:p w:rsidR="00322A77" w:rsidRPr="00515A4C" w:rsidRDefault="00322A77">
      <w:pPr>
        <w:pStyle w:val="Normaltindrag"/>
      </w:pPr>
      <w:r w:rsidRPr="00515A4C">
        <w:t>Å ena sidan var det enligt utredningen ett samhällsintresse av vikt att la</w:t>
      </w:r>
      <w:r w:rsidRPr="00515A4C">
        <w:t>g</w:t>
      </w:r>
      <w:r w:rsidRPr="00515A4C">
        <w:t>stiftaren skall kunna handla snabbt sedan han väl fått ögonen på ett oförutsett och inte önskvärt sätt att utnyttja skatteregler. Direkt stötande skulle det vara om just det förhållandet att regeringen lägger fram en proposition med förslag till lag som hindrar ett visst slag av kringgående transaktioner till följd av ett undantagslöst retroaktivitetsförbud skulle leda till en ökning av sådana tran</w:t>
      </w:r>
      <w:r w:rsidRPr="00515A4C">
        <w:t>s</w:t>
      </w:r>
      <w:r w:rsidRPr="00515A4C">
        <w:t>aktioner fram till dess att lagen trätt i kraft. Å andra sidan kan den skattsky</w:t>
      </w:r>
      <w:r w:rsidRPr="00515A4C">
        <w:t>l</w:t>
      </w:r>
      <w:r w:rsidRPr="00515A4C">
        <w:t>dige som vill förutse skattek</w:t>
      </w:r>
      <w:r w:rsidRPr="00515A4C">
        <w:t>onsekvenserna av sitt handlande känna sig osäker om lagstiftarens planer. Utredningen fann att rimlig hänsyn till de motstående intressena togs om ett förbud mot retroaktiv skattelagstiftning kompletterades med ett undantag för sådana situationer där de skattskyldiga i förväg har fått ett auktoritativt besked om att en kommande skatteregel avsågs få retroaktiv tilläm</w:t>
      </w:r>
      <w:r w:rsidRPr="00515A4C">
        <w:t>p</w:t>
      </w:r>
      <w:r w:rsidRPr="00515A4C">
        <w:t>ning.</w:t>
      </w:r>
    </w:p>
    <w:p w:rsidR="00322A77" w:rsidRPr="00515A4C" w:rsidRDefault="00322A77">
      <w:pPr>
        <w:pStyle w:val="Normaltindrag"/>
      </w:pPr>
      <w:r w:rsidRPr="00515A4C">
        <w:t>Fri- och rättighetskommittén övervägde i sitt betänkande Fri- och rätti</w:t>
      </w:r>
      <w:r w:rsidRPr="00515A4C">
        <w:t>g</w:t>
      </w:r>
      <w:r w:rsidRPr="00515A4C">
        <w:t>hetsfrågor – Regeringsformen (SOU 1993:40, Del A, s. 110) frågan om b</w:t>
      </w:r>
      <w:r w:rsidRPr="00515A4C">
        <w:t>e</w:t>
      </w:r>
      <w:r w:rsidRPr="00515A4C">
        <w:t>stämmelsen i 2 kap. 10 § andra stycket regeringsformen om förbud mot retr</w:t>
      </w:r>
      <w:r w:rsidRPr="00515A4C">
        <w:t>o</w:t>
      </w:r>
      <w:r w:rsidRPr="00515A4C">
        <w:t>aktiv skattelagstiftning är tillräckligt effektiv eller om reglerna borde förän</w:t>
      </w:r>
      <w:r w:rsidRPr="00515A4C">
        <w:t>d</w:t>
      </w:r>
      <w:r w:rsidRPr="00515A4C">
        <w:t>ras. Kommittén framhöll att det utredningsarbete som ligger bakom den nuv</w:t>
      </w:r>
      <w:r w:rsidRPr="00515A4C">
        <w:t>a</w:t>
      </w:r>
      <w:r w:rsidRPr="00515A4C">
        <w:t>rande regleringen klart visar vilka svårbemästrade gränsdragningsproblem som måste övervinnas, där motstående intressen ofta bryts mot varandra. Enligt kommitténs uppfattning var de argument som åberopades till st</w:t>
      </w:r>
      <w:r w:rsidRPr="00515A4C">
        <w:t>öd för den nuvarande regleringen alltjämt hållbara. Den utformning som bestämme</w:t>
      </w:r>
      <w:r w:rsidRPr="00515A4C">
        <w:t>l</w:t>
      </w:r>
      <w:r w:rsidRPr="00515A4C">
        <w:t>sen erhållit syntes enligt kommittén oc</w:t>
      </w:r>
      <w:r w:rsidRPr="00515A4C">
        <w:t>k</w:t>
      </w:r>
      <w:r w:rsidRPr="00515A4C">
        <w:t xml:space="preserve">så väl avvägd. </w:t>
      </w:r>
    </w:p>
    <w:p w:rsidR="00322A77" w:rsidRPr="00515A4C" w:rsidRDefault="00322A77">
      <w:pPr>
        <w:pStyle w:val="Normaltindrag"/>
      </w:pPr>
      <w:r w:rsidRPr="00515A4C">
        <w:t>Sedan början av 1990-talet har retroaktiv skattelagstiftning beslutats en eller ett par gånger per riksmöte.</w:t>
      </w:r>
    </w:p>
    <w:p w:rsidR="00322A77" w:rsidRPr="00515A4C" w:rsidRDefault="00322A77">
      <w:pPr>
        <w:pStyle w:val="Rubrik4"/>
        <w:rPr>
          <w:noProof w:val="0"/>
        </w:rPr>
      </w:pPr>
      <w:bookmarkStart w:id="80" w:name="_Toc4902243"/>
      <w:bookmarkStart w:id="81" w:name="_Toc34039178"/>
      <w:r w:rsidRPr="00515A4C">
        <w:rPr>
          <w:noProof w:val="0"/>
        </w:rPr>
        <w:t>Tidigare behandling</w:t>
      </w:r>
      <w:bookmarkEnd w:id="80"/>
      <w:bookmarkEnd w:id="81"/>
    </w:p>
    <w:p w:rsidR="00322A77" w:rsidRPr="00515A4C" w:rsidRDefault="00322A77">
      <w:r w:rsidRPr="00515A4C">
        <w:t>Våren 1998 avstyrkte utskottet ett motionsyrkande om en utredning om skärpning av förbudet mot retroaktiv skattelagstiftning (1997/98:KU32 s. 3 f.). Utskottet hänvisade till att bestämmelserna i regeringsformen om grun</w:t>
      </w:r>
      <w:r w:rsidRPr="00515A4C">
        <w:t>d</w:t>
      </w:r>
      <w:r w:rsidRPr="00515A4C">
        <w:t>läggande fri- och rättigheter nyligen hade utretts av Fri- och rättighetsko</w:t>
      </w:r>
      <w:r w:rsidRPr="00515A4C">
        <w:t>m</w:t>
      </w:r>
      <w:r w:rsidRPr="00515A4C">
        <w:t>mittén. Kommittén hade bl.a. uttalat att dess uppfattning var att den utfor</w:t>
      </w:r>
      <w:r w:rsidRPr="00515A4C">
        <w:t>m</w:t>
      </w:r>
      <w:r w:rsidRPr="00515A4C">
        <w:t>ning som bestämmelsen i 2 kap. 10 § andra stycket regeringsformen om fö</w:t>
      </w:r>
      <w:r w:rsidRPr="00515A4C">
        <w:t>r</w:t>
      </w:r>
      <w:r w:rsidRPr="00515A4C">
        <w:t>bud mot retroaktiv skattelagstiftning erhållit syntes vara lämpligt avvägd. Utskottet gjorde ingen annan bedö</w:t>
      </w:r>
      <w:r w:rsidRPr="00515A4C">
        <w:t>m</w:t>
      </w:r>
      <w:r w:rsidRPr="00515A4C">
        <w:t xml:space="preserve">ning. En reservation (m) avgavs. </w:t>
      </w:r>
    </w:p>
    <w:p w:rsidR="00322A77" w:rsidRPr="00515A4C" w:rsidRDefault="00322A77">
      <w:pPr>
        <w:pStyle w:val="Normaltindrag"/>
      </w:pPr>
      <w:r w:rsidRPr="00515A4C">
        <w:t>Våren 2002 (bet. 2001/02:KU15) avstyrktes ett motionsyrkande (c) mo</w:t>
      </w:r>
      <w:r w:rsidRPr="00515A4C">
        <w:t>t</w:t>
      </w:r>
      <w:r w:rsidRPr="00515A4C">
        <w:t xml:space="preserve">svarande det nu aktuella K241 yrkande 35. Enligt utskottets mening gjorde sig de skäl för att inte utvidga retroaktivitetsförbudet som anfördes av 1973 års fri- och rättighetsutredning och Rättighetsskyddsutredningen fortfarande gällande. En reservation (c) avgavs. </w:t>
      </w:r>
    </w:p>
    <w:p w:rsidR="00322A77" w:rsidRPr="00515A4C" w:rsidRDefault="00322A77">
      <w:pPr>
        <w:pStyle w:val="Rubrik4"/>
        <w:rPr>
          <w:noProof w:val="0"/>
        </w:rPr>
      </w:pPr>
      <w:bookmarkStart w:id="82" w:name="_Toc34039179"/>
      <w:r w:rsidRPr="00515A4C">
        <w:rPr>
          <w:noProof w:val="0"/>
        </w:rPr>
        <w:t>Utskottets ställningstagande</w:t>
      </w:r>
      <w:bookmarkEnd w:id="82"/>
    </w:p>
    <w:p w:rsidR="00322A77" w:rsidRPr="00515A4C" w:rsidRDefault="00322A77">
      <w:r w:rsidRPr="00515A4C">
        <w:t>Utskottet vidhåller sina tidigare bedömningar. Motionerna K241 yrkande 35 (c) och K237 (m) avstyrks.</w:t>
      </w:r>
    </w:p>
    <w:p w:rsidR="00322A77" w:rsidRPr="00515A4C" w:rsidRDefault="00322A77">
      <w:pPr>
        <w:pStyle w:val="Rubrik2"/>
      </w:pPr>
      <w:bookmarkStart w:id="83" w:name="_Toc34039180"/>
      <w:r w:rsidRPr="00515A4C">
        <w:t>Skydd mot diskriminering</w:t>
      </w:r>
      <w:bookmarkEnd w:id="83"/>
    </w:p>
    <w:p w:rsidR="00322A77" w:rsidRPr="00515A4C" w:rsidRDefault="00322A77">
      <w:pPr>
        <w:pStyle w:val="Utskottsfrslagikorthet-Rubrik"/>
        <w:outlineLvl w:val="0"/>
        <w:rPr>
          <w:noProof w:val="0"/>
        </w:rPr>
      </w:pPr>
      <w:r w:rsidRPr="00515A4C">
        <w:rPr>
          <w:noProof w:val="0"/>
        </w:rPr>
        <w:t>Utskottets förslag i korthet</w:t>
      </w:r>
    </w:p>
    <w:p w:rsidR="00322A77" w:rsidRPr="00515A4C" w:rsidRDefault="00322A77">
      <w:pPr>
        <w:pStyle w:val="Utskottsfrslagikorthet-Text"/>
      </w:pPr>
      <w:r w:rsidRPr="00515A4C">
        <w:t>Flera motionsyrkanden om skyddet mot diskriminering på grund av sexuell läggning avstyrks med hänvisning till tidigare ställningst</w:t>
      </w:r>
      <w:r w:rsidRPr="00515A4C">
        <w:t>a</w:t>
      </w:r>
      <w:r w:rsidRPr="00515A4C">
        <w:t>gande. En rad motionsyrkanden i frågor som omfattas av pågående utredningsarbete avstyrks med hänvisning till att utredningsarbetet inte bör föregripas. Ett par motioner som gäller dels genomgång av lagstiftning, dels behovet av att motverka heteronormativitet och att minoriteter utsätts för diskriminering och utanförskap avstyrks med hänvisning till HomO:s uppgifter. Slutligen avstyrks en motion om en minoritetsombudsman.</w:t>
      </w:r>
    </w:p>
    <w:p w:rsidR="00322A77" w:rsidRPr="00515A4C" w:rsidRDefault="00322A77">
      <w:pPr>
        <w:pStyle w:val="Utskottsfrslagikorthet-Text"/>
      </w:pPr>
      <w:r w:rsidRPr="00515A4C">
        <w:t>Jämför reservationerna 8 (v, mp), 9 (fp), 10 (kd), 11 (fp, mp), 12 (fp), 13 (mp) och</w:t>
      </w:r>
      <w:r w:rsidRPr="00515A4C">
        <w:t xml:space="preserve"> 14 (fp, mp), särskilt yttrande 2 (c).</w:t>
      </w:r>
    </w:p>
    <w:p w:rsidR="00322A77" w:rsidRPr="00515A4C" w:rsidRDefault="00322A77">
      <w:pPr>
        <w:pStyle w:val="Rubrik4"/>
        <w:rPr>
          <w:noProof w:val="0"/>
        </w:rPr>
      </w:pPr>
      <w:bookmarkStart w:id="84" w:name="_Toc34039181"/>
      <w:r w:rsidRPr="00515A4C">
        <w:rPr>
          <w:noProof w:val="0"/>
        </w:rPr>
        <w:t>Motionerna</w:t>
      </w:r>
      <w:bookmarkEnd w:id="84"/>
    </w:p>
    <w:p w:rsidR="00322A77" w:rsidRPr="00515A4C" w:rsidRDefault="00322A77">
      <w:r w:rsidRPr="00515A4C">
        <w:t xml:space="preserve">Lars Leijonborg m.fl. (fp) begär i motion L249 en översyn av </w:t>
      </w:r>
      <w:r w:rsidRPr="00515A4C">
        <w:rPr>
          <w:i/>
        </w:rPr>
        <w:t>2 kap. 15 r</w:t>
      </w:r>
      <w:r w:rsidRPr="00515A4C">
        <w:rPr>
          <w:i/>
        </w:rPr>
        <w:t>e</w:t>
      </w:r>
      <w:r w:rsidRPr="00515A4C">
        <w:rPr>
          <w:i/>
        </w:rPr>
        <w:t xml:space="preserve">geringsformen </w:t>
      </w:r>
      <w:r w:rsidRPr="00515A4C">
        <w:t>(yrkande 8)</w:t>
      </w:r>
      <w:r w:rsidRPr="00515A4C">
        <w:rPr>
          <w:i/>
        </w:rPr>
        <w:t>.</w:t>
      </w:r>
      <w:r w:rsidRPr="00515A4C">
        <w:t xml:space="preserve"> Den nyligen beslutade ändringen i 1 kap. rege</w:t>
      </w:r>
      <w:r w:rsidRPr="00515A4C">
        <w:t>r</w:t>
      </w:r>
      <w:r w:rsidRPr="00515A4C">
        <w:t xml:space="preserve">ingsformen är enligt motionen inte tillräcklig på denna punkt. </w:t>
      </w:r>
      <w:r w:rsidRPr="00515A4C">
        <w:rPr>
          <w:i/>
        </w:rPr>
        <w:t>Homosexuella, bisexuella och transpersoner</w:t>
      </w:r>
      <w:r w:rsidRPr="00515A4C">
        <w:t xml:space="preserve"> bör omfattas av regeringsformens förbud i 2 kap. mot diskrim</w:t>
      </w:r>
      <w:r w:rsidRPr="00515A4C">
        <w:t>i</w:t>
      </w:r>
      <w:r w:rsidRPr="00515A4C">
        <w:t xml:space="preserve">nerande lagstiftning. </w:t>
      </w:r>
    </w:p>
    <w:p w:rsidR="00322A77" w:rsidRPr="00515A4C" w:rsidRDefault="00322A77">
      <w:pPr>
        <w:pStyle w:val="Normaltindrag"/>
      </w:pPr>
      <w:r w:rsidRPr="00515A4C">
        <w:t xml:space="preserve">Mats Einarsson m.fl. (v) begär i motion K275 att </w:t>
      </w:r>
      <w:r w:rsidRPr="00515A4C">
        <w:rPr>
          <w:i/>
        </w:rPr>
        <w:t>2 kap. 15 §</w:t>
      </w:r>
      <w:r w:rsidRPr="00515A4C">
        <w:t xml:space="preserve"> </w:t>
      </w:r>
      <w:r w:rsidRPr="00515A4C">
        <w:rPr>
          <w:i/>
        </w:rPr>
        <w:t>regering</w:t>
      </w:r>
      <w:r w:rsidRPr="00515A4C">
        <w:rPr>
          <w:i/>
        </w:rPr>
        <w:t>s</w:t>
      </w:r>
      <w:r w:rsidRPr="00515A4C">
        <w:rPr>
          <w:i/>
        </w:rPr>
        <w:t xml:space="preserve">formen </w:t>
      </w:r>
      <w:r w:rsidRPr="00515A4C">
        <w:t>ges följande lydelse: ”Lag eller annan föreskrift får ej innebära att någon missgynnas därför att han eller hon med hänsyn till ras, hudfärg, e</w:t>
      </w:r>
      <w:r w:rsidRPr="00515A4C">
        <w:t>t</w:t>
      </w:r>
      <w:r w:rsidRPr="00515A4C">
        <w:t xml:space="preserve">niskt ursprung eller </w:t>
      </w:r>
      <w:r w:rsidRPr="00515A4C">
        <w:rPr>
          <w:i/>
        </w:rPr>
        <w:t>sexuell läggning</w:t>
      </w:r>
      <w:r w:rsidRPr="00515A4C">
        <w:t xml:space="preserve"> tillhör minoritet.” Motionärerna anser att den nyligen införda ändringen i 1 kap. regeringsformen som föreskriver att det allmänna bl.a. skall motverka diskriminering på grund av </w:t>
      </w:r>
      <w:r w:rsidRPr="00515A4C">
        <w:rPr>
          <w:i/>
        </w:rPr>
        <w:t>sexuell läggning</w:t>
      </w:r>
      <w:r w:rsidRPr="00515A4C">
        <w:t xml:space="preserve"> inte räcker för att motverka diskriminering av skäl som har samband med sexuell läggning. Att diskriminera</w:t>
      </w:r>
      <w:r w:rsidRPr="00515A4C">
        <w:t>nde lagstiftning förekommer har inte minst Samboendekommittén påvisat i sitt betänkande Nya samboregler (SOU 1999:104).</w:t>
      </w:r>
    </w:p>
    <w:p w:rsidR="00322A77" w:rsidRPr="00515A4C" w:rsidRDefault="00322A77">
      <w:pPr>
        <w:pStyle w:val="Normaltindrag"/>
      </w:pPr>
      <w:r w:rsidRPr="00515A4C">
        <w:t xml:space="preserve">Också i motion K310 av Gabriel Romanus m.fl. (fp, s, v, c, mp) begärs att </w:t>
      </w:r>
      <w:r w:rsidRPr="00515A4C">
        <w:rPr>
          <w:i/>
        </w:rPr>
        <w:t>2 kap. 15 § regeringsformen</w:t>
      </w:r>
      <w:r w:rsidRPr="00515A4C">
        <w:t xml:space="preserve"> utvidgas (yrkande 2). Motionärerna anser att det är angeläget att införa ett skydd mot att riksdagen kan anta lagar som diskr</w:t>
      </w:r>
      <w:r w:rsidRPr="00515A4C">
        <w:t>i</w:t>
      </w:r>
      <w:r w:rsidRPr="00515A4C">
        <w:t>minerar HBT-personer (homosexuella, bisexuella och transpersoner). Trots uttalanden av riksdag och regering finns det lagstiftning som diskriminerar homosexuella och bisexuella samt även transpersoner. Transpersoner är ind</w:t>
      </w:r>
      <w:r w:rsidRPr="00515A4C">
        <w:t>i</w:t>
      </w:r>
      <w:r w:rsidRPr="00515A4C">
        <w:t>vider vars könsidentitet och/eller könsidentitetsuttryck tidvis eller alltid skiljer sig från normen för det kön som registrerats för d</w:t>
      </w:r>
      <w:r w:rsidRPr="00515A4C">
        <w:t>em vid födseln.</w:t>
      </w:r>
    </w:p>
    <w:p w:rsidR="00322A77" w:rsidRPr="00515A4C" w:rsidRDefault="00322A77">
      <w:pPr>
        <w:pStyle w:val="Normaltindrag"/>
      </w:pPr>
      <w:r w:rsidRPr="00515A4C">
        <w:t xml:space="preserve">I motionen begärs också att </w:t>
      </w:r>
      <w:r w:rsidRPr="00515A4C">
        <w:rPr>
          <w:i/>
        </w:rPr>
        <w:t>sexuell läggning</w:t>
      </w:r>
      <w:r w:rsidRPr="00515A4C">
        <w:t xml:space="preserve"> skall omfattas av </w:t>
      </w:r>
      <w:r w:rsidRPr="00515A4C">
        <w:rPr>
          <w:i/>
        </w:rPr>
        <w:t>1 kap. 2 § regeringsformen</w:t>
      </w:r>
      <w:r w:rsidRPr="00515A4C">
        <w:t xml:space="preserve"> (yrkande 1). Motionärerna anser att riksdagen skall fullfölja den påbörjade förändringen av skrivningarna om diskriminering i regering</w:t>
      </w:r>
      <w:r w:rsidRPr="00515A4C">
        <w:t>s</w:t>
      </w:r>
      <w:r w:rsidRPr="00515A4C">
        <w:t>formens 1 kap. 2 § men att denna utvidgas till att också omnämna diskrimin</w:t>
      </w:r>
      <w:r w:rsidRPr="00515A4C">
        <w:t>e</w:t>
      </w:r>
      <w:r w:rsidRPr="00515A4C">
        <w:t>ring på grund av könsidentitet.</w:t>
      </w:r>
    </w:p>
    <w:p w:rsidR="00322A77" w:rsidRPr="00515A4C" w:rsidRDefault="00322A77">
      <w:pPr>
        <w:pStyle w:val="Normaltindrag"/>
      </w:pPr>
      <w:r w:rsidRPr="00515A4C">
        <w:t xml:space="preserve">I motion So512 av Martin Andreasson m.fl. (fp, s, v, c och mp) begärs en </w:t>
      </w:r>
      <w:r w:rsidRPr="00515A4C">
        <w:rPr>
          <w:i/>
        </w:rPr>
        <w:t>översyn av lagstiftningen</w:t>
      </w:r>
      <w:r w:rsidRPr="00515A4C">
        <w:t xml:space="preserve"> för att undanröja förekomsten av återstående diskriminering i lagstiftningen mot homosexuella, bisexuella och transpers</w:t>
      </w:r>
      <w:r w:rsidRPr="00515A4C">
        <w:t>o</w:t>
      </w:r>
      <w:r w:rsidRPr="00515A4C">
        <w:t>ner (yrkande 5).</w:t>
      </w:r>
    </w:p>
    <w:p w:rsidR="00322A77" w:rsidRPr="00515A4C" w:rsidRDefault="00322A77">
      <w:pPr>
        <w:pStyle w:val="Normaltindrag"/>
      </w:pPr>
      <w:r w:rsidRPr="00515A4C">
        <w:t xml:space="preserve">Tasso Stafilidis (v) begär i motion Ub556 (yrkande 6) ett tillkännagivande till regeringen om behovet av åtgärder för att </w:t>
      </w:r>
      <w:r w:rsidRPr="00515A4C">
        <w:rPr>
          <w:i/>
        </w:rPr>
        <w:t>motverka heteronormativitet</w:t>
      </w:r>
      <w:r w:rsidRPr="00515A4C">
        <w:t xml:space="preserve"> och att minoriteter utsätts för diskriminering och utanförskap. Fortfarande exist</w:t>
      </w:r>
      <w:r w:rsidRPr="00515A4C">
        <w:t>e</w:t>
      </w:r>
      <w:r w:rsidRPr="00515A4C">
        <w:t>rar det enligt motionen en heterosexuell norm. Homo- och bisexuella diskr</w:t>
      </w:r>
      <w:r w:rsidRPr="00515A4C">
        <w:t>i</w:t>
      </w:r>
      <w:r w:rsidRPr="00515A4C">
        <w:t>mineras fortfarande i lagstiftningen. De osynliggörs, nedvärderas, särbehan</w:t>
      </w:r>
      <w:r w:rsidRPr="00515A4C">
        <w:t>d</w:t>
      </w:r>
      <w:r w:rsidRPr="00515A4C">
        <w:t>las och utsätts för våld enbart på grund av sin sexuella läggning. Könsroll</w:t>
      </w:r>
      <w:r w:rsidRPr="00515A4C">
        <w:t>s</w:t>
      </w:r>
      <w:r w:rsidRPr="00515A4C">
        <w:t>normerna tillåter ett alltför litet spelrum för män och kvinnor att utveckla sin egen könsidentitet och inskränker livet för transpersoner, som helt eller delvis vill leva i en</w:t>
      </w:r>
      <w:r w:rsidRPr="00515A4C">
        <w:t xml:space="preserve"> könsroll traditionellt förbehållen det motsatta könet. </w:t>
      </w:r>
    </w:p>
    <w:p w:rsidR="00322A77" w:rsidRPr="00515A4C" w:rsidRDefault="00322A77">
      <w:pPr>
        <w:pStyle w:val="Normaltindrag"/>
      </w:pPr>
      <w:r w:rsidRPr="00515A4C">
        <w:t xml:space="preserve">Gustav Fridolin (mp) begär i motion K395 ett lagförslag med förbud mot </w:t>
      </w:r>
      <w:r w:rsidRPr="00515A4C">
        <w:rPr>
          <w:i/>
        </w:rPr>
        <w:t>åldersdiskriminering</w:t>
      </w:r>
      <w:r w:rsidRPr="00515A4C">
        <w:t>. I motsats till vad som gäller för diskriminering på grund av kön, etnicitet eller funktionshinder är åldersdiskriminering inte förbjudet. En krogägare har rätt att diskriminera myndiga människor genom olika åldersgränser. Samhället bör inte tillåta någon form av diskriminering. Vissa i dag befintliga åldersgränser bör behållas. Det gäller 20-årsgränsen för inköp av alkohol på Systembolaget och likartad ”skyddslagstiftning”. Det privata näringslivet skall dock inte tillåtas diskriminera</w:t>
      </w:r>
      <w:r w:rsidRPr="00515A4C">
        <w:t xml:space="preserve"> människor.</w:t>
      </w:r>
    </w:p>
    <w:p w:rsidR="00322A77" w:rsidRPr="00515A4C" w:rsidRDefault="00322A77">
      <w:pPr>
        <w:pStyle w:val="Normaltindrag"/>
      </w:pPr>
      <w:r w:rsidRPr="00515A4C">
        <w:t>I motion So444 av Kenneth Johansson m.fl. (c) begärs åtgärder för att fö</w:t>
      </w:r>
      <w:r w:rsidRPr="00515A4C">
        <w:t>r</w:t>
      </w:r>
      <w:r w:rsidRPr="00515A4C">
        <w:t xml:space="preserve">hindra </w:t>
      </w:r>
      <w:r w:rsidRPr="00515A4C">
        <w:rPr>
          <w:i/>
        </w:rPr>
        <w:t>åldersdiskriminering</w:t>
      </w:r>
      <w:r w:rsidRPr="00515A4C">
        <w:t xml:space="preserve"> (yrkande 3). Det behövs en samlad diskrimin</w:t>
      </w:r>
      <w:r w:rsidRPr="00515A4C">
        <w:t>e</w:t>
      </w:r>
      <w:r w:rsidRPr="00515A4C">
        <w:t>ringslagstiftning för att ge diskrimineringsombudsmannen ett kraftfullt ver</w:t>
      </w:r>
      <w:r w:rsidRPr="00515A4C">
        <w:t>k</w:t>
      </w:r>
      <w:r w:rsidRPr="00515A4C">
        <w:t>tyg. En sammanhållen lagstiftning som också gäller utanför arbetslivet gör det möjligt att ställa krav på en större del av arbetslivet som också omfattar å</w:t>
      </w:r>
      <w:r w:rsidRPr="00515A4C">
        <w:t>l</w:t>
      </w:r>
      <w:r w:rsidRPr="00515A4C">
        <w:t>dersdiskriminering. Diskriminering av äldre inom vården och andra samma</w:t>
      </w:r>
      <w:r w:rsidRPr="00515A4C">
        <w:t>n</w:t>
      </w:r>
      <w:r w:rsidRPr="00515A4C">
        <w:t>hang är enligt moti</w:t>
      </w:r>
      <w:r w:rsidRPr="00515A4C">
        <w:t>o</w:t>
      </w:r>
      <w:r w:rsidRPr="00515A4C">
        <w:t>närerna ett reellt problem.</w:t>
      </w:r>
    </w:p>
    <w:p w:rsidR="00322A77" w:rsidRPr="00515A4C" w:rsidRDefault="00322A77">
      <w:pPr>
        <w:pStyle w:val="Normaltindrag"/>
      </w:pPr>
      <w:r w:rsidRPr="00515A4C">
        <w:t>I motion Sf289 av Peter Eriksson m.fl. (mp) begärs att lagarna om olika former av diskr</w:t>
      </w:r>
      <w:r w:rsidRPr="00515A4C">
        <w:t xml:space="preserve">iminering slås ihop till en </w:t>
      </w:r>
      <w:r w:rsidRPr="00515A4C">
        <w:rPr>
          <w:i/>
        </w:rPr>
        <w:t>gemensam antidiskrimineringslag</w:t>
      </w:r>
      <w:r w:rsidRPr="00515A4C">
        <w:t xml:space="preserve"> baserad på mänskliga rättigheter (yrkande 6). Motionärerna anser att diskr</w:t>
      </w:r>
      <w:r w:rsidRPr="00515A4C">
        <w:t>i</w:t>
      </w:r>
      <w:r w:rsidRPr="00515A4C">
        <w:t>mineringen måste förebyggas och motverkas inom alla områden och på olika nivåer i samhället. Det är en mänsklig rättighet att slippa diskriminering på grund av ovidkommande faktorer. Jämställdhets- och mångfaldsplaner skall ingå som en natu</w:t>
      </w:r>
      <w:r w:rsidRPr="00515A4C">
        <w:t>r</w:t>
      </w:r>
      <w:r w:rsidRPr="00515A4C">
        <w:t xml:space="preserve">lig del av lagen. </w:t>
      </w:r>
    </w:p>
    <w:p w:rsidR="00322A77" w:rsidRPr="00515A4C" w:rsidRDefault="00322A77">
      <w:r w:rsidRPr="00515A4C">
        <w:t>Lars Leijonborg m.fl. (fp) begär i motion Ju364 ett tillkännagivande till r</w:t>
      </w:r>
      <w:r w:rsidRPr="00515A4C">
        <w:t>e</w:t>
      </w:r>
      <w:r w:rsidRPr="00515A4C">
        <w:t xml:space="preserve">geringen om </w:t>
      </w:r>
      <w:r w:rsidRPr="00515A4C">
        <w:rPr>
          <w:i/>
        </w:rPr>
        <w:t>det svenska ombudsmannasystemet</w:t>
      </w:r>
      <w:r w:rsidRPr="00515A4C">
        <w:t xml:space="preserve"> (yrkande 23). Motionärerna anser att JO:s makt minskat med avskaffandet av ämbetsmannaansvaret, och med införandet av en rad nya ombudsmän sjunkit ned till att bli ett ämbet</w:t>
      </w:r>
      <w:r w:rsidRPr="00515A4C">
        <w:t>s</w:t>
      </w:r>
      <w:r w:rsidRPr="00515A4C">
        <w:t>verk bland andra. Ombudsmannaidén har försvagats och tunnats ut. O</w:t>
      </w:r>
      <w:r w:rsidRPr="00515A4C">
        <w:t>m</w:t>
      </w:r>
      <w:r w:rsidRPr="00515A4C">
        <w:t>budsmannainstitutionen bör tydliggöras och förenklas. Ingripanden mot sta</w:t>
      </w:r>
      <w:r w:rsidRPr="00515A4C">
        <w:t>t</w:t>
      </w:r>
      <w:r w:rsidRPr="00515A4C">
        <w:t>liga och kommunala ämbetsmän och myndigheter bör samordnas under JO-ämbetet. Övriga ombudsmän bör slås samman till ett ombudsmannaämbete. Stor återhålls</w:t>
      </w:r>
      <w:r w:rsidRPr="00515A4C">
        <w:t>amhet bör iakttas när det gäller att införa nya ombudsmann</w:t>
      </w:r>
      <w:r w:rsidRPr="00515A4C">
        <w:t>a</w:t>
      </w:r>
      <w:r w:rsidRPr="00515A4C">
        <w:t>uppgifter. JO skulle enligt motionärerna med en sådan ordning kanske återfå något av sin forna status, och det sammanslagna ombudsmannaämbetet skulle få större kraft. Det bör enligt motionen vidare övervägas att utöka talerätten för organisationer som särskilt tillvaratar svaga och utsatta gruppers intressen.</w:t>
      </w:r>
    </w:p>
    <w:p w:rsidR="00322A77" w:rsidRPr="00515A4C" w:rsidRDefault="00322A77">
      <w:pPr>
        <w:pStyle w:val="Normaltindrag"/>
      </w:pPr>
      <w:r w:rsidRPr="00515A4C">
        <w:t xml:space="preserve">I motion K241 av Maud Olofsson m.fl. (c) begärs en </w:t>
      </w:r>
      <w:r w:rsidRPr="00515A4C">
        <w:rPr>
          <w:i/>
        </w:rPr>
        <w:t>samlad diskrimin</w:t>
      </w:r>
      <w:r w:rsidRPr="00515A4C">
        <w:rPr>
          <w:i/>
        </w:rPr>
        <w:t>e</w:t>
      </w:r>
      <w:r w:rsidRPr="00515A4C">
        <w:rPr>
          <w:i/>
        </w:rPr>
        <w:t>ringslagstiftning och en samordning av ombudsmannafunktionerna</w:t>
      </w:r>
      <w:r w:rsidRPr="00515A4C">
        <w:t xml:space="preserve"> (yrkande 37). Med en sammanhållen lagstiftning som också gäller utanför arbetslivet är det enligt motionen möjligt att ställa krav på en större del av samhällslivet, inkluderande åldersdiskriminering. Med en sammanhållen lagstiftning kan även de fem ombudsmannafunktionerna DO, JämO, HomO, HO och BO samordnas under riksd</w:t>
      </w:r>
      <w:r w:rsidRPr="00515A4C">
        <w:t>a</w:t>
      </w:r>
      <w:r w:rsidRPr="00515A4C">
        <w:t>gen.</w:t>
      </w:r>
    </w:p>
    <w:p w:rsidR="00322A77" w:rsidRPr="00515A4C" w:rsidRDefault="00322A77">
      <w:pPr>
        <w:pStyle w:val="Normaltindrag"/>
      </w:pPr>
      <w:r w:rsidRPr="00515A4C">
        <w:t>Sven Brus m.fl. (kd) begär i motion Sf334 (yrkande 43) att Ombudsma</w:t>
      </w:r>
      <w:r w:rsidRPr="00515A4C">
        <w:t>n</w:t>
      </w:r>
      <w:r w:rsidRPr="00515A4C">
        <w:t xml:space="preserve">nen mot diskriminering ges ett </w:t>
      </w:r>
      <w:r w:rsidRPr="00515A4C">
        <w:rPr>
          <w:i/>
        </w:rPr>
        <w:t>särskilt ansvar för opinionsbildning mot diskriminering, främlingsfientlighet och rasism</w:t>
      </w:r>
      <w:r w:rsidRPr="00515A4C">
        <w:t>. Motionärerna anser att DO eller en framtida Rättighetsombudsman bör ha ett speciellt ansvar och fungera som motor i opinionsbildningen. Försöket med lokala diskrimineringso</w:t>
      </w:r>
      <w:r w:rsidRPr="00515A4C">
        <w:t>m</w:t>
      </w:r>
      <w:r w:rsidRPr="00515A4C">
        <w:t>budsmän avvisas. Motionärerna anser vidare att DO bör vara en från rege</w:t>
      </w:r>
      <w:r w:rsidRPr="00515A4C">
        <w:t>r</w:t>
      </w:r>
      <w:r w:rsidRPr="00515A4C">
        <w:t>ingen fristående myndighet och i stället underställas riksdagen. Detta bör behandlas av den utredning som nu utreder sammanslagning av främjand</w:t>
      </w:r>
      <w:r w:rsidRPr="00515A4C">
        <w:t>e</w:t>
      </w:r>
      <w:r w:rsidRPr="00515A4C">
        <w:t>o</w:t>
      </w:r>
      <w:r w:rsidRPr="00515A4C">
        <w:t>mbudsmännen.</w:t>
      </w:r>
    </w:p>
    <w:p w:rsidR="00322A77" w:rsidRPr="00515A4C" w:rsidRDefault="00322A77">
      <w:pPr>
        <w:pStyle w:val="Normaltindrag"/>
      </w:pPr>
      <w:r w:rsidRPr="00515A4C">
        <w:t xml:space="preserve">I motion A213 begär Sven Brus och Kenneth Lantz (kd) att </w:t>
      </w:r>
      <w:r w:rsidRPr="00515A4C">
        <w:rPr>
          <w:i/>
        </w:rPr>
        <w:t>diskrimin</w:t>
      </w:r>
      <w:r w:rsidRPr="00515A4C">
        <w:rPr>
          <w:i/>
        </w:rPr>
        <w:t>e</w:t>
      </w:r>
      <w:r w:rsidRPr="00515A4C">
        <w:rPr>
          <w:i/>
        </w:rPr>
        <w:t>ringsombudsmän utifrån kön, etnicitet och sexuell läggning sammanförs</w:t>
      </w:r>
      <w:r w:rsidRPr="00515A4C">
        <w:t xml:space="preserve"> till att avse all form av diskriminering, bl.a. på grund av ålder (yrkande 2).</w:t>
      </w:r>
    </w:p>
    <w:p w:rsidR="00322A77" w:rsidRPr="00515A4C" w:rsidRDefault="00322A77">
      <w:pPr>
        <w:pStyle w:val="Normaltindrag"/>
      </w:pPr>
      <w:r w:rsidRPr="00515A4C">
        <w:t xml:space="preserve">Henrik S Järrel (m) begär i motion K280 att det inrättas </w:t>
      </w:r>
      <w:r w:rsidRPr="00515A4C">
        <w:rPr>
          <w:i/>
        </w:rPr>
        <w:t>ett ämbete för mänskliga rättigheter</w:t>
      </w:r>
      <w:r w:rsidRPr="00515A4C">
        <w:t>, som bl.a. skulle överta de nuvarande ombudsmann</w:t>
      </w:r>
      <w:r w:rsidRPr="00515A4C">
        <w:t>a</w:t>
      </w:r>
      <w:r w:rsidRPr="00515A4C">
        <w:t>myndigheternas roll och uppgifter samt sortera under riksdagen. Motionären hänvisar till att FN har rekommenderat sina medlemsländer att inrätta ett fristående organ med uppgift att skydda och främja mänskliga rättigheter. Det rimligaste vore därför att sammanföra de nuvarande olika ombudsmannai</w:t>
      </w:r>
      <w:r w:rsidRPr="00515A4C">
        <w:t>n</w:t>
      </w:r>
      <w:r w:rsidRPr="00515A4C">
        <w:t>stituten till ett samlat MR-ämbete för att vinna ökad slagkraft, spridning av övergripande kompetens och ett bättre, integrerat t</w:t>
      </w:r>
      <w:r w:rsidRPr="00515A4C">
        <w:t>illvaratagande av den e</w:t>
      </w:r>
      <w:r w:rsidRPr="00515A4C">
        <w:t>n</w:t>
      </w:r>
      <w:r w:rsidRPr="00515A4C">
        <w:t>skildes rättigheter. Ett sådant rättighetsorgan bör enligt motionären sortera direkt under riksdagen för att markera större oberoende, konstitutionell tyngd och demokratisk insyn.</w:t>
      </w:r>
    </w:p>
    <w:p w:rsidR="00322A77" w:rsidRPr="00515A4C" w:rsidRDefault="00322A77">
      <w:r w:rsidRPr="00515A4C">
        <w:t xml:space="preserve">Paavo Vallius (s) begär i motion K366 ett tillkännagivande till regeringen om </w:t>
      </w:r>
      <w:r w:rsidRPr="00515A4C">
        <w:rPr>
          <w:i/>
        </w:rPr>
        <w:t>en minoritetsombudsman</w:t>
      </w:r>
      <w:r w:rsidRPr="00515A4C">
        <w:t>. Enligt motionen har insikten om riksdagens min</w:t>
      </w:r>
      <w:r w:rsidRPr="00515A4C">
        <w:t>o</w:t>
      </w:r>
      <w:r w:rsidRPr="00515A4C">
        <w:t>ritetspolitiska beslut inte nått beslutsfattare på ett tillfredsställande sätt. På den lokala nivån, där de flesta besluten angående de nationella minoriteterna fattas, upplever många att de inte får lagens stöd och att den inte tas på allvar. Detta gäller både inom förvaltningsområdet och utanför det. För att se till att intentionerna av beslutet genomförs även i praktiken och för att informationen om det nya politikområdet når olika in</w:t>
      </w:r>
      <w:r w:rsidRPr="00515A4C">
        <w:t>tressenter samt berörda myndigheter kan en ny myndighet, minoritetsombudsmannen, som på motsvarande sätt som JämO och Diskrimineringsombudsmannen, skall kunna följa upp det konkreta genomförandet av den nationella minoritetspolitiken vara en lö</w:t>
      </w:r>
      <w:r w:rsidRPr="00515A4C">
        <w:t>s</w:t>
      </w:r>
      <w:r w:rsidRPr="00515A4C">
        <w:t>ning. Myndigheten skulle kunna följa upp det konkreta genomförandet av den nationella minor</w:t>
      </w:r>
      <w:r w:rsidRPr="00515A4C">
        <w:t>i</w:t>
      </w:r>
      <w:r w:rsidRPr="00515A4C">
        <w:t xml:space="preserve">tetspolitiken. </w:t>
      </w:r>
    </w:p>
    <w:p w:rsidR="00322A77" w:rsidRPr="00515A4C" w:rsidRDefault="00322A77">
      <w:pPr>
        <w:pStyle w:val="Rubrik4"/>
        <w:rPr>
          <w:noProof w:val="0"/>
        </w:rPr>
      </w:pPr>
      <w:bookmarkStart w:id="85" w:name="_Toc34039182"/>
      <w:r w:rsidRPr="00515A4C">
        <w:rPr>
          <w:noProof w:val="0"/>
        </w:rPr>
        <w:t>Tidigare behandling m.m.</w:t>
      </w:r>
      <w:bookmarkEnd w:id="85"/>
    </w:p>
    <w:p w:rsidR="00322A77" w:rsidRPr="00515A4C" w:rsidRDefault="00322A77">
      <w:r w:rsidRPr="00515A4C">
        <w:t>Sedan den 1 januari 2003 gäller enligt 1 kap. 2 § regeringsformen bl.a. att det allmänna dels skall verka för att alla människor skall kunna uppnå delaktighet och jämlikhet i samhället, dels skall motverka diskriminering på grund av kön, hudfärg, nationellt eller etniskt ursprung, språklig eller religiös tillhöri</w:t>
      </w:r>
      <w:r w:rsidRPr="00515A4C">
        <w:t>g</w:t>
      </w:r>
      <w:r w:rsidRPr="00515A4C">
        <w:t xml:space="preserve">het, funktionshinder, sexuell läggning, ålder eller annan omständighet som gäller den enskilde som person (prop. 2001/02:72, bet. 2001/02:KU18, 2002/03:KU6) </w:t>
      </w:r>
    </w:p>
    <w:p w:rsidR="00322A77" w:rsidRPr="00515A4C" w:rsidRDefault="00322A77">
      <w:pPr>
        <w:pStyle w:val="Normaltindrag"/>
      </w:pPr>
      <w:r w:rsidRPr="00515A4C">
        <w:t>I propositionen framhölls att det inte är fråga om en rättsligt bindande r</w:t>
      </w:r>
      <w:r w:rsidRPr="00515A4C">
        <w:t>e</w:t>
      </w:r>
      <w:r w:rsidRPr="00515A4C">
        <w:t>gel utan om ett program- och målsättningsstadgande som ger uttryck för vissa särskilt viktiga principer för samhällsverksamhetens inriktning. Stadgandets främsta funktion är enligt propositionen att ålägga det allmänna att positivt verka för att de ifrågavarande målsättningarna i största möjliga utsträckning förverkligas. Till skillnad från reglerna i 2 kap. regeringsformen om de grundläggande fri- och rättigheterna, ger 1 kap. 2 § regeringsformen inte upphov till några rättigheter för den enskilde. I prop</w:t>
      </w:r>
      <w:r w:rsidRPr="00515A4C">
        <w:t>ositionen påpekades att den enskilde alltså inte med stöd av 1 kap. 2 § regeringsformen kan påkalla domstols ingripande mot det allmänna. I vilken utsträckning det allmänna lever upp till målsättningarna kan enbart bli föremål för politisk kontroll. Stadgandet kan dock få rättslig betydelse som tolkningsdata vid tillämpningen av olika rättsregler.</w:t>
      </w:r>
    </w:p>
    <w:p w:rsidR="00322A77" w:rsidRPr="00515A4C" w:rsidRDefault="00322A77">
      <w:pPr>
        <w:pStyle w:val="Normaltindrag"/>
      </w:pPr>
      <w:r w:rsidRPr="00515A4C">
        <w:t xml:space="preserve">När det gäller </w:t>
      </w:r>
      <w:r w:rsidRPr="00515A4C">
        <w:rPr>
          <w:i/>
        </w:rPr>
        <w:t>sexuell läggning</w:t>
      </w:r>
      <w:r w:rsidRPr="00515A4C">
        <w:t xml:space="preserve"> anfördes i propositionen att Riksförbundet för sexuellt likaberättigande begärt att även könsidentitet inkluderas i upprä</w:t>
      </w:r>
      <w:r w:rsidRPr="00515A4C">
        <w:t>k</w:t>
      </w:r>
      <w:r w:rsidRPr="00515A4C">
        <w:t>ningen. Regeringen ville med anledning av detta framhålla att uppräkningen av otillåtna diskrimineringsgrunder endast är exemplifierande och inte u</w:t>
      </w:r>
      <w:r w:rsidRPr="00515A4C">
        <w:t>t</w:t>
      </w:r>
      <w:r w:rsidRPr="00515A4C">
        <w:t>tömmande. Det åligger alltså det allmänna att motverka diskriminering även på grund av andra – liknande – osakliga omständigheter som gäller den e</w:t>
      </w:r>
      <w:r w:rsidRPr="00515A4C">
        <w:t>n</w:t>
      </w:r>
      <w:r w:rsidRPr="00515A4C">
        <w:t>skilde som person, än de som uttryckligen har angetts.</w:t>
      </w:r>
    </w:p>
    <w:p w:rsidR="00322A77" w:rsidRPr="00515A4C" w:rsidRDefault="00322A77">
      <w:pPr>
        <w:pStyle w:val="Normaltindrag"/>
      </w:pPr>
      <w:r w:rsidRPr="00515A4C">
        <w:t>I betänkande 2001/02:KU</w:t>
      </w:r>
      <w:r w:rsidRPr="00515A4C">
        <w:t>15 behandlade utskottet under våren 2002 m</w:t>
      </w:r>
      <w:r w:rsidRPr="00515A4C">
        <w:t>o</w:t>
      </w:r>
      <w:r w:rsidRPr="00515A4C">
        <w:t>tionsyrkanden (v) om ett tillägg i 2 kap. 15 § som innebär ett skydd mot lagar och andra föreskrifter som missgynnar någon av skäl som har samband med sexuell läggning. Utskottet hänvisade till regeringens förslag om ändring av 1 kap. 2 § regeringsformen. Utskottet framhöll att en sådan ändring i likhet med diskrimineringsbestämmelserna i 2 kap. innebär ett skydd mot att diskrimin</w:t>
      </w:r>
      <w:r w:rsidRPr="00515A4C">
        <w:t>e</w:t>
      </w:r>
      <w:r w:rsidRPr="00515A4C">
        <w:t>rande lagar stiftas och bibehålls. Utskottet var inte berett att förorda att en bestä</w:t>
      </w:r>
      <w:r w:rsidRPr="00515A4C">
        <w:t>mmelse om skydd mot diskriminering på grund av sexuell läggning införs i 2 kap. regeringsformen eller att frågan om grundlagsskyddet för vissa utsatta grupper nu åter blev föremål för utredning (s. 43). En reservation (v och mp) avgavs.</w:t>
      </w:r>
    </w:p>
    <w:p w:rsidR="00322A77" w:rsidRPr="00515A4C" w:rsidRDefault="00322A77">
      <w:pPr>
        <w:pStyle w:val="Normaltindrag"/>
      </w:pPr>
      <w:r w:rsidRPr="00515A4C">
        <w:t xml:space="preserve">I samma betänkande avstyrkte utskottet ett motionsyrkande (c) om </w:t>
      </w:r>
      <w:r w:rsidRPr="00515A4C">
        <w:rPr>
          <w:i/>
        </w:rPr>
        <w:t>diskr</w:t>
      </w:r>
      <w:r w:rsidRPr="00515A4C">
        <w:rPr>
          <w:i/>
        </w:rPr>
        <w:t>i</w:t>
      </w:r>
      <w:r w:rsidRPr="00515A4C">
        <w:rPr>
          <w:i/>
        </w:rPr>
        <w:t>minering av ungdomar</w:t>
      </w:r>
      <w:r w:rsidRPr="00515A4C">
        <w:t xml:space="preserve"> (bet. 2001/02:KU15 s. 44 f.). Utskottet redovisade att kulturutskottet nyligen avstyrkt motionsyrkanden om åldersgränserna (bet. 2001/02:KrU8). Kulturutskottet hänvisade till att en ingående genomgång av författningsreglerade åldersgränser gjorts i utredningsbetänkandet Bevakad övergång – Åldersgränser för unga upp till 30 år (SOU 1996:111). Kulturu</w:t>
      </w:r>
      <w:r w:rsidRPr="00515A4C">
        <w:t>t</w:t>
      </w:r>
      <w:r w:rsidRPr="00515A4C">
        <w:t>skottet ville framhålla att frågan om mera enhetliga åldersgränser kompliceras av att uppsatta åldersgränser avser så skilda förhålla</w:t>
      </w:r>
      <w:r w:rsidRPr="00515A4C">
        <w:t>nden som ungas rättigh</w:t>
      </w:r>
      <w:r w:rsidRPr="00515A4C">
        <w:t>e</w:t>
      </w:r>
      <w:r w:rsidRPr="00515A4C">
        <w:t>ter, deras skyldigheter och deras behov av skydd. Att med dessa skilda u</w:t>
      </w:r>
      <w:r w:rsidRPr="00515A4C">
        <w:t>t</w:t>
      </w:r>
      <w:r w:rsidRPr="00515A4C">
        <w:t>gångspunkter fastställa en enda enhetlig åldersgräns torde innebära stora problem. Kulturutskottet var dock medvetet om att ungdomar upplever män</w:t>
      </w:r>
      <w:r w:rsidRPr="00515A4C">
        <w:t>g</w:t>
      </w:r>
      <w:r w:rsidRPr="00515A4C">
        <w:t>den av olika åldersgränser som otillfredsställande och att gränserna ibland kan kännas godtyckligt satta. Gränser som funnits under en längre tid kanske också kan upplevas som otidsenliga, eftersom t.ex. samhällsutveckling och utbildningsväsendets utbyggnad på olika sät</w:t>
      </w:r>
      <w:r w:rsidRPr="00515A4C">
        <w:t>t har påverkat ungdomars mo</w:t>
      </w:r>
      <w:r w:rsidRPr="00515A4C">
        <w:t>g</w:t>
      </w:r>
      <w:r w:rsidRPr="00515A4C">
        <w:t>nad. Åldersgränser som ungdomar kan uppleva som orättvisa och onödiga kan också vara sådana som inte är författningsreglerade utan satta av t.ex. restauranger och andra nöjesarrangörer. Kontakter med branschföreträdare hade tagits från Regeringskansliet, men överläggningarna hade inte lett till att splittringen av åldersgränser för tillträde till restauranger m.m. ändrats. Ku</w:t>
      </w:r>
      <w:r w:rsidRPr="00515A4C">
        <w:t>l</w:t>
      </w:r>
      <w:r w:rsidRPr="00515A4C">
        <w:t xml:space="preserve">turutskottet hänvisade till att regeringen beslutat tillsätta en parlamentarisk kommitté med uppdrag att </w:t>
      </w:r>
      <w:r w:rsidRPr="00515A4C">
        <w:t>arbeta med frågan om en sammanhållen diskrim</w:t>
      </w:r>
      <w:r w:rsidRPr="00515A4C">
        <w:t>i</w:t>
      </w:r>
      <w:r w:rsidRPr="00515A4C">
        <w:t>neringslagstiftning. I uppdraget ingår att lämna förslag till hur bestämmelse</w:t>
      </w:r>
      <w:r w:rsidRPr="00515A4C">
        <w:t>r</w:t>
      </w:r>
      <w:r w:rsidRPr="00515A4C">
        <w:t>na om åldersdiskriminering i EG-direktivet om likabehandling i arbetslivet (2000:78/EG) skall genomföras i Sverige. När det gäller diskriminering</w:t>
      </w:r>
      <w:r w:rsidRPr="00515A4C">
        <w:t>s</w:t>
      </w:r>
      <w:r w:rsidRPr="00515A4C">
        <w:t>grunden ålder skall utredningen kartlägga i vilken utsträckning det finns ett behov av att införa sådan lagstiftning på andra samhällsområden än de omr</w:t>
      </w:r>
      <w:r w:rsidRPr="00515A4C">
        <w:t>å</w:t>
      </w:r>
      <w:r w:rsidRPr="00515A4C">
        <w:t>den som täcks av direktivet om likabehandling i arbetslivet.</w:t>
      </w:r>
    </w:p>
    <w:p w:rsidR="00322A77" w:rsidRPr="00515A4C" w:rsidRDefault="00322A77">
      <w:r w:rsidRPr="00515A4C">
        <w:t xml:space="preserve">Frågan om en </w:t>
      </w:r>
      <w:r w:rsidRPr="00515A4C">
        <w:rPr>
          <w:i/>
        </w:rPr>
        <w:t>samlad ombudsmannamyndighet</w:t>
      </w:r>
      <w:r w:rsidRPr="00515A4C">
        <w:t xml:space="preserve"> behandlades hösten 2000 (bet. 2000/01:KU3). Utskottet framhöll inledningsvis i sin bedömning den särstäl</w:t>
      </w:r>
      <w:r w:rsidRPr="00515A4C">
        <w:t>l</w:t>
      </w:r>
      <w:r w:rsidRPr="00515A4C">
        <w:t>ning som Riksdagens ombudsmän har. Utskottet ansåg inte att det fanns n</w:t>
      </w:r>
      <w:r w:rsidRPr="00515A4C">
        <w:t>å</w:t>
      </w:r>
      <w:r w:rsidRPr="00515A4C">
        <w:t>gon anledning att ifrågasätta JO:s ställning och verksamhet.</w:t>
      </w:r>
    </w:p>
    <w:p w:rsidR="00322A77" w:rsidRPr="00515A4C" w:rsidRDefault="00322A77">
      <w:pPr>
        <w:pStyle w:val="Normaltindrag"/>
      </w:pPr>
      <w:r w:rsidRPr="00515A4C">
        <w:t>När det gällde frågan om att föra ihop de ombudsmän som är underställda regeringen till en ombudsmannaorganisation ansåg utskottet att tiden nu var mogen att utreda frågan. Enligt utskottet borde således en utredning tillsättas med uppgift att un</w:t>
      </w:r>
      <w:r w:rsidRPr="00515A4C">
        <w:t>dersöka om det finns förutsättningar för att slå samman några av eller samtliga dessa ombudsmannainstitutioner till en institution. Frågan om huvudmannaskapet för dessa ombudsmän måste, enligt utskottet, ses i ljuset av de uppgifter ombudsmännen tilldelas. Vad utskottet anfört gavs regeringen till känna (rskr. 2000/01:33–35).</w:t>
      </w:r>
    </w:p>
    <w:p w:rsidR="00322A77" w:rsidRPr="00515A4C" w:rsidRDefault="00322A77">
      <w:pPr>
        <w:pStyle w:val="Normaltindrag"/>
      </w:pPr>
      <w:r w:rsidRPr="00515A4C">
        <w:t>Våren 2002 behandlade utskottet motioner om en sammanhållen diskrim</w:t>
      </w:r>
      <w:r w:rsidRPr="00515A4C">
        <w:t>i</w:t>
      </w:r>
      <w:r w:rsidRPr="00515A4C">
        <w:t>neringsorganisation och om ett MR-ämbete. Utskottet hänvisade till att r</w:t>
      </w:r>
      <w:r w:rsidRPr="00515A4C">
        <w:t>e</w:t>
      </w:r>
      <w:r w:rsidRPr="00515A4C">
        <w:t>geringen beslutat om direktiv till en kommitté som skall utreda frågan om en samlad antidiskrimineringslagstiftning och en samordning eller sammansla</w:t>
      </w:r>
      <w:r w:rsidRPr="00515A4C">
        <w:t>g</w:t>
      </w:r>
      <w:r w:rsidRPr="00515A4C">
        <w:t>ning av ombudsmän (bet. 2001/02:KU15 s. 29 f.). Utskottet konstaterade dock att Barnombudsmannen inte omfattades av kommittédirektiven och föreslog ett tillkännagivande till regeringen om att uppdraget till kommittén skall omfatta samtliga ombudsmän under regeringen. En reservation (s, v</w:t>
      </w:r>
      <w:r w:rsidRPr="00515A4C">
        <w:t>) förelåg. Riksdagen beslutade i enlighet med utskottets förslag (rskr. 2001/02:191). I proposition 2001/02:96 hade regeringen nämnt sin avsikt att i tilläggsdirektiv ge utredningen om en sammanhållen diskrimineringslagstif</w:t>
      </w:r>
      <w:r w:rsidRPr="00515A4C">
        <w:t>t</w:t>
      </w:r>
      <w:r w:rsidRPr="00515A4C">
        <w:t>ning i uppdrag att se över frågan om Barnombudsmannens ställning. – Enligt uppgift från Regeringskansliet beräknas tilläggsdirektiv till utredningen b</w:t>
      </w:r>
      <w:r w:rsidRPr="00515A4C">
        <w:t>e</w:t>
      </w:r>
      <w:r w:rsidRPr="00515A4C">
        <w:t>slutas under våren 2003.</w:t>
      </w:r>
    </w:p>
    <w:p w:rsidR="00322A77" w:rsidRPr="00515A4C" w:rsidRDefault="00322A77">
      <w:pPr>
        <w:pStyle w:val="Rubrik4"/>
        <w:rPr>
          <w:noProof w:val="0"/>
        </w:rPr>
      </w:pPr>
      <w:bookmarkStart w:id="86" w:name="_Toc34039183"/>
      <w:r w:rsidRPr="00515A4C">
        <w:rPr>
          <w:noProof w:val="0"/>
        </w:rPr>
        <w:t>Utredning om en sammanhållen diskrimineringslagstiftning</w:t>
      </w:r>
      <w:bookmarkEnd w:id="86"/>
    </w:p>
    <w:p w:rsidR="00322A77" w:rsidRPr="00515A4C" w:rsidRDefault="00322A77">
      <w:r w:rsidRPr="00515A4C">
        <w:t>Regeringen har den 31 januari 2002 beslutat tillkalla en parlamentarisk ko</w:t>
      </w:r>
      <w:r w:rsidRPr="00515A4C">
        <w:t>m</w:t>
      </w:r>
      <w:r w:rsidRPr="00515A4C">
        <w:t>mitté med uppdrag bl.a. att överväga en gemensam lagstiftning mot diskrim</w:t>
      </w:r>
      <w:r w:rsidRPr="00515A4C">
        <w:t>i</w:t>
      </w:r>
      <w:r w:rsidRPr="00515A4C">
        <w:t>nering som omfattar alla eller flertalet diskrimineringsgrunder och samhäll</w:t>
      </w:r>
      <w:r w:rsidRPr="00515A4C">
        <w:t>s</w:t>
      </w:r>
      <w:r w:rsidRPr="00515A4C">
        <w:t>områden och överväga en samordning eller sammanslagning av några av eller samtliga av Jämställdhetsombudsmannen, Ombudsmannen mot etnisk diskriminering, Handikappombudsmannen och Ombudsmannen mot diskr</w:t>
      </w:r>
      <w:r w:rsidRPr="00515A4C">
        <w:t>i</w:t>
      </w:r>
      <w:r w:rsidRPr="00515A4C">
        <w:t>minering på grund av sexuell läggning, samt om den eller de framtida o</w:t>
      </w:r>
      <w:r w:rsidRPr="00515A4C">
        <w:t>m</w:t>
      </w:r>
      <w:r w:rsidRPr="00515A4C">
        <w:t>budsmannainstitutioner som föreslås skall vara underställda regeringen eller rik</w:t>
      </w:r>
      <w:r w:rsidRPr="00515A4C">
        <w:t>s</w:t>
      </w:r>
      <w:r w:rsidRPr="00515A4C">
        <w:t>dagen.</w:t>
      </w:r>
    </w:p>
    <w:p w:rsidR="00322A77" w:rsidRPr="00515A4C" w:rsidRDefault="00322A77">
      <w:r w:rsidRPr="00515A4C">
        <w:t>I uppdraget ingår att lämna förslag till hur bestämmelserna om åldersdiskr</w:t>
      </w:r>
      <w:r w:rsidRPr="00515A4C">
        <w:t>i</w:t>
      </w:r>
      <w:r w:rsidRPr="00515A4C">
        <w:t>minering i EG-direktivet om likabehandling i arbetslivet (2000/78/EG) skall genomföras i Sverige samt att överväga om ett skydd mot diskriminering av juridiska personer bör införas. Kommittén skall också överväga om lagstif</w:t>
      </w:r>
      <w:r w:rsidRPr="00515A4C">
        <w:t>t</w:t>
      </w:r>
      <w:r w:rsidRPr="00515A4C">
        <w:t>ning mot diskriminering på grund av funktionshinder, sexuell läggning och könstillhörighet skall införas även på de andra områden som omfattas av direktivet 2000/43/EG om likabehandling oavsett ras eller etniskt ursprung än arbetslivsområdet och högskoleområdet. Kommittén skall vidare e</w:t>
      </w:r>
      <w:r w:rsidRPr="00515A4C">
        <w:t>nligt dire</w:t>
      </w:r>
      <w:r w:rsidRPr="00515A4C">
        <w:t>k</w:t>
      </w:r>
      <w:r w:rsidRPr="00515A4C">
        <w:t>tiven överväga om ett liknande skydd mot diskriminering bör införas för samtliga diskrimineringsgrunder på ytterligare något eller några andra sa</w:t>
      </w:r>
      <w:r w:rsidRPr="00515A4C">
        <w:t>m</w:t>
      </w:r>
      <w:r w:rsidRPr="00515A4C">
        <w:t>hällsområden. Beträffande diskrimineringsgrunden ålder skall utredningen kartlägga i vilken utsträckning det finns ett behov av att införa sådan lagstif</w:t>
      </w:r>
      <w:r w:rsidRPr="00515A4C">
        <w:t>t</w:t>
      </w:r>
      <w:r w:rsidRPr="00515A4C">
        <w:t>ning på andra samhällsområden än de områden som täcks av direktivet om likab</w:t>
      </w:r>
      <w:r w:rsidRPr="00515A4C">
        <w:t>e</w:t>
      </w:r>
      <w:r w:rsidRPr="00515A4C">
        <w:t xml:space="preserve">handling i arbetslivet. </w:t>
      </w:r>
    </w:p>
    <w:p w:rsidR="00322A77" w:rsidRPr="00515A4C" w:rsidRDefault="00322A77">
      <w:pPr>
        <w:pStyle w:val="Normaltindrag"/>
      </w:pPr>
      <w:r w:rsidRPr="00515A4C">
        <w:t>I direktiven framhålls att lagen om förbud mot diskriminering i arbetslivet på grund av sexuell lägg</w:t>
      </w:r>
      <w:r w:rsidRPr="00515A4C">
        <w:t>ning har till ändamål att motverka diskriminering i arbetslivet på grund av sexuell läggning. I direktiven framhålls att med sex</w:t>
      </w:r>
      <w:r w:rsidRPr="00515A4C">
        <w:t>u</w:t>
      </w:r>
      <w:r w:rsidRPr="00515A4C">
        <w:t>ell läggning avses homosexuell, bisexuell och heterosexuell läggning och att termen sexuell läggning även förekommer i direktivet om likabehandling i arbetslivet och får anses ha samma innebörd där. Enligt denna definition omfattas inte s.k. transpersoner. Med transpersoner brukar man avse transv</w:t>
      </w:r>
      <w:r w:rsidRPr="00515A4C">
        <w:t>e</w:t>
      </w:r>
      <w:r w:rsidRPr="00515A4C">
        <w:t xml:space="preserve">stiter, transsexuella och andra personer som har en könsidentitet eller ett beteende </w:t>
      </w:r>
      <w:r w:rsidRPr="00515A4C">
        <w:t>som tidvis eller alltid skiljer sig från vad som utifrån stereotypa men utbredda föreställningar kan förväntas beroende på deras biologiska kön. Transsexualism har både inom EG-rätten och i svensk rätt ansetts vara en fråga om könstillhörighet och inte om sexuell läggning. Transsexuella pers</w:t>
      </w:r>
      <w:r w:rsidRPr="00515A4C">
        <w:t>o</w:t>
      </w:r>
      <w:r w:rsidRPr="00515A4C">
        <w:t>ner har därmed redan i dag ett skydd mot diskriminering i arbetslivet genom jämställdhetslagen och lagen om likabehandling av studenter i högskolan. Detta skydd omfattar emellertid inte några andra transpersoner. I dire</w:t>
      </w:r>
      <w:r w:rsidRPr="00515A4C">
        <w:t>ktiven hänvisas till att det under senare år i olika sammanhang, bl.a. i flera rik</w:t>
      </w:r>
      <w:r w:rsidRPr="00515A4C">
        <w:t>s</w:t>
      </w:r>
      <w:r w:rsidRPr="00515A4C">
        <w:t>dagsmotioner, har framförts önskemål om införande av ett särskilt skydd mot diskriminering av transpersoner. Det finns enligt regeringens mening anle</w:t>
      </w:r>
      <w:r w:rsidRPr="00515A4C">
        <w:t>d</w:t>
      </w:r>
      <w:r w:rsidRPr="00515A4C">
        <w:t xml:space="preserve">ning att nu närmare undersöka om det finns behov av att införa ett särskilt skydd mot diskriminering av transpersoner och hur ett sådant skydd i så fall skall utformas. </w:t>
      </w:r>
    </w:p>
    <w:p w:rsidR="00322A77" w:rsidRPr="00515A4C" w:rsidRDefault="00322A77">
      <w:pPr>
        <w:pStyle w:val="Normaltindrag"/>
      </w:pPr>
      <w:r w:rsidRPr="00515A4C">
        <w:t>Kommittén skall, med beaktande av de ställningstaganden och förslag som kommittén lägger fram i övrigt, särsk</w:t>
      </w:r>
      <w:r w:rsidRPr="00515A4C">
        <w:t>ilt överväga om det finns skäl att ersätta straffbestämmelsen om olaga diskriminering med någon annan typ av r</w:t>
      </w:r>
      <w:r w:rsidRPr="00515A4C">
        <w:t>e</w:t>
      </w:r>
      <w:r w:rsidRPr="00515A4C">
        <w:t>glering. Kommittén skall belysa eventuella fördelar och problem med ett ersättande av bestämmelsen samt analysera konsekvenserna av dubbelr</w:t>
      </w:r>
      <w:r w:rsidRPr="00515A4C">
        <w:t>e</w:t>
      </w:r>
      <w:r w:rsidRPr="00515A4C">
        <w:t>glering genom både civilrättslig eller offentligrättslig lagstiftning och straf</w:t>
      </w:r>
      <w:r w:rsidRPr="00515A4C">
        <w:t>f</w:t>
      </w:r>
      <w:r w:rsidRPr="00515A4C">
        <w:t xml:space="preserve">rättslig lagstiftning. </w:t>
      </w:r>
    </w:p>
    <w:p w:rsidR="00322A77" w:rsidRPr="00515A4C" w:rsidRDefault="00322A77">
      <w:pPr>
        <w:pStyle w:val="Normaltindrag"/>
      </w:pPr>
      <w:r w:rsidRPr="00515A4C">
        <w:t>Enligt direktiven har framförts att alltför många specialiserade ombudsmän skulle kunna undergräva den auktoritet som ligger i ombudsmannainstituti</w:t>
      </w:r>
      <w:r w:rsidRPr="00515A4C">
        <w:t>o</w:t>
      </w:r>
      <w:r w:rsidRPr="00515A4C">
        <w:t>nen som sådan och medföra risk för att vissa grupper kan falla mellan de olika ombudsmännens verksamhet. Kommittén skall överväga möjligheterna till och analysera konsekvenserna av en sammanslagning av några eller samtliga av JämO, DO, HO och HomO till en institution eller att samordna dem på något annat sätt. Kommittén skall även överväga om den eller de ombud</w:t>
      </w:r>
      <w:r w:rsidRPr="00515A4C">
        <w:t>s</w:t>
      </w:r>
      <w:r w:rsidRPr="00515A4C">
        <w:t>mannainstitutioner som kommittén lämnar förslag om skall vara underställda regeringen eller riksdagen. I uppdraget ingår också att överväga hur til</w:t>
      </w:r>
      <w:r w:rsidRPr="00515A4C">
        <w:t>lsynen över ett förbud mot diskrimin</w:t>
      </w:r>
      <w:r w:rsidRPr="00515A4C">
        <w:t>e</w:t>
      </w:r>
      <w:r w:rsidRPr="00515A4C">
        <w:t xml:space="preserve">ring på grund av ålder skall utövas. </w:t>
      </w:r>
    </w:p>
    <w:p w:rsidR="00322A77" w:rsidRPr="00515A4C" w:rsidRDefault="00322A77">
      <w:pPr>
        <w:pStyle w:val="Normaltindrag"/>
      </w:pPr>
      <w:r w:rsidRPr="00515A4C">
        <w:t>Från olika håll har det ifrågasatts om de svenska ombudsmän som lyder under regeringen uppfyller de krav på opartiskhet och självständighet som har kommit till uttryck i internationella överenskommelser om organ för skydd av mänskliga rättigheter. I flera riksdagsmotioner, och även från ombudsmännen själva, har det framförts att myndigheter med ombudsmannaansvar bör lyda under riksdagen med tanke på deras särskilda roll som friståend</w:t>
      </w:r>
      <w:r w:rsidRPr="00515A4C">
        <w:t>e och obundna ombudsmann</w:t>
      </w:r>
      <w:r w:rsidRPr="00515A4C">
        <w:t>a</w:t>
      </w:r>
      <w:r w:rsidRPr="00515A4C">
        <w:t>myndigheter. Enligt regeringens mening måste huvudmanna</w:t>
      </w:r>
      <w:r w:rsidRPr="00515A4C">
        <w:softHyphen/>
        <w:t>skapet för ombudsmännen ses i ljuset av de uppgifter ombudsmännen tilld</w:t>
      </w:r>
      <w:r w:rsidRPr="00515A4C">
        <w:t>e</w:t>
      </w:r>
      <w:r w:rsidRPr="00515A4C">
        <w:t xml:space="preserve">las. </w:t>
      </w:r>
    </w:p>
    <w:p w:rsidR="00322A77" w:rsidRPr="00515A4C" w:rsidRDefault="00322A77">
      <w:pPr>
        <w:pStyle w:val="Normaltindrag"/>
      </w:pPr>
      <w:r w:rsidRPr="00515A4C">
        <w:t>Kommittén, som tagit namnet Diskrimineringskommittén (N 2002:6), skall redov</w:t>
      </w:r>
      <w:r w:rsidRPr="00515A4C">
        <w:t>i</w:t>
      </w:r>
      <w:r w:rsidRPr="00515A4C">
        <w:t>sa uppdraget senast den 1 december 2004 (dir. 2002:11).</w:t>
      </w:r>
    </w:p>
    <w:p w:rsidR="00322A77" w:rsidRPr="00515A4C" w:rsidRDefault="00322A77">
      <w:pPr>
        <w:pStyle w:val="Rubrik4"/>
        <w:rPr>
          <w:noProof w:val="0"/>
        </w:rPr>
      </w:pPr>
      <w:bookmarkStart w:id="87" w:name="_Toc34039184"/>
      <w:r w:rsidRPr="00515A4C">
        <w:rPr>
          <w:noProof w:val="0"/>
        </w:rPr>
        <w:t>Utskottets ställningstagande</w:t>
      </w:r>
      <w:bookmarkEnd w:id="87"/>
    </w:p>
    <w:p w:rsidR="00322A77" w:rsidRPr="00515A4C" w:rsidRDefault="00322A77">
      <w:r w:rsidRPr="00515A4C">
        <w:t>Flera motioner tar upp frågan om en utvidgning av det skydd mot diskrimin</w:t>
      </w:r>
      <w:r w:rsidRPr="00515A4C">
        <w:t>e</w:t>
      </w:r>
      <w:r w:rsidRPr="00515A4C">
        <w:t>rande lagstiftning som ges i 2 kap. 15 § regeringsformen till att också omfatta diskriminering på grund av sexuell läggning eller av homosexuella, bisexuella och transpersoner. Riksdagen har nyligen beslutat om ett införande i 1 kap. 2 § regeringsformen av ett skydd mot diskriminering till följd av sexuell läggning. Våren 2002 förklarade sig utskottet inte berett att förorda att en bestämmelse om skydd mot diskriminering på grund av sexuell läggning skulle föras in i 2 kap. regeringsformen. Utskottet vidhå</w:t>
      </w:r>
      <w:r w:rsidRPr="00515A4C">
        <w:t>ller detta ställningst</w:t>
      </w:r>
      <w:r w:rsidRPr="00515A4C">
        <w:t>a</w:t>
      </w:r>
      <w:r w:rsidRPr="00515A4C">
        <w:t>gande och avstyrker motionerna L249 yrkande 8 (fp), K275 (v) och K310 yrkande 2 (fp, s, v, c, mp).</w:t>
      </w:r>
    </w:p>
    <w:p w:rsidR="00322A77" w:rsidRPr="00515A4C" w:rsidRDefault="00322A77">
      <w:pPr>
        <w:pStyle w:val="Normaltindrag"/>
      </w:pPr>
      <w:r w:rsidRPr="00515A4C">
        <w:t>När det gäller frågan om diskriminering på grund av könsidentitet vill u</w:t>
      </w:r>
      <w:r w:rsidRPr="00515A4C">
        <w:t>t</w:t>
      </w:r>
      <w:r w:rsidRPr="00515A4C">
        <w:t>skottet hänvisa till att det i förarbetena till den nyligen beslutade ändringen av 1 kap. 2 § regeringsformen framhållits att uppräkningen av otillåtna diskrim</w:t>
      </w:r>
      <w:r w:rsidRPr="00515A4C">
        <w:t>i</w:t>
      </w:r>
      <w:r w:rsidRPr="00515A4C">
        <w:t>neringsgrunder endast är exemplifierande och inte uttömmande. Det åligger alltså det allmänna att motverka diskriminering även på grund av andra – liknande – osakliga omständigheter som gäller den enskilde som person. Utskottet anser mot denna bakgrund att det inte är nödvändigt med utvidgning av 1 kap. 2 § så att även diskriminering på grund av kön</w:t>
      </w:r>
      <w:r w:rsidRPr="00515A4C">
        <w:t>sidentitet omnämns. Motion K310 yrkande 1 (fp, s, v, c, mp) avstyrks.</w:t>
      </w:r>
    </w:p>
    <w:p w:rsidR="00322A77" w:rsidRPr="00515A4C" w:rsidRDefault="00322A77">
      <w:pPr>
        <w:pStyle w:val="Normaltindrag"/>
        <w:ind w:right="-1"/>
      </w:pPr>
      <w:r w:rsidRPr="00515A4C">
        <w:t>Flertalet övriga frågor som tas upp i motionerna berörs av uppdraget till Diskrimineringskommittén. Kommittén skall sålunda överväga en gemensam lagstiftning mot diskriminering som omfattar alla eller flertalet diskrimin</w:t>
      </w:r>
      <w:r w:rsidRPr="00515A4C">
        <w:t>e</w:t>
      </w:r>
      <w:r w:rsidRPr="00515A4C">
        <w:t>ringsgrunder och samhällsområden och överväga en samordning eller sa</w:t>
      </w:r>
      <w:r w:rsidRPr="00515A4C">
        <w:t>m</w:t>
      </w:r>
      <w:r w:rsidRPr="00515A4C">
        <w:t>manslagning av ombudsmän, dock ej Riksdagens ombudsmän. Frågor som gäller diskrimineringsgrunden sexuell läggning, ett särskilt skydd mot diskr</w:t>
      </w:r>
      <w:r w:rsidRPr="00515A4C">
        <w:t>i</w:t>
      </w:r>
      <w:r w:rsidRPr="00515A4C">
        <w:t>minering av transpersoner och behovet av lagstiftning mot diskriminering på grund av ålder omfattas av kommitténs uppdrag. Enligt utskottets mening bör resultatet av kommitténs arbete inte föregripas. Utskottet är inte heller berett att nu ställa sig bakom ett krav på införande av en minoritetsomb</w:t>
      </w:r>
      <w:r w:rsidRPr="00515A4C">
        <w:t>udsman. Utskottet vill hänvisa till redovisningen i följande avsnitt som visar att det från regeringens sida har vidtagits och aviserats en rad åtgärder för att se till att intentionerna bakom riksdagens beslut om de nationella minoriteterna genomförs och för att sprida information om beslutet. Utskottet är inte berett att därutöver nu förorda inrättandet av en särskild minoritetsombudsman. Motionerna K395 (mp), So444 yrkande 3 (c), Sf289 yrkande 6 (mp), Ju364 yrkande 23 (fp), K241 yrkande 37 (c), Sf334 yrk</w:t>
      </w:r>
      <w:r w:rsidRPr="00515A4C">
        <w:t>ande 43 (kd), A213 yrkande 2 (kd), K280 (m) och K366 (s) avstyrks.</w:t>
      </w:r>
    </w:p>
    <w:p w:rsidR="00322A77" w:rsidRPr="00515A4C" w:rsidRDefault="00322A77">
      <w:r w:rsidRPr="00515A4C">
        <w:t>När det gäller en översyn av lagstiftningen för att undanröja förekomsten av återstående diskriminering i lagstiftningen mot homosexuella, bisexuella och transpersoner vill utskottet hänvisa till att Ombudsmannen mot diskriminering av homosexuella har som uppgift bl.a. att föreslå regeringen åtgärder som kan ha betydelse för att motverka att diskriminering förekommer. Dels sker detta inom ramen för det gängse remissförfarandet, dels gör ombu</w:t>
      </w:r>
      <w:r w:rsidRPr="00515A4C">
        <w:t>dsmannen fra</w:t>
      </w:r>
      <w:r w:rsidRPr="00515A4C">
        <w:t>m</w:t>
      </w:r>
      <w:r w:rsidRPr="00515A4C">
        <w:t>ställningar på eget initiativ. När det gäller transsexualitet har Jämställdhet</w:t>
      </w:r>
      <w:r w:rsidRPr="00515A4C">
        <w:t>s</w:t>
      </w:r>
      <w:r w:rsidRPr="00515A4C">
        <w:t>ombudsmannen motsvarande uppgift på arbetslivsområdet. Utskottet anser mot denna bakgrund att en översyn av hela lagstiftningsområdet i ett sa</w:t>
      </w:r>
      <w:r w:rsidRPr="00515A4C">
        <w:t>m</w:t>
      </w:r>
      <w:r w:rsidRPr="00515A4C">
        <w:t xml:space="preserve">manhang inte är nödvändig. Motion So512 yrkande 5 (fp, s, v, c och mp) avstyrks.  </w:t>
      </w:r>
    </w:p>
    <w:p w:rsidR="00322A77" w:rsidRPr="00515A4C" w:rsidRDefault="00322A77">
      <w:pPr>
        <w:pStyle w:val="Normaltindrag"/>
        <w:ind w:right="-1"/>
      </w:pPr>
      <w:r w:rsidRPr="00515A4C">
        <w:t>Också när det gäller frågan om åtgärder för att motverka heteronormativ</w:t>
      </w:r>
      <w:r w:rsidRPr="00515A4C">
        <w:t>i</w:t>
      </w:r>
      <w:r w:rsidRPr="00515A4C">
        <w:t>tet och att minoriteter utsätts för diskriminering och utanförskap vill utskottet hänvisa till HomO:s uppgifter. Denna ombudsman skall verka för att diskr</w:t>
      </w:r>
      <w:r w:rsidRPr="00515A4C">
        <w:t>i</w:t>
      </w:r>
      <w:r w:rsidRPr="00515A4C">
        <w:t>minering på grund av sexuell läggning inte förekommer. Motion Ub556 y</w:t>
      </w:r>
      <w:r w:rsidRPr="00515A4C">
        <w:t>r</w:t>
      </w:r>
      <w:r w:rsidRPr="00515A4C">
        <w:t>kande 6 (v) a</w:t>
      </w:r>
      <w:r w:rsidRPr="00515A4C">
        <w:t>v</w:t>
      </w:r>
      <w:r w:rsidRPr="00515A4C">
        <w:t xml:space="preserve">styrks följaktligen. </w:t>
      </w:r>
    </w:p>
    <w:p w:rsidR="00322A77" w:rsidRPr="00515A4C" w:rsidRDefault="00322A77">
      <w:pPr>
        <w:pStyle w:val="Rubrik2"/>
      </w:pPr>
      <w:bookmarkStart w:id="88" w:name="_Toc34039185"/>
      <w:r w:rsidRPr="00515A4C">
        <w:t>Nationella minoriteter</w:t>
      </w:r>
      <w:bookmarkEnd w:id="88"/>
    </w:p>
    <w:p w:rsidR="00322A77" w:rsidRPr="00515A4C" w:rsidRDefault="00322A77">
      <w:pPr>
        <w:pStyle w:val="Utskottsfrslagikorthet-Rubrik"/>
        <w:outlineLvl w:val="0"/>
        <w:rPr>
          <w:noProof w:val="0"/>
        </w:rPr>
      </w:pPr>
      <w:r w:rsidRPr="00515A4C">
        <w:rPr>
          <w:noProof w:val="0"/>
        </w:rPr>
        <w:t>Utskottets förslag i korthet</w:t>
      </w:r>
    </w:p>
    <w:p w:rsidR="00322A77" w:rsidRPr="00515A4C" w:rsidRDefault="00322A77">
      <w:pPr>
        <w:pStyle w:val="Utskottsfrslagikorthet-Text"/>
      </w:pPr>
      <w:r w:rsidRPr="00515A4C">
        <w:t>Utskottet avstyrker med hänvisning till tidigare ställningstagande ett motionsyrkande (c) om att de nationella minoriteterna skall o</w:t>
      </w:r>
      <w:r w:rsidRPr="00515A4C">
        <w:t>m</w:t>
      </w:r>
      <w:r w:rsidRPr="00515A4C">
        <w:t>nämnas i regeringsformen. Motionsyrkanden från (c) respektive (s) om minoriteters delaktighet och samrådsförfarande, om fördelning av kulturmedel, om fortsatt reformarbete och om äldreomsorg för den finsktalande minoritetsgruppen avstyrks med hänvisning till vidtagna åtgärder och pågående arbete. Ett motionsyrkande (fp) om utvidgning av det samiska förvaltningsområdet till det sydsamiska området avstyrks med hänvisning till att frågan utreds. Fyra m</w:t>
      </w:r>
      <w:r w:rsidRPr="00515A4C">
        <w:t>o</w:t>
      </w:r>
      <w:r w:rsidRPr="00515A4C">
        <w:t>tionsyrkanden (v och kd, resp. fp, kd samt s) om utvidgni</w:t>
      </w:r>
      <w:r w:rsidRPr="00515A4C">
        <w:t>ng av det finskspråkiga förvaltningsområdet till bl.a. Mälardalsområdet a</w:t>
      </w:r>
      <w:r w:rsidRPr="00515A4C">
        <w:t>v</w:t>
      </w:r>
      <w:r w:rsidRPr="00515A4C">
        <w:t>styrks med hänvisning till pågående överväganden med anledning av en rapport. Med hänvisning till tidigare ställningstagande a</w:t>
      </w:r>
      <w:r w:rsidRPr="00515A4C">
        <w:t>v</w:t>
      </w:r>
      <w:r w:rsidRPr="00515A4C">
        <w:t>styrks ett motionsyrkande (fp) om att alla sverigefinländare skall få status som nationell minoritet. En motion (mp) om ratificering av ILO-konventionen nr 169 avstyrks med hänvisning till tidigare ställningstagande att arbetet i Gränsdragningskommissionen bör avvaktas.</w:t>
      </w:r>
    </w:p>
    <w:p w:rsidR="00322A77" w:rsidRPr="00515A4C" w:rsidRDefault="00322A77">
      <w:pPr>
        <w:pStyle w:val="Utskottsfrslagikorthet-Text"/>
      </w:pPr>
      <w:r w:rsidRPr="00515A4C">
        <w:t>Jämför reservation 15 (fp och mp). Särsk</w:t>
      </w:r>
      <w:r w:rsidRPr="00515A4C">
        <w:t>ilda yttranden 3 (fp, v, c och mp), och 4–5 (fp, kd, v, c, och mp).</w:t>
      </w:r>
    </w:p>
    <w:p w:rsidR="00322A77" w:rsidRPr="00515A4C" w:rsidRDefault="00322A77">
      <w:pPr>
        <w:pStyle w:val="Rubrik4"/>
        <w:rPr>
          <w:noProof w:val="0"/>
        </w:rPr>
      </w:pPr>
      <w:bookmarkStart w:id="89" w:name="_Toc34039186"/>
      <w:r w:rsidRPr="00515A4C">
        <w:rPr>
          <w:noProof w:val="0"/>
        </w:rPr>
        <w:t>Motioner</w:t>
      </w:r>
      <w:bookmarkEnd w:id="89"/>
    </w:p>
    <w:p w:rsidR="00322A77" w:rsidRPr="00515A4C" w:rsidRDefault="00322A77">
      <w:r w:rsidRPr="00515A4C">
        <w:t>Åsa Torstensson (c) begär i motion K264 att de nationella minoriteterna och ursprungsbefolkningen skall nämnas i regeringsformen (yrkande 3). Vidare begärs tillkännagivanden till regeringen om minoriteters delaktighet i dem</w:t>
      </w:r>
      <w:r w:rsidRPr="00515A4C">
        <w:t>o</w:t>
      </w:r>
      <w:r w:rsidRPr="00515A4C">
        <w:t>kratin (yrkande 1) och om minoritetsgruppers möjlighet att utöva sitt självb</w:t>
      </w:r>
      <w:r w:rsidRPr="00515A4C">
        <w:t>e</w:t>
      </w:r>
      <w:r w:rsidRPr="00515A4C">
        <w:t>stämmande exempelvis genom att ta över fördelningen av kulturmedel till de egna institutionerna (yrkande 2). Detta förutsätter ett generöst stöd utan mo</w:t>
      </w:r>
      <w:r w:rsidRPr="00515A4C">
        <w:t>t</w:t>
      </w:r>
      <w:r w:rsidRPr="00515A4C">
        <w:t>svarande krav på insyn och kontroll. I motionen framhålls också att offentliga institutioner bör u</w:t>
      </w:r>
      <w:r w:rsidRPr="00515A4C">
        <w:t>t</w:t>
      </w:r>
      <w:r w:rsidRPr="00515A4C">
        <w:t xml:space="preserve">nyttja samrådsförfarande med minoriteter (yrkande 4). </w:t>
      </w:r>
    </w:p>
    <w:p w:rsidR="00322A77" w:rsidRPr="00515A4C" w:rsidRDefault="00322A77">
      <w:pPr>
        <w:pStyle w:val="Normaltindrag"/>
      </w:pPr>
      <w:r w:rsidRPr="00515A4C">
        <w:t xml:space="preserve">Martin Andreasson (fp) begär i motion K277 att regeringen ges i uppdrag att efter samråd med berörda kommuner och länsstyrelse </w:t>
      </w:r>
      <w:r w:rsidRPr="00515A4C">
        <w:t>samt frivilligorgan</w:t>
      </w:r>
      <w:r w:rsidRPr="00515A4C">
        <w:t>i</w:t>
      </w:r>
      <w:r w:rsidRPr="00515A4C">
        <w:t>sationer lägga fram de lagförslag som behövs för en utvidgning av samiska förvaltningsområdet till några kommuner i det sydsamiska området (yrkande 1). Motionären framhåller att sydsamiskan – som i Sverige har sin ungefärliga utsträckning i Västerbotten, Jämtland och Härjedalen – nu talas av endast ca 500 personer och befinner sig i ett mycket utsatt läge. Det finns en påtaglig risk att språket helt dör ut. I motionen begärs också att regeringen ges i up</w:t>
      </w:r>
      <w:r w:rsidRPr="00515A4C">
        <w:t>p</w:t>
      </w:r>
      <w:r w:rsidRPr="00515A4C">
        <w:t>drag att lägga fram de lagförslag</w:t>
      </w:r>
      <w:r w:rsidRPr="00515A4C">
        <w:t xml:space="preserve"> som behövs för en utvidgning av det fins</w:t>
      </w:r>
      <w:r w:rsidRPr="00515A4C">
        <w:t>k</w:t>
      </w:r>
      <w:r w:rsidRPr="00515A4C">
        <w:t>språkiga förvaltningsområdet till Stockholms- eller Mälardalsregionen (y</w:t>
      </w:r>
      <w:r w:rsidRPr="00515A4C">
        <w:t>r</w:t>
      </w:r>
      <w:r w:rsidRPr="00515A4C">
        <w:t>kande 2). Att inkludera huvudstadsregionen i det finskspråkiga förvaltning</w:t>
      </w:r>
      <w:r w:rsidRPr="00515A4C">
        <w:t>s</w:t>
      </w:r>
      <w:r w:rsidRPr="00515A4C">
        <w:t>området skulle innebära förbättringar för finskspråkiga i kontakten med my</w:t>
      </w:r>
      <w:r w:rsidRPr="00515A4C">
        <w:t>n</w:t>
      </w:r>
      <w:r w:rsidRPr="00515A4C">
        <w:t>digheter, men också vara en markering av stor symbolisk innebörd. Slutligen yrkas att regeringen ges i uppdrag att pröva förutsättningarna för att låta sv</w:t>
      </w:r>
      <w:r w:rsidRPr="00515A4C">
        <w:t>e</w:t>
      </w:r>
      <w:r w:rsidRPr="00515A4C">
        <w:t>rigefinländare oavsett modersmål få status som nationell minoritet i Sverige (yrkande 3). Mo</w:t>
      </w:r>
      <w:r w:rsidRPr="00515A4C">
        <w:t>tionären hänvisar till kriterierna att gruppen har en uttalad samhörighet, inte har en med hänsyn till antalet dominerande ställning och att den har en religiös, språklig, traditionell eller kulturell särart, att den har historiska band med Sverige och att det finns en självidentifikation där den enskilda individen såväl som gruppen har vilja att behålla sin identitet.</w:t>
      </w:r>
    </w:p>
    <w:p w:rsidR="00322A77" w:rsidRPr="00515A4C" w:rsidRDefault="00322A77">
      <w:pPr>
        <w:pStyle w:val="Normaltindrag"/>
      </w:pPr>
      <w:r w:rsidRPr="00515A4C">
        <w:t>I motion K294 av Erling Wälivaara (kd) begärs ett fortsatt reformeringsa</w:t>
      </w:r>
      <w:r w:rsidRPr="00515A4C">
        <w:t>r</w:t>
      </w:r>
      <w:r w:rsidRPr="00515A4C">
        <w:t>bete för att stärka minoritetsspråkens ställning i hela landet. Det är enligt motionen viktigt att minoritetsspråkens ställning även utanför de förval</w:t>
      </w:r>
      <w:r w:rsidRPr="00515A4C">
        <w:t>t</w:t>
      </w:r>
      <w:r w:rsidRPr="00515A4C">
        <w:t>ningsområden som gäller i enlighet med riksdagens beslut stärks. Reforma</w:t>
      </w:r>
      <w:r w:rsidRPr="00515A4C">
        <w:t>r</w:t>
      </w:r>
      <w:r w:rsidRPr="00515A4C">
        <w:t>betet måste enligt motionen genomföras så att det stegvis blir en positiv u</w:t>
      </w:r>
      <w:r w:rsidRPr="00515A4C">
        <w:t>t</w:t>
      </w:r>
      <w:r w:rsidRPr="00515A4C">
        <w:t>veckling i hela landet. Speciellt kommuner med stor invandrartäthet har ett ansvar för utvecklingen. Vidare sägs att Mälardalen, Göteborgs-, Borås- och Olofströmsområdena särskilt bör uppmärksammas eftersom stor</w:t>
      </w:r>
      <w:r w:rsidRPr="00515A4C">
        <w:t>a grupper sverigefinländ</w:t>
      </w:r>
      <w:r w:rsidRPr="00515A4C">
        <w:t>a</w:t>
      </w:r>
      <w:r w:rsidRPr="00515A4C">
        <w:t>re bor i dessa områden.</w:t>
      </w:r>
    </w:p>
    <w:p w:rsidR="00322A77" w:rsidRPr="00515A4C" w:rsidRDefault="00322A77">
      <w:pPr>
        <w:pStyle w:val="Normaltindrag"/>
      </w:pPr>
      <w:r w:rsidRPr="00515A4C">
        <w:t>Paavo Vallius (s) tar i motion K324 också upp frågan om en utvidgning av förvaltningsområdet för finska språket. Med beaktande av Sveriges och Fi</w:t>
      </w:r>
      <w:r w:rsidRPr="00515A4C">
        <w:t>n</w:t>
      </w:r>
      <w:r w:rsidRPr="00515A4C">
        <w:t xml:space="preserve">lands gemensamma historia och det faktum att finskan än i dag är ett levande språk i Sverige är det enligt motionären dags att lyfta fram finskans ställning i Stockholm och Mälardalen. </w:t>
      </w:r>
    </w:p>
    <w:p w:rsidR="00322A77" w:rsidRPr="00515A4C" w:rsidRDefault="00322A77">
      <w:pPr>
        <w:pStyle w:val="Normaltindrag"/>
      </w:pPr>
      <w:r w:rsidRPr="00515A4C">
        <w:t>I motion K391 av Elina Linna m.fl. (v, kd) begärs att det i uppföljningen av lagarna om rätt att använda samiska respektive finska och meänkieli hos förvaltningsmyndigheter och domstolar görs en översyn av begränsningarna i förvaltningsområdena. Motionärerna hänvisar till att 95 % av sverigefinnarna bor uta</w:t>
      </w:r>
      <w:r w:rsidRPr="00515A4C">
        <w:t>n</w:t>
      </w:r>
      <w:r w:rsidRPr="00515A4C">
        <w:t>för förvaltningsområdena, t.ex. i Mälardalen och runt Göteborg.</w:t>
      </w:r>
    </w:p>
    <w:p w:rsidR="00322A77" w:rsidRPr="00515A4C" w:rsidRDefault="00322A77">
      <w:pPr>
        <w:pStyle w:val="Normaltindrag"/>
      </w:pPr>
      <w:r w:rsidRPr="00515A4C">
        <w:t>Paavo Vallius m.fl. (s) begär i motion K420 ett tillkännagivande till r</w:t>
      </w:r>
      <w:r w:rsidRPr="00515A4C">
        <w:t>e</w:t>
      </w:r>
      <w:r w:rsidRPr="00515A4C">
        <w:t>geringen om äldreomsorg för den finsktalande minoritetsgruppen. Motion</w:t>
      </w:r>
      <w:r w:rsidRPr="00515A4C">
        <w:t>ä</w:t>
      </w:r>
      <w:r w:rsidRPr="00515A4C">
        <w:t>rerna anser att de äldre bör få en lagstadgad rätt till finskspråkig äldreomsorg i hela landet, inte bara inom förvaltningsområdet. Det är också viktigt att ge ekonomiskt stöd till ny- eller ombyggnad för dem som vill starta senior- eller äldreboende för finsktalande äldre. Informationsinsatserna till biståndshan</w:t>
      </w:r>
      <w:r w:rsidRPr="00515A4C">
        <w:t>d</w:t>
      </w:r>
      <w:r w:rsidRPr="00515A4C">
        <w:t>läggare i olika kommuner bör öka. Det behövs medel för arbetet för utökad äldreomsorg för finsktalande, utbildning av sverige</w:t>
      </w:r>
      <w:r w:rsidRPr="00515A4C">
        <w:t>finska pensionärer om svensk äldreomsorg samt för temadagar för politiker och tjänstemän om b</w:t>
      </w:r>
      <w:r w:rsidRPr="00515A4C">
        <w:t>e</w:t>
      </w:r>
      <w:r w:rsidRPr="00515A4C">
        <w:t>hovet av finskspråkig äldreomsorg. Organisationen Sverigefinska Pensionärer bör få utse en representant till regeringens pensionärskommitté. Landsting</w:t>
      </w:r>
      <w:r w:rsidRPr="00515A4C">
        <w:t>s</w:t>
      </w:r>
      <w:r w:rsidRPr="00515A4C">
        <w:t>förbundet och Svenska Kommunförbundet har ett stort ansvar när det gäller information om behovet av finskspråkig äldreomsorg, hemsjukvård, rehabil</w:t>
      </w:r>
      <w:r w:rsidRPr="00515A4C">
        <w:t>i</w:t>
      </w:r>
      <w:r w:rsidRPr="00515A4C">
        <w:t>tering, demensutredningar och psykiatrisk vård och när det gäller samarbetet mellan kommuner. Sverigefinska föreningar o</w:t>
      </w:r>
      <w:r w:rsidRPr="00515A4C">
        <w:t>ch andra organisationer bör få projektstöd. Svenska Kommunförbundet och Landstingsförbundet bör ta upp frågan om ökat stöd till Sverigefinska Pensionärers distrikts- och grundorg</w:t>
      </w:r>
      <w:r w:rsidRPr="00515A4C">
        <w:t>a</w:t>
      </w:r>
      <w:r w:rsidRPr="00515A4C">
        <w:t>nisationer och frågan om att dessa skall få utse representanter till kommune</w:t>
      </w:r>
      <w:r w:rsidRPr="00515A4C">
        <w:t>r</w:t>
      </w:r>
      <w:r w:rsidRPr="00515A4C">
        <w:t>nas och landstingens pe</w:t>
      </w:r>
      <w:r w:rsidRPr="00515A4C">
        <w:t>n</w:t>
      </w:r>
      <w:r w:rsidRPr="00515A4C">
        <w:t>sionärsråd.</w:t>
      </w:r>
    </w:p>
    <w:p w:rsidR="00322A77" w:rsidRPr="00515A4C" w:rsidRDefault="00322A77">
      <w:pPr>
        <w:pStyle w:val="Normaltindrag"/>
      </w:pPr>
      <w:r w:rsidRPr="00515A4C">
        <w:t>I motion K421 av Paavo Vallius m.fl. (s) begärs ett tillkännagivande till regeringen om de nationella minoriteternas möjligheter till inflytande och samråd i frågor som berör dem. Motionärerna understryker att den nation</w:t>
      </w:r>
      <w:r w:rsidRPr="00515A4C">
        <w:t>ella minoritetspolitiken berör hela landet och alla samhällsnivåer. Därför är det enligt motionen av stor vikt för politikens konkreta genomförande att beslut</w:t>
      </w:r>
      <w:r w:rsidRPr="00515A4C">
        <w:t>s</w:t>
      </w:r>
      <w:r w:rsidRPr="00515A4C">
        <w:t>fattare på alla samhällsnivåer är väl informerade om innebörden av riksdag</w:t>
      </w:r>
      <w:r w:rsidRPr="00515A4C">
        <w:t>s</w:t>
      </w:r>
      <w:r w:rsidRPr="00515A4C">
        <w:t>beslutet i frågan. Motionärerna anser att minoriteternas organisationer bör garanteras tillräckliga resurser i framtiden för att på jämlika villkor kunna ansvara för uppdraget som intressenter för sina respektive minoritetsgrupper. Vidare anser de att regeringen ansvarar för at</w:t>
      </w:r>
      <w:r w:rsidRPr="00515A4C">
        <w:t>t informationen om innehållet och konsekvenserna av den nationella minoritetspolitiken får genomslag även lokalt och regionalt.</w:t>
      </w:r>
    </w:p>
    <w:p w:rsidR="00322A77" w:rsidRPr="00515A4C" w:rsidRDefault="00322A77">
      <w:r w:rsidRPr="00515A4C">
        <w:t>Åsa Domeij (mp) begär i motion K394 ett förslag till en svensk anslutning till ILO:s konvention 169 om ursprungsfolks rättigheter. Enligt motionen innebär de förberedande steg som tagits att Sverige nu kan ansluta sig till ILO-konventionen. Det finns ingen anledning att invänta pågående och eventuellt tillkommande utredningar med den tid det tar att färdigställa dessa samt ber</w:t>
      </w:r>
      <w:r w:rsidRPr="00515A4C">
        <w:t>e</w:t>
      </w:r>
      <w:r w:rsidRPr="00515A4C">
        <w:t>da en proposition. En sådan ordning skulle innebära att det tar åtta–tio år innan en svensk anslutning skulle kunna komma i fråga. Det bör räcka med den viljeinriktning som Sverige visat när det gäller att lösa återstående frågor.</w:t>
      </w:r>
    </w:p>
    <w:p w:rsidR="00322A77" w:rsidRPr="00515A4C" w:rsidRDefault="00322A77">
      <w:pPr>
        <w:pStyle w:val="Rubrik4"/>
        <w:rPr>
          <w:noProof w:val="0"/>
        </w:rPr>
      </w:pPr>
      <w:bookmarkStart w:id="90" w:name="_Toc34039187"/>
      <w:r w:rsidRPr="00515A4C">
        <w:rPr>
          <w:noProof w:val="0"/>
        </w:rPr>
        <w:t>Bakgrund</w:t>
      </w:r>
      <w:bookmarkEnd w:id="90"/>
    </w:p>
    <w:p w:rsidR="00322A77" w:rsidRPr="00515A4C" w:rsidRDefault="00322A77">
      <w:r w:rsidRPr="00515A4C">
        <w:t>Sverige ratificerade i februari 2000 den europeiska stadgan om landsdels- eller minoritetsspråk (minoritetsspråkskonventionen) och Europarådets ra</w:t>
      </w:r>
      <w:r w:rsidRPr="00515A4C">
        <w:t>m</w:t>
      </w:r>
      <w:r w:rsidRPr="00515A4C">
        <w:t>konventionen om skydd för nationella minoriteter. I minoritetsspråkskonve</w:t>
      </w:r>
      <w:r w:rsidRPr="00515A4C">
        <w:t>n</w:t>
      </w:r>
      <w:r w:rsidRPr="00515A4C">
        <w:t>tionen framhålls bl.a. att skydd och främjande av landsdels- eller minoritet</w:t>
      </w:r>
      <w:r w:rsidRPr="00515A4C">
        <w:t>s</w:t>
      </w:r>
      <w:r w:rsidRPr="00515A4C">
        <w:t>språk i olika länder och regioner i Europa utgör ett viktigt bidrag till uppby</w:t>
      </w:r>
      <w:r w:rsidRPr="00515A4C">
        <w:t>g</w:t>
      </w:r>
      <w:r w:rsidRPr="00515A4C">
        <w:t>gandet av ett Europa som vilar på demokratiska principer och kulturell mån</w:t>
      </w:r>
      <w:r w:rsidRPr="00515A4C">
        <w:t>g</w:t>
      </w:r>
      <w:r w:rsidRPr="00515A4C">
        <w:t>fald inom ramen för nationell suveränitet och territoriell integritet. Minoritet</w:t>
      </w:r>
      <w:r w:rsidRPr="00515A4C">
        <w:t>s</w:t>
      </w:r>
      <w:r w:rsidRPr="00515A4C">
        <w:t>språkskonventionen innehåller bestämmelser om vilka kriterier som ligger till grund för att ett språk skall behandlas som min</w:t>
      </w:r>
      <w:r w:rsidRPr="00515A4C">
        <w:t>oritetsspråk. Kriterierna är att språket skall ha använts av hävd i ett viss territorium inom en stat av medbo</w:t>
      </w:r>
      <w:r w:rsidRPr="00515A4C">
        <w:t>r</w:t>
      </w:r>
      <w:r w:rsidRPr="00515A4C">
        <w:t>gare i staten, att det skall vara annorlunda än det officiella språket och att det talas av tillräckligt många personer. Om språket inte uppfyller kravet på hist</w:t>
      </w:r>
      <w:r w:rsidRPr="00515A4C">
        <w:t>o</w:t>
      </w:r>
      <w:r w:rsidRPr="00515A4C">
        <w:t>risk geografisk anknytning kan det omfattas av vissa av konventionens b</w:t>
      </w:r>
      <w:r w:rsidRPr="00515A4C">
        <w:t>e</w:t>
      </w:r>
      <w:r w:rsidRPr="00515A4C">
        <w:t>stämmelser såsom ett territoriellt obu</w:t>
      </w:r>
      <w:r w:rsidRPr="00515A4C">
        <w:t>n</w:t>
      </w:r>
      <w:r w:rsidRPr="00515A4C">
        <w:t xml:space="preserve">det språk. </w:t>
      </w:r>
    </w:p>
    <w:p w:rsidR="00322A77" w:rsidRPr="00515A4C" w:rsidRDefault="00322A77">
      <w:pPr>
        <w:pStyle w:val="Normaltindrag"/>
      </w:pPr>
      <w:r w:rsidRPr="00515A4C">
        <w:t>Europarådets ramkonvention om skydd för nationella minoriteter, ramko</w:t>
      </w:r>
      <w:r w:rsidRPr="00515A4C">
        <w:t>n</w:t>
      </w:r>
      <w:r w:rsidRPr="00515A4C">
        <w:t>ventionen, är en principdeklaration som skall förverkligas genom nationell lag och lämplig regeringspolitik. Ramkonventionen innehåller inte någon  defin</w:t>
      </w:r>
      <w:r w:rsidRPr="00515A4C">
        <w:t>i</w:t>
      </w:r>
      <w:r w:rsidRPr="00515A4C">
        <w:t>tion på en  nationell minoritet. I artikel 5 framgår endast att nationella  min</w:t>
      </w:r>
      <w:r w:rsidRPr="00515A4C">
        <w:t>o</w:t>
      </w:r>
      <w:r w:rsidRPr="00515A4C">
        <w:t>riteter har en identitet som baseras på religion, språk, traditioner och kultu</w:t>
      </w:r>
      <w:r w:rsidRPr="00515A4C">
        <w:t>r</w:t>
      </w:r>
      <w:r w:rsidRPr="00515A4C">
        <w:t>arv. Konventionens utformning medför att de ratificerande staterna själva kan avgöra vad som kännetecknar en nationell minoritet. Under konventionens tillkomst har det dock framgått att begreppet sy</w:t>
      </w:r>
      <w:r w:rsidRPr="00515A4C">
        <w:t>ftar på grupper med långvarig anknytning till en stat. Ramkonventionen omfattar bestämmelser om skydd för språk samt skydd och stöd för minoritetskulturer, traditioner, kulturarv och religion, vilket är vidare än de områden minoritetsspråkskonventionen tar sikte på. Regeringen framhöll i proposition 1998/99:143 Nationella minorit</w:t>
      </w:r>
      <w:r w:rsidRPr="00515A4C">
        <w:t>e</w:t>
      </w:r>
      <w:r w:rsidRPr="00515A4C">
        <w:t xml:space="preserve">ter i Sverige (s. 43) att följande kriterier borde vara uppfyllda för att en grupp skall betraktas som en nationell minoritet: </w:t>
      </w:r>
    </w:p>
    <w:p w:rsidR="00322A77" w:rsidRPr="00515A4C" w:rsidRDefault="00322A77">
      <w:pPr>
        <w:pStyle w:val="Normaltindrag"/>
      </w:pPr>
      <w:r w:rsidRPr="00515A4C">
        <w:t>Grupp med uttalad samhörighet som till antalet i för</w:t>
      </w:r>
      <w:r w:rsidRPr="00515A4C">
        <w:t>hållande till resten av befolkningen har en icke dominerande ställning i samhället. Gruppbestä</w:t>
      </w:r>
      <w:r w:rsidRPr="00515A4C">
        <w:t>m</w:t>
      </w:r>
      <w:r w:rsidRPr="00515A4C">
        <w:t>ningen kan inte enbart göras efter gruppens numerära antal utan här måste också vägas in och belysas gruppens struktur och sammanhållning.</w:t>
      </w:r>
    </w:p>
    <w:p w:rsidR="00322A77" w:rsidRPr="00515A4C" w:rsidRDefault="00322A77">
      <w:pPr>
        <w:pStyle w:val="Normaltindrag"/>
      </w:pPr>
      <w:r w:rsidRPr="00515A4C">
        <w:t>Religiös, språklig, traditionell och/eller kulturell tillhörighet. Endast ett av de uppräknade särdragen måste föreligga men de särdrag som gruppen uppv</w:t>
      </w:r>
      <w:r w:rsidRPr="00515A4C">
        <w:t>i</w:t>
      </w:r>
      <w:r w:rsidRPr="00515A4C">
        <w:t>sar måste i något väsentligt avseende skilja den från majoriteten.</w:t>
      </w:r>
    </w:p>
    <w:p w:rsidR="00322A77" w:rsidRPr="00515A4C" w:rsidRDefault="00322A77">
      <w:pPr>
        <w:pStyle w:val="Normaltindrag"/>
      </w:pPr>
      <w:r w:rsidRPr="00515A4C">
        <w:t>Självidentifikation. Den enskilde såväl som gruppen skall vilja ha en str</w:t>
      </w:r>
      <w:r w:rsidRPr="00515A4C">
        <w:t>ä</w:t>
      </w:r>
      <w:r w:rsidRPr="00515A4C">
        <w:t>van att behålla sin identitet.</w:t>
      </w:r>
    </w:p>
    <w:p w:rsidR="00322A77" w:rsidRPr="00515A4C" w:rsidRDefault="00322A77">
      <w:pPr>
        <w:pStyle w:val="Normaltindrag"/>
      </w:pPr>
      <w:r w:rsidRPr="00515A4C">
        <w:t>Historiska eller långvariga band med Sverige. Regeringen ansåg inte att det är möjligt att dra någon absolut gräns mätt i år. Regeringens bedömning var dock att endast minoritetsgrupper vars minoritetskultur funnits i Sverige före sekelskiftet uppfyller kravet på historiska och långvariga band.</w:t>
      </w:r>
    </w:p>
    <w:p w:rsidR="00322A77" w:rsidRPr="00515A4C" w:rsidRDefault="00322A77">
      <w:r w:rsidRPr="00515A4C">
        <w:t>De nationella minoriteterna är samer, sverigefinnar, tornedalingar, romer och judar. Lagarna (1999:1175 och 1176) om rätt att använda samiska respektive finska och meänkieli hos förvaltningsmyndigheter och domstolar ger enskilda rätt att använda dessa språk i offentliga sammanhang i de områden där spr</w:t>
      </w:r>
      <w:r w:rsidRPr="00515A4C">
        <w:t>å</w:t>
      </w:r>
      <w:r w:rsidRPr="00515A4C">
        <w:t>ken används av hävd och fortfarande används i tillräcklig omfattning. För samiska omfattas Arjeplogs, Gällivare, Jokkmokks och Kiruna kommuner och för finska och meänkieli Gällivare, Haparanda, Kiruna, Pajala och Öve</w:t>
      </w:r>
      <w:r w:rsidRPr="00515A4C">
        <w:t>r</w:t>
      </w:r>
      <w:r w:rsidRPr="00515A4C">
        <w:t>torneå kommuner. Till följd av de nya lagarna har 6 miljoner kronor avsatts som statsbidrag till kommuner och Landstinget i Norrbottens län för de åli</w:t>
      </w:r>
      <w:r w:rsidRPr="00515A4C">
        <w:t>g</w:t>
      </w:r>
      <w:r w:rsidRPr="00515A4C">
        <w:t>ganden som följer av lagstiftningen. Bestämmelser om fördelningen finns i förordningen (2000:86) om statsbidrag till åtgärder för att stödja an</w:t>
      </w:r>
      <w:r w:rsidRPr="00515A4C">
        <w:t>vändnin</w:t>
      </w:r>
      <w:r w:rsidRPr="00515A4C">
        <w:t>g</w:t>
      </w:r>
      <w:r w:rsidRPr="00515A4C">
        <w:t>en av samiska, finska och meänkieli i kontakter med förvaltningsmyndigheter och domstolar.</w:t>
      </w:r>
    </w:p>
    <w:p w:rsidR="00322A77" w:rsidRPr="00515A4C" w:rsidRDefault="00322A77">
      <w:pPr>
        <w:pStyle w:val="Normaltindrag"/>
      </w:pPr>
      <w:r w:rsidRPr="00515A4C">
        <w:t>I budgetpropositionen för år 2003 (prop. 2002/03:1, utgiftsområde 8) framhålls att inflytandet för de nationella minoriteterna inom minoritetspolit</w:t>
      </w:r>
      <w:r w:rsidRPr="00515A4C">
        <w:t>i</w:t>
      </w:r>
      <w:r w:rsidRPr="00515A4C">
        <w:t>ken är av stor betydelse. Bland annat hålls samrådsmöten med företrädare för regeringen och minoriteternas organisationer. För år 2001 tillfördes organis</w:t>
      </w:r>
      <w:r w:rsidRPr="00515A4C">
        <w:t>a</w:t>
      </w:r>
      <w:r w:rsidRPr="00515A4C">
        <w:t xml:space="preserve">tioner som företräder nationella minoriteter 1 550 000 kr för att stärka deras möjligheter till inflytande i frågor som berör dem. Medlen har använts till bl.a. mötesverksamhet, informationsinsatser samt till åtgärder som syftar till att förbättra kunskaperna i det egna språket. </w:t>
      </w:r>
    </w:p>
    <w:p w:rsidR="00322A77" w:rsidRPr="00515A4C" w:rsidRDefault="00322A77">
      <w:pPr>
        <w:pStyle w:val="Normaltindrag"/>
      </w:pPr>
      <w:r w:rsidRPr="00515A4C">
        <w:t xml:space="preserve">Regeringen har vidare gett Skolverket, Kulturrådet och Folkbildningsrådet i </w:t>
      </w:r>
      <w:r w:rsidRPr="00515A4C">
        <w:t>uppdrag att inom respektive ansvarsområde redovisa hur de nationella min</w:t>
      </w:r>
      <w:r w:rsidRPr="00515A4C">
        <w:t>o</w:t>
      </w:r>
      <w:r w:rsidRPr="00515A4C">
        <w:t>riteternas intressen tillgodoses i olika avseenden. Uppdraget har år 2001 r</w:t>
      </w:r>
      <w:r w:rsidRPr="00515A4C">
        <w:t>e</w:t>
      </w:r>
      <w:r w:rsidRPr="00515A4C">
        <w:t>dovisats i rapporter till regeringen. Rapporterna innehåller förslag till ytterl</w:t>
      </w:r>
      <w:r w:rsidRPr="00515A4C">
        <w:t>i</w:t>
      </w:r>
      <w:r w:rsidRPr="00515A4C">
        <w:t>gare åtgärder. Av Kulturrådets rapport framgår att stora och olika behov finns inom minoriteterna när det gäller språkvård och kulturverksamhet. Det statl</w:t>
      </w:r>
      <w:r w:rsidRPr="00515A4C">
        <w:t>i</w:t>
      </w:r>
      <w:r w:rsidRPr="00515A4C">
        <w:t>ga stödet till litteratur- och kulturtidskrifter ökades med 1 miljon kronor fr.o.m. år 2000 för att särskilt kunna beakta de na</w:t>
      </w:r>
      <w:r w:rsidRPr="00515A4C">
        <w:t>tionella minoriteterna vid fördelning av stödet. Från och med år 2002 tillfördes Kulturrådet 7 miljoner  kronor för ett nytt bidrag för insatser som syftar till att främja de nationella minoriteternas språk och kultur.</w:t>
      </w:r>
    </w:p>
    <w:p w:rsidR="00322A77" w:rsidRPr="00515A4C" w:rsidRDefault="00322A77">
      <w:pPr>
        <w:pStyle w:val="Normaltindrag"/>
      </w:pPr>
      <w:r w:rsidRPr="00515A4C">
        <w:t>Regeringen har vidare gett Ombudsmannen mot diskriminering i uppdrag att under en tvåårsperiod genomföra ett särskilt arbete för att förebygga och motverka diskriminering av romer. Inom Regeringskansliet har en särskild arbetsgrupp inrättats för att samordna frågor inom minoritetspolitiken. F</w:t>
      </w:r>
      <w:r w:rsidRPr="00515A4C">
        <w:t>ör samarbete mellan Sverige och Finland om minoritets- och minoritetsspråk</w:t>
      </w:r>
      <w:r w:rsidRPr="00515A4C">
        <w:t>s</w:t>
      </w:r>
      <w:r w:rsidRPr="00515A4C">
        <w:t>frågor har inrättats en finsk-svensk arbetsgrupp.</w:t>
      </w:r>
    </w:p>
    <w:p w:rsidR="00322A77" w:rsidRPr="00515A4C" w:rsidRDefault="00322A77">
      <w:pPr>
        <w:pStyle w:val="Normaltindrag"/>
      </w:pPr>
      <w:r w:rsidRPr="00515A4C">
        <w:t>En arbetsgrupp vid Länsstyrelsen i Norrbottens län har bildats för att följa i vilken utsträckning lagarna om rätt att använda samiska, finska och meänkieli har använts. Hittills har arbetsgruppen låtit göra en enkätundersökning hos statliga och kommunala förvaltningsmyndigheter samt domstolar i förval</w:t>
      </w:r>
      <w:r w:rsidRPr="00515A4C">
        <w:t>t</w:t>
      </w:r>
      <w:r w:rsidRPr="00515A4C">
        <w:t>ningsområdena för samiska respektive finska och meänkieli. Härutöver skall länsstyrelsen årligen redovisa hur statsbidraget till kommunerna och land</w:t>
      </w:r>
      <w:r w:rsidRPr="00515A4C">
        <w:t>s</w:t>
      </w:r>
      <w:r w:rsidRPr="00515A4C">
        <w:t>tinget fördelats samt vilket resultat uppföljningen av de regionala insatserna och kostnaderna för dessa gett. I budgetpropositionen framhålls att det, för att målet för minoritetspolitiken skall kunna förverkligas, krävs att samtliga nationella minoriteters behov och intressen beaktas i alla delar av landet och på alla nivåer i samhällsförvaltningen. Det gäll</w:t>
      </w:r>
      <w:r w:rsidRPr="00515A4C">
        <w:t>er såväl statliga myndigheter som kommuner och landsting. Åtgärder kommer därför att vidtas för att öka kunskapen om minoritetspolitiken och diskutera politikens konkreta geno</w:t>
      </w:r>
      <w:r w:rsidRPr="00515A4C">
        <w:t>m</w:t>
      </w:r>
      <w:r w:rsidRPr="00515A4C">
        <w:t>förande på olika nivåer i samhällsförvaltningen, särskilt på den kommunala nivån.</w:t>
      </w:r>
    </w:p>
    <w:p w:rsidR="00322A77" w:rsidRPr="00515A4C" w:rsidRDefault="00322A77">
      <w:pPr>
        <w:pStyle w:val="Normaltindrag"/>
      </w:pPr>
      <w:r w:rsidRPr="00515A4C">
        <w:t>I budgetpropositionen framhålls att ett resultat av den nya minoritetspolit</w:t>
      </w:r>
      <w:r w:rsidRPr="00515A4C">
        <w:t>i</w:t>
      </w:r>
      <w:r w:rsidRPr="00515A4C">
        <w:t>ken är en större medvetenhet och kunskap om de nationella minoriteterna både inom minoritetsgrupperna själva och i majoritetssamhället. Minoritete</w:t>
      </w:r>
      <w:r w:rsidRPr="00515A4C">
        <w:t>r</w:t>
      </w:r>
      <w:r w:rsidRPr="00515A4C">
        <w:t>nas ökade möjligheter till inflytande har lett till växande aktiviteter bland minoritetsgrupperna, bl.a. bildandet av sverigefinländarnas delegation som ett organ för den sverigefinländska minoriteten, etablerandet av flera nya romska riksorganisationer och initiativ till ett språkvårdsorgan för meänkieli. Länsst</w:t>
      </w:r>
      <w:r w:rsidRPr="00515A4C">
        <w:t>y</w:t>
      </w:r>
      <w:r w:rsidRPr="00515A4C">
        <w:t>relsen i Norrbottens län skall år 2003 lämna en r</w:t>
      </w:r>
      <w:r w:rsidRPr="00515A4C">
        <w:t>edovisning som särskilt skall inriktas på de enskildas förutsättningar att utnyttja de rättigheter och möjli</w:t>
      </w:r>
      <w:r w:rsidRPr="00515A4C">
        <w:t>g</w:t>
      </w:r>
      <w:r w:rsidRPr="00515A4C">
        <w:t>heter som finns. Denna bör enligt budgetpropositionen kunna lämna ett värd</w:t>
      </w:r>
      <w:r w:rsidRPr="00515A4C">
        <w:t>e</w:t>
      </w:r>
      <w:r w:rsidRPr="00515A4C">
        <w:t>fullt bidrag kring frågor om vilka hinder som eventuellt finns för att den e</w:t>
      </w:r>
      <w:r w:rsidRPr="00515A4C">
        <w:t>n</w:t>
      </w:r>
      <w:r w:rsidRPr="00515A4C">
        <w:t>skilde skall kunna använda minoritetsspråken i kontakt med myndigheter samt hur dessa hinder skall åtgärdas. I budgetpropositionen anges vidare att frågan om en utvidgning av förvaltningsområdet för samiska har tagits upp i olika sammanhang och att Lä</w:t>
      </w:r>
      <w:r w:rsidRPr="00515A4C">
        <w:t>nsstyrelsen i Norrbottens län har i uppdrag att inom ramen för befintliga resurser förutsättningslöst utreda konsekvenserna av en eventuell utvidgning av förvaltningsområdet för samiska så att det omfattar några kommuner inom de södra delarna av det traditionellt samiska språkområdet, det sydsamiska området. Uppdraget skall redovisas senast den 1 mars 2003.</w:t>
      </w:r>
    </w:p>
    <w:p w:rsidR="00322A77" w:rsidRPr="00515A4C" w:rsidRDefault="00322A77">
      <w:pPr>
        <w:pStyle w:val="Normaltindrag"/>
      </w:pPr>
      <w:r w:rsidRPr="00515A4C">
        <w:t xml:space="preserve">Enligt budgetpropositionen har behovet av äldreomsorg på andra språk än svenska uppmärksammats på senare år. I juni 2001 redovisade Socialstyrelsen ett </w:t>
      </w:r>
      <w:r w:rsidRPr="00515A4C">
        <w:t>uppdrag att kartlägga och redovisa hur olika kommuner organiserat och genomfört äldreomsorg för finsktalande. Av rapporten framgår bl.a. att en anpassad äldreomsorg kan erbjudas äldre finsktalande utan att det medför större kostnader. Frågan om vilka åtgärder som skall vidtas med anledning av rapporten övervägs för närvarande inom Regeringskansliet.</w:t>
      </w:r>
    </w:p>
    <w:p w:rsidR="00322A77" w:rsidRPr="00515A4C" w:rsidRDefault="00322A77">
      <w:pPr>
        <w:pStyle w:val="Normaltindrag"/>
      </w:pPr>
      <w:r w:rsidRPr="00515A4C">
        <w:t>Enligt budgetpropositionen bör det göras ett fortsatt arbete för utvärdering av insatserna inom ramen för minoritetspolitiken. När det gäller de regionala insat</w:t>
      </w:r>
      <w:r w:rsidRPr="00515A4C">
        <w:t>serna är det angeläget att få kunskap om de enskildas förutsättningar att utnyttja de rättigheter och möjligheter som lagstiftningen medför.</w:t>
      </w:r>
    </w:p>
    <w:p w:rsidR="00322A77" w:rsidRPr="00515A4C" w:rsidRDefault="00322A77">
      <w:pPr>
        <w:pStyle w:val="Normaltindrag"/>
      </w:pPr>
      <w:r w:rsidRPr="00515A4C">
        <w:t>En gemensam finsk-svensk arbetsgrupp för minoritets- och minoritet</w:t>
      </w:r>
      <w:r w:rsidRPr="00515A4C">
        <w:t>s</w:t>
      </w:r>
      <w:r w:rsidRPr="00515A4C">
        <w:t>språksfrågor tillsattes i juni 2001 som ett forum för dialog och erfarenhetsu</w:t>
      </w:r>
      <w:r w:rsidRPr="00515A4C">
        <w:t>t</w:t>
      </w:r>
      <w:r w:rsidRPr="00515A4C">
        <w:t>byte, där olika problem kan identifieras och förslag till lösningar läggas fram. Sverige har haft ordförandeskapet under det första verksamhetsåret (1 juli 2001–30 juni 2002). I en rapport den 16 september 2002 från det första ver</w:t>
      </w:r>
      <w:r w:rsidRPr="00515A4C">
        <w:t>k</w:t>
      </w:r>
      <w:r w:rsidRPr="00515A4C">
        <w:t>samhetsåret anges ett antal frågeområden som behöver belysas och utvecklas. Det gäller bl.a. former för inflytande för minoriteterna, kulturaktiviteter av olika slag, äldreomsorg samt informationsinsats</w:t>
      </w:r>
      <w:r w:rsidRPr="00515A4C">
        <w:t>er för att öka kunskapen om nationella minoriteter och minoritetsspråk. För att målen och syftet med pol</w:t>
      </w:r>
      <w:r w:rsidRPr="00515A4C">
        <w:t>i</w:t>
      </w:r>
      <w:r w:rsidRPr="00515A4C">
        <w:t>tiken skall få genomslag krävs enligt rapporten kunskap och förståelse för minoriteternas kultur och språk hos befolkningen i övrigt. Det krävs också kunskap om minoriteterna och minoritetspolitiken på alla nivåer i samhäll</w:t>
      </w:r>
      <w:r w:rsidRPr="00515A4C">
        <w:t>s</w:t>
      </w:r>
      <w:r w:rsidRPr="00515A4C">
        <w:t>förvaltningen. Här har arbetsgruppen kunnat konstatera att det fortfarande finns stora brister även om betydande ansträngningar görs. Enligt arbetsgru</w:t>
      </w:r>
      <w:r w:rsidRPr="00515A4C">
        <w:t>p</w:t>
      </w:r>
      <w:r w:rsidRPr="00515A4C">
        <w:t>pens mening bör ytterligare åtgä</w:t>
      </w:r>
      <w:r w:rsidRPr="00515A4C">
        <w:t>rder vidtas för att öka kunskapen både hos majoritetsbefolkningen och hos myndigheterna. Särskilt när det gäller de kommunala myndigheterna behövs åtgärder för att minoritetspolitikens mål skall få genomslag. Arbetsgruppen föreslog att dessa frågor ges hög prioritet i det for</w:t>
      </w:r>
      <w:r w:rsidRPr="00515A4C">
        <w:t>t</w:t>
      </w:r>
      <w:r w:rsidRPr="00515A4C">
        <w:t xml:space="preserve">satta arbetet. </w:t>
      </w:r>
    </w:p>
    <w:p w:rsidR="00322A77" w:rsidRPr="00515A4C" w:rsidRDefault="00322A77">
      <w:pPr>
        <w:pStyle w:val="Normaltindrag"/>
      </w:pPr>
      <w:r w:rsidRPr="00515A4C">
        <w:t>Arbetsgruppen konstaterade vidare att den största delen av sverigefinnarna lever i sådana delar av Sverige som inte omfattas av den särskilda minoritet</w:t>
      </w:r>
      <w:r w:rsidRPr="00515A4C">
        <w:t>s</w:t>
      </w:r>
      <w:r w:rsidRPr="00515A4C">
        <w:t>språkslagstiftningen, bl.a. Mälardalen. Att lagstiftningen inte omfattar dessa områden upplevs av sverigefinnarna själva som en klar brist. Å andra sidan ges konkreta exempel på ett tilltagande intresse för finska och finsk kultur i dessa delar av Sverige. Ett sådant exempel är grundandet av ett finskt språk- och kulturcentrum vid Mälardalens högskola, som tillkommit på regionalt och lokalt initiativ. Arbetsgruppen ansåg mot denna bakgrund att det finns skäl att överväga förutsättningarna för och konsekven</w:t>
      </w:r>
      <w:r w:rsidRPr="00515A4C">
        <w:t>serna av att utvidga lagstif</w:t>
      </w:r>
      <w:r w:rsidRPr="00515A4C">
        <w:t>t</w:t>
      </w:r>
      <w:r w:rsidRPr="00515A4C">
        <w:t>ningen om rätt att använda finska hos förvaltningsmyndigheter och domstolar till vissa områden utanför det nuvarande förvaltning</w:t>
      </w:r>
      <w:r w:rsidRPr="00515A4C">
        <w:t>s</w:t>
      </w:r>
      <w:r w:rsidRPr="00515A4C">
        <w:t>området.</w:t>
      </w:r>
    </w:p>
    <w:p w:rsidR="00322A77" w:rsidRPr="00515A4C" w:rsidRDefault="00322A77">
      <w:pPr>
        <w:pStyle w:val="Normaltindrag"/>
      </w:pPr>
      <w:r w:rsidRPr="00515A4C">
        <w:t>En fråga som arbetsgruppen särskilt diskuterade gäller möjligheten att a</w:t>
      </w:r>
      <w:r w:rsidRPr="00515A4C">
        <w:t>n</w:t>
      </w:r>
      <w:r w:rsidRPr="00515A4C">
        <w:t>ordna äldreomsorg anpassad för finsktalande. Arbetsgruppen noterade att det av en rapport från Socialstyrelsen bl.a. framgår att en anpassad äldreomsorg kan genomföras utan att det medför större kostnader. Arbetsgruppen ansåg att resultaten av Socialstyrelsens kartläggning borde följas upp och spridas till kommune</w:t>
      </w:r>
      <w:r w:rsidRPr="00515A4C">
        <w:t>r</w:t>
      </w:r>
      <w:r w:rsidRPr="00515A4C">
        <w:t>na.</w:t>
      </w:r>
    </w:p>
    <w:p w:rsidR="00322A77" w:rsidRPr="00515A4C" w:rsidRDefault="00322A77">
      <w:r w:rsidRPr="00515A4C">
        <w:t>I mars 1999 överlämnade Utredningen om ILO:s konvention nr 169 till r</w:t>
      </w:r>
      <w:r w:rsidRPr="00515A4C">
        <w:t>e</w:t>
      </w:r>
      <w:r w:rsidRPr="00515A4C">
        <w:t>geringen sitt betänkande Samerna – ett ursprungsfolk i Sverige. Frågan om Sveriges anslutning till ILO:s konvention nr 169 (SOU 1999:25). Utredaren bedömde att Sverige kan ansluta sig till ILO:s konvention nr 169, men att detta inte bör ske förrän ett antal åtgärder som rör samernas rätt till mark blivit genomförda, en process som beräknades ta fem år. För det första måste den mark som samerna har rättigheter till enligt konventionen identifieras och en gränsdragningskommission borde tillsättas. För det an</w:t>
      </w:r>
      <w:r w:rsidRPr="00515A4C">
        <w:t>dra måste omfat</w:t>
      </w:r>
      <w:r w:rsidRPr="00515A4C">
        <w:t>t</w:t>
      </w:r>
      <w:r w:rsidRPr="00515A4C">
        <w:t>ningen av samernas jakt- och fiskerätt inom den mark som de traditionellt innehar klarläggas. När dessa frågor klarats ut kan andra åtgärder vidtas för att samernas rättigheter skall nå upp till den nivå som konventionen kräver. Det är framför allt fråga om åtgärder för att ge samerna ett stärkt skydd mot inskränkningar i renskötselrätten, åtgärder för att säkerställa att samerna har tillräckligt med mark för att kunna fortsätta att bedriva rennäring, införande av möjlighet till ersättning f</w:t>
      </w:r>
      <w:r w:rsidRPr="00515A4C">
        <w:t>rån staten för rättegångskostnader i principiellt viktiga mål rörande samernas markrättigheter samt genomförandet av en nationell informationskampanj om samerna som ursprungsfolk och om den samiska kulturen. Enligt utredningen behövdes också en nationell inform</w:t>
      </w:r>
      <w:r w:rsidRPr="00515A4C">
        <w:t>a</w:t>
      </w:r>
      <w:r w:rsidRPr="00515A4C">
        <w:t>tionskampanj som klargör vad en svensk anslutning skulle innebära för berö</w:t>
      </w:r>
      <w:r w:rsidRPr="00515A4C">
        <w:t>r</w:t>
      </w:r>
      <w:r w:rsidRPr="00515A4C">
        <w:t>da parter. Utredaren rekommenderade att det borde tas under övervägande om inte åtgärderna kunde anses så angelägna att de borde genomföras oavsett om en ratificering ko</w:t>
      </w:r>
      <w:r w:rsidRPr="00515A4C">
        <w:t>m</w:t>
      </w:r>
      <w:r w:rsidRPr="00515A4C">
        <w:t>mer t</w:t>
      </w:r>
      <w:r w:rsidRPr="00515A4C">
        <w:t>ill stånd eller inte.</w:t>
      </w:r>
    </w:p>
    <w:p w:rsidR="00322A77" w:rsidRPr="00515A4C" w:rsidRDefault="00322A77">
      <w:pPr>
        <w:pStyle w:val="Normaltindrag"/>
      </w:pPr>
      <w:r w:rsidRPr="00515A4C">
        <w:t>Regeringen beslutade den 24 januari 2002 om direktiv för en gränsdra</w:t>
      </w:r>
      <w:r w:rsidRPr="00515A4C">
        <w:t>g</w:t>
      </w:r>
      <w:r w:rsidRPr="00515A4C">
        <w:t>ningskommission (dir. 2002:7). Sammanfattningsvis innebär uppdraget att kommissionen skall utreda omfattningen av den mark där renskötselrätten föreligger. I uppdraget ingår att fastställa i vilken omfattning som samerna, såsom det anges i ILO:s konvention nr 169 om ursprungsfolk och stamfolk i självstyrande länder, traditionellt innehar mark respektive nyttjar mark til</w:t>
      </w:r>
      <w:r w:rsidRPr="00515A4C">
        <w:t>l</w:t>
      </w:r>
      <w:r w:rsidRPr="00515A4C">
        <w:t>sammans med andra. Gränsdragningskommissionen (Jo 2002:01) skall red</w:t>
      </w:r>
      <w:r w:rsidRPr="00515A4C">
        <w:t>o</w:t>
      </w:r>
      <w:r w:rsidRPr="00515A4C">
        <w:t>visa sitt arbete till regeringen senast den 31 december 2004.</w:t>
      </w:r>
    </w:p>
    <w:p w:rsidR="00322A77" w:rsidRPr="00515A4C" w:rsidRDefault="00322A77">
      <w:pPr>
        <w:pStyle w:val="Normaltindrag"/>
      </w:pPr>
      <w:r w:rsidRPr="00515A4C">
        <w:t xml:space="preserve">För en </w:t>
      </w:r>
      <w:r w:rsidRPr="00515A4C">
        <w:t>informationssatsning om samerna har beviljats projektmedel på ca 6,5 miljoner kronor till 30 projekt. Regeringen har gett Sametinget i uppdrag att utveckla och etablera ett permanent nationellt informationscentrum för sam</w:t>
      </w:r>
      <w:r w:rsidRPr="00515A4C">
        <w:t>e</w:t>
      </w:r>
      <w:r w:rsidRPr="00515A4C">
        <w:t>frågor.</w:t>
      </w:r>
    </w:p>
    <w:p w:rsidR="00322A77" w:rsidRPr="00515A4C" w:rsidRDefault="00322A77">
      <w:pPr>
        <w:pStyle w:val="Rubrik4"/>
        <w:rPr>
          <w:noProof w:val="0"/>
        </w:rPr>
      </w:pPr>
      <w:bookmarkStart w:id="91" w:name="_Toc34039188"/>
      <w:r w:rsidRPr="00515A4C">
        <w:rPr>
          <w:noProof w:val="0"/>
        </w:rPr>
        <w:t>Tidigare behandling</w:t>
      </w:r>
      <w:bookmarkEnd w:id="91"/>
    </w:p>
    <w:p w:rsidR="00322A77" w:rsidRPr="00515A4C" w:rsidRDefault="00322A77">
      <w:r w:rsidRPr="00515A4C">
        <w:t>Våren 2002 behandlade utskottet motionsyrkanden motsvarande motion K264 yrkandena 1 och 2 (c) om tillkännagivanden till regeringen om minoriteters delaktighet och självbestämmande i demokratin (bet. 2001/02:KU15 s. 58). Utskottet hänvisade till att det från regeringens sida vidtagits en rad åtgärder i syfte att stärka dessa gruppers möjligheter till inflytande i frågor som rör dem och till att det i den nationella handlingsplanen för mänskliga rättigheter diskuterades ytterligare åtgärder. Enligt utskottet</w:t>
      </w:r>
      <w:r w:rsidRPr="00515A4C">
        <w:t>s mening saknades anledning att göra ett tillkännagivande till regeringen i dessa avseenden. Motionsyrka</w:t>
      </w:r>
      <w:r w:rsidRPr="00515A4C">
        <w:t>n</w:t>
      </w:r>
      <w:r w:rsidRPr="00515A4C">
        <w:t xml:space="preserve">dena avstyrktes. </w:t>
      </w:r>
    </w:p>
    <w:p w:rsidR="00322A77" w:rsidRPr="00515A4C" w:rsidRDefault="00322A77">
      <w:pPr>
        <w:pStyle w:val="Normaltindrag"/>
      </w:pPr>
      <w:r w:rsidRPr="00515A4C">
        <w:t>När det gäller frågan om omnämnande av de nationella minoriteterna och ursprungsbefolkningen i regeringsformen ville utskottet i likhet med tidigare ställningstaganden i fråga om samerna hänvisa till det grundlagsskydd som finns. Ett sådant skydd finns dels i 1 kap. 2 § regeringsformen där det för</w:t>
      </w:r>
      <w:r w:rsidRPr="00515A4C">
        <w:t>e</w:t>
      </w:r>
      <w:r w:rsidRPr="00515A4C">
        <w:t>skrivs att etniska, språkliga och religiösa minoriteters möjligheter att behålla och utveckla ett eget kultur- och samfundsliv bör främjas, dels i 2 kap. 20 § andra stycket som föreskriver att samernas rätt att bedriva renskötsel regleras i lag. Ett motionsyrkande motsvarande K264 yrkande 3 avstyrktes.</w:t>
      </w:r>
    </w:p>
    <w:p w:rsidR="00322A77" w:rsidRPr="00515A4C" w:rsidRDefault="00322A77">
      <w:pPr>
        <w:pStyle w:val="Normaltindrag"/>
      </w:pPr>
      <w:r w:rsidRPr="00515A4C">
        <w:t>Utskottet ansåg inte heller att det behövdes ett tillkännagivande till rege</w:t>
      </w:r>
      <w:r w:rsidRPr="00515A4C">
        <w:t>r</w:t>
      </w:r>
      <w:r w:rsidRPr="00515A4C">
        <w:t>ingen om ett systematiskt arbete från politiska institutioners sida för att tillv</w:t>
      </w:r>
      <w:r w:rsidRPr="00515A4C">
        <w:t>a</w:t>
      </w:r>
      <w:r w:rsidRPr="00515A4C">
        <w:t>rata minoriteters synpunkter. Utskottet hänvisade till att det på regeringsnivå redan pågår ett sådant arbete bl.a. genom de återkommande sammanträffa</w:t>
      </w:r>
      <w:r w:rsidRPr="00515A4C">
        <w:t>n</w:t>
      </w:r>
      <w:r w:rsidRPr="00515A4C">
        <w:t>den som förekommer mellan företrädare för minoritetsorganisationer och ansvarigt statsråd. Behovet av insatser från regeringens sida för att uppmär</w:t>
      </w:r>
      <w:r w:rsidRPr="00515A4C">
        <w:t>k</w:t>
      </w:r>
      <w:r w:rsidRPr="00515A4C">
        <w:t>samma kommunerna på intresset av samrådsförfarande kan naturligen komma upp i dessa sammanhang. Det fanns enligt utskottet inte an</w:t>
      </w:r>
      <w:r w:rsidRPr="00515A4C">
        <w:t>ledning att anta annat än att åtgärder i möjligaste mån kommer att vidtas för att komma till rätta med de brister som då uppmärksammas. Ett motionsyrkande motsvara</w:t>
      </w:r>
      <w:r w:rsidRPr="00515A4C">
        <w:t>n</w:t>
      </w:r>
      <w:r w:rsidRPr="00515A4C">
        <w:t>de K264 yrkande 4 avstyrktes.</w:t>
      </w:r>
    </w:p>
    <w:p w:rsidR="00322A77" w:rsidRPr="00515A4C" w:rsidRDefault="00322A77">
      <w:pPr>
        <w:pStyle w:val="Normaltindrag"/>
      </w:pPr>
      <w:r w:rsidRPr="00515A4C">
        <w:t>Utskottet avstyrkte också ett motionsyrkande (kd) om fortsatta insatser för att stärka minoritetsspråkens ställning med hänvisning till att en rad åtgärder vidtagits i form av bl.a. medel för att främja språk och kultur, utbildningsi</w:t>
      </w:r>
      <w:r w:rsidRPr="00515A4C">
        <w:t>n</w:t>
      </w:r>
      <w:r w:rsidRPr="00515A4C">
        <w:t>satser och insatser i radio och TV samt en undersökning om konsekvenserna av att utvidga det geografiska området för rätten att använda samiska hos förvaltningsmyndigheter och domstolar till även några kommuner inom det sydsamiska området.</w:t>
      </w:r>
    </w:p>
    <w:p w:rsidR="00322A77" w:rsidRPr="00515A4C" w:rsidRDefault="00322A77">
      <w:pPr>
        <w:pStyle w:val="Normaltindrag"/>
      </w:pPr>
      <w:r w:rsidRPr="00515A4C">
        <w:t>I samband med behandlingen av regeringens proposition Nationella min</w:t>
      </w:r>
      <w:r w:rsidRPr="00515A4C">
        <w:t>o</w:t>
      </w:r>
      <w:r w:rsidRPr="00515A4C">
        <w:t>riteter hösten 1999 avstyrkte utskottet en motion (c) om att termen sverigefi</w:t>
      </w:r>
      <w:r w:rsidRPr="00515A4C">
        <w:t>n</w:t>
      </w:r>
      <w:r w:rsidRPr="00515A4C">
        <w:t>nar borde ändras till sverigefinländare och om att det vid ratificeringen klart borde yttras att även finlandssvenskarna i Sverige anses ingå i den sverig</w:t>
      </w:r>
      <w:r w:rsidRPr="00515A4C">
        <w:t>e</w:t>
      </w:r>
      <w:r w:rsidRPr="00515A4C">
        <w:t>finska eller kanske hellre sverigefinländska minoriteten (prop. 1998/99:143, bet. 1999/2000:KU6 s. 22). Utskottet  framhöll att den minoritet i Sverige som har anknytning till Finland innefattar en grupp med finska som moder</w:t>
      </w:r>
      <w:r w:rsidRPr="00515A4C">
        <w:t>s</w:t>
      </w:r>
      <w:r w:rsidRPr="00515A4C">
        <w:t>mål och en grupp med svenska som modersmål. När uttry</w:t>
      </w:r>
      <w:r w:rsidRPr="00515A4C">
        <w:t>cket sverigefinnar brukades i propositionen åsyftades såvitt framgick personer som har finska som modersmål. Den finländska grupp som har svenska som modersmål åsyftades med andra ord inte. Mot bakgrund av de ändamål som minoritet</w:t>
      </w:r>
      <w:r w:rsidRPr="00515A4C">
        <w:t>s</w:t>
      </w:r>
      <w:r w:rsidRPr="00515A4C">
        <w:t>språkskonventionen skall tjäna var detta enligt utskottet följdriktigt. Enligt den bedömning som framgick av regeringens proposition tillhör den i första hand svensktalande gruppen inte heller dem som bör anses omfattade av åtagandena enligt ramkonventionen. Utskottet gjorde i des</w:t>
      </w:r>
      <w:r w:rsidRPr="00515A4C">
        <w:t>sa avseenden inte någon annan bedömning än den som låg till grund för propositionen. Därav följde emellertid inte att den finlandssvenska minoritetsgruppen i Sverige inte skulle kunna få del av åtgärder som enligt propositionen skulle vidtas för dem som i propositionen omtalades som sverigefi</w:t>
      </w:r>
      <w:r w:rsidRPr="00515A4C">
        <w:t>n</w:t>
      </w:r>
      <w:r w:rsidRPr="00515A4C">
        <w:t>nar.</w:t>
      </w:r>
    </w:p>
    <w:p w:rsidR="00322A77" w:rsidRPr="00515A4C" w:rsidRDefault="00322A77">
      <w:pPr>
        <w:pStyle w:val="Normaltindrag"/>
      </w:pPr>
      <w:r w:rsidRPr="00515A4C">
        <w:t>I samma betänkande avstyrkte utskottet en motion om finskspråkig äldr</w:t>
      </w:r>
      <w:r w:rsidRPr="00515A4C">
        <w:t>e</w:t>
      </w:r>
      <w:r w:rsidRPr="00515A4C">
        <w:t>omsorg i samband med behandlingen av regeringens proposition Nationella minoriteter i Sverige (prop. 1998/99:143, bet. 1999/2000:KU6, s. 45 f.). Vad särskilt gäller den finskspråkiga minoriteten konstaterades i ett yttrande från socialförsäkringsutskottet att den är den största minoriteten i Sverige. Sver</w:t>
      </w:r>
      <w:r w:rsidRPr="00515A4C">
        <w:t>i</w:t>
      </w:r>
      <w:r w:rsidRPr="00515A4C">
        <w:t>gefinnarna bor relativt koncentrerat till vissa orter i landet och utgör ett sådant antal att det borde finnas goda möjligheter att erbjuda äldreomsorg på finska till en inte alltför stor kostnad. Dessuto</w:t>
      </w:r>
      <w:r w:rsidRPr="00515A4C">
        <w:t>m angavs att situationen är sådan att det inom en kort tid kunde förväntas finnas ett stort antal äldre finsktalande som är i behov av äldreomsorg. Socialförsäkringsutskottet såg därför positivt på att regeringen avsåg att ge Socialstyrelsen i uppdrag att kartlägga äldreo</w:t>
      </w:r>
      <w:r w:rsidRPr="00515A4C">
        <w:t>m</w:t>
      </w:r>
      <w:r w:rsidRPr="00515A4C">
        <w:t>sorgen för finsktalande i kommuner med ett stort antal äldre som använder finska. Socialförsäkringsutskottet ansåg dock inte att något tillkännagivande borde föreslås. Konstitutionsutskottet, som delade socialförsäkringsutskottets uppfattn</w:t>
      </w:r>
      <w:r w:rsidRPr="00515A4C">
        <w:t>ing, framhöll att kommunerna skall kunna erbjuda alla medborgare en god äldrevård, vilket kan innebära att de äldre bemöts på sitt eget språk. Inte minst när det gäller de nationella minoritetsspråken framstod det enligt u</w:t>
      </w:r>
      <w:r w:rsidRPr="00515A4C">
        <w:t>t</w:t>
      </w:r>
      <w:r w:rsidRPr="00515A4C">
        <w:t>skottet som naturligt att noga ge akt på de behov som visar sig. I en reserv</w:t>
      </w:r>
      <w:r w:rsidRPr="00515A4C">
        <w:t>a</w:t>
      </w:r>
      <w:r w:rsidRPr="00515A4C">
        <w:t>tion (fp) framhölls att ett kommittéförslag om rikstäckande åtgärder som gäller äldreomsorg och som skulle stödja initiativ inom det sydsamiska omr</w:t>
      </w:r>
      <w:r w:rsidRPr="00515A4C">
        <w:t>å</w:t>
      </w:r>
      <w:r w:rsidRPr="00515A4C">
        <w:t>det borde tas upp till förnyad b</w:t>
      </w:r>
      <w:r w:rsidRPr="00515A4C">
        <w:t>e</w:t>
      </w:r>
      <w:r w:rsidRPr="00515A4C">
        <w:t>dömning.</w:t>
      </w:r>
    </w:p>
    <w:p w:rsidR="00322A77" w:rsidRPr="00515A4C" w:rsidRDefault="00322A77">
      <w:r w:rsidRPr="00515A4C">
        <w:t>I betänkande 2001/02:K</w:t>
      </w:r>
      <w:r w:rsidRPr="00515A4C">
        <w:t>U15 avstyrkte utskottet ett motionsyrkande (fp) om att ILO-konventionen skall ratificeras (s. 61 f.) Utskottet vidhöll sitt stäl</w:t>
      </w:r>
      <w:r w:rsidRPr="00515A4C">
        <w:t>l</w:t>
      </w:r>
      <w:r w:rsidRPr="00515A4C">
        <w:t xml:space="preserve">ningstagande från föregående riksmöte (bet. 2000/01:K14), vari en motion i frågan avstyrkts med hänvisning till att Utredningen om ILO-konvention 169 bedömt att Sverige inte bör ansluta sig till ILO-konventionen förrän ett antal åtgärder som rör samernas mark blivit genomförda, bl.a. måste den mark som samerna har rättigheter till enligt konventionen identifieras genom försorg av </w:t>
      </w:r>
      <w:r w:rsidRPr="00515A4C">
        <w:t>en gränsdragningskommission. Enligt utskottets mening borde resultatet av kommissionens arbete avvaktas. I en reservation (fp, mp) begärdes ett tillkä</w:t>
      </w:r>
      <w:r w:rsidRPr="00515A4C">
        <w:t>n</w:t>
      </w:r>
      <w:r w:rsidRPr="00515A4C">
        <w:t>nagivande till regeringen om att ILO-konvention 169 bör ratif</w:t>
      </w:r>
      <w:r w:rsidRPr="00515A4C">
        <w:t>i</w:t>
      </w:r>
      <w:r w:rsidRPr="00515A4C">
        <w:t>ceras.</w:t>
      </w:r>
    </w:p>
    <w:p w:rsidR="00322A77" w:rsidRPr="00515A4C" w:rsidRDefault="00322A77">
      <w:pPr>
        <w:pStyle w:val="Rubrik4"/>
        <w:rPr>
          <w:noProof w:val="0"/>
        </w:rPr>
      </w:pPr>
      <w:bookmarkStart w:id="92" w:name="_Toc34039189"/>
      <w:r w:rsidRPr="00515A4C">
        <w:rPr>
          <w:noProof w:val="0"/>
        </w:rPr>
        <w:t>Utskottets ställningstagande</w:t>
      </w:r>
      <w:bookmarkEnd w:id="92"/>
    </w:p>
    <w:p w:rsidR="00322A77" w:rsidRPr="00515A4C" w:rsidRDefault="00322A77">
      <w:r w:rsidRPr="00515A4C">
        <w:t>Utskottet avstyrkte våren 2002 ett motionsyrkande om att de nationella min</w:t>
      </w:r>
      <w:r w:rsidRPr="00515A4C">
        <w:t>o</w:t>
      </w:r>
      <w:r w:rsidRPr="00515A4C">
        <w:t>riteterna och ursprungsbefolkningen skall omnämnas i regeringsformen. Utskottet hänvisade till att ett skydd redan finns genom bestämmelsen i 1 kap. 2 § regeringsformen som föreskriver att etniska, språkliga och religiösa min</w:t>
      </w:r>
      <w:r w:rsidRPr="00515A4C">
        <w:t>o</w:t>
      </w:r>
      <w:r w:rsidRPr="00515A4C">
        <w:t>riteters möjligheter att behålla och utveckla ett eget kultur- och samfundsliv bör främjas och när det gäller samerna genom bestämmelsen i 2 kap. 20 § andra stycket som föreskriver att samernas rätt att bedriva renskötsel regleras i lag. Utskottet gör inte nu någon annan bedömning. Mo</w:t>
      </w:r>
      <w:r w:rsidRPr="00515A4C">
        <w:t>tion K264 yrkande 3 (c) avstyrks.</w:t>
      </w:r>
    </w:p>
    <w:p w:rsidR="00322A77" w:rsidRPr="00515A4C" w:rsidRDefault="00322A77">
      <w:pPr>
        <w:pStyle w:val="Normaltindrag"/>
        <w:ind w:right="-1"/>
      </w:pPr>
      <w:r w:rsidRPr="00515A4C">
        <w:t>När det gäller minoriteters delaktighet i demokratin och samrådsförfarande med minoriteter vill utskottet hänvisa till att regeringen understrukit att infl</w:t>
      </w:r>
      <w:r w:rsidRPr="00515A4C">
        <w:t>y</w:t>
      </w:r>
      <w:r w:rsidRPr="00515A4C">
        <w:t>tandet för de nationella minoriteterna inom minoritetspolitiken är av stor betydelse. En rad åtgärder har vidtagits. Bland annat hålls samrådsmöten med företrädare för regeringen och minoriteternas organisationer. Åtgärder ko</w:t>
      </w:r>
      <w:r w:rsidRPr="00515A4C">
        <w:t>m</w:t>
      </w:r>
      <w:r w:rsidRPr="00515A4C">
        <w:t>mer att vidtas för att öka kunskapen om minoritetspolitiken och diskutera politikens konkreta genomförande på olika nivåer i samhällsförvaltningen, särskilt på den kommunala nivån. En särskild arbetsgrupp har bildats inom Regeringskansliet för att samordna frågor inom minoritetspoliti</w:t>
      </w:r>
      <w:r w:rsidRPr="00515A4C">
        <w:t>ken. I detta sammanhang kan också nämnas utvecklingsarbetet Tid för demokrati där avsikten varit att utveckla medborgarnas aktiva deltagande i de politiska beslutsprocesserna med ambitionen att nå sådana grupper som vanligen inte nås i demokratiarbete. Utskottet anser inte att det behövs ett tillkännagivande till regeringen om minoriteters delaktighet i demokratin. När det gäller frågan om rätt för minoritetsgrupperna att utan insyn och kontroll fördela kulturm</w:t>
      </w:r>
      <w:r w:rsidRPr="00515A4C">
        <w:t>e</w:t>
      </w:r>
      <w:r w:rsidRPr="00515A4C">
        <w:t>del till de egna institutionerna vill utskotte</w:t>
      </w:r>
      <w:r w:rsidRPr="00515A4C">
        <w:t>t hänvisa till att regeringen inrättat en arbetsgrupp för att göra en samlad översyn av minoritetsorganisationernas rätt till stöd. Enligt utskottets mening bör översynen avvaktas. Motionerna K264 yrkandena 1, 2 och 4 (c) samt K421 (s) a</w:t>
      </w:r>
      <w:r w:rsidRPr="00515A4C">
        <w:t>v</w:t>
      </w:r>
      <w:r w:rsidRPr="00515A4C">
        <w:t xml:space="preserve">styrks. </w:t>
      </w:r>
    </w:p>
    <w:p w:rsidR="00322A77" w:rsidRPr="00515A4C" w:rsidRDefault="00322A77">
      <w:pPr>
        <w:pStyle w:val="Normaltindrag"/>
        <w:ind w:right="-1"/>
      </w:pPr>
      <w:r w:rsidRPr="00515A4C">
        <w:t>Konsekvenserna av en eventuell utvidgning av det samiska förvaltning</w:t>
      </w:r>
      <w:r w:rsidRPr="00515A4C">
        <w:t>s</w:t>
      </w:r>
      <w:r w:rsidRPr="00515A4C">
        <w:t>området till några kommuner i det sydsamiska området  utreds för närvarande förutsättningslöst av Länsstyrelsen i Norrbottens län. Enligt utskottets mening bör resultatet av detta arbete inte föregripas. Motion K277 yrkande 1 (fp) avstyrks.</w:t>
      </w:r>
    </w:p>
    <w:p w:rsidR="00322A77" w:rsidRPr="00515A4C" w:rsidRDefault="00322A77">
      <w:pPr>
        <w:pStyle w:val="Normaltindrag"/>
        <w:ind w:right="-1"/>
      </w:pPr>
      <w:r w:rsidRPr="00515A4C">
        <w:t>Att det finskspråkiga förvaltningsområdet skall omfatta även bl.a. Stoc</w:t>
      </w:r>
      <w:r w:rsidRPr="00515A4C">
        <w:t>k</w:t>
      </w:r>
      <w:r w:rsidRPr="00515A4C">
        <w:t>holms- eller Mälardalsregionen har föreslagits i flera motioner. Den geme</w:t>
      </w:r>
      <w:r w:rsidRPr="00515A4C">
        <w:t>n</w:t>
      </w:r>
      <w:r w:rsidRPr="00515A4C">
        <w:t>samma finsk-svenska arbetsgruppen för minoritets- och minoritetsspråkfrågor har i sin rapport den 16 september 2002 med hänvisning till att största delen av sverigefinnarna lever utanför förvaltningsområdet, bl.a. i Mälardalen, funnit att det finns skäl att överväga förutsättningarna för och konsekvenserna av att utvidga lagstiftningen om rätt att använda finska hos förvaltningsmy</w:t>
      </w:r>
      <w:r w:rsidRPr="00515A4C">
        <w:t>n</w:t>
      </w:r>
      <w:r w:rsidRPr="00515A4C">
        <w:t>digheter och domstolar till vissa områden utanför det</w:t>
      </w:r>
      <w:r w:rsidRPr="00515A4C">
        <w:t xml:space="preserve"> nuvarande förvaltning</w:t>
      </w:r>
      <w:r w:rsidRPr="00515A4C">
        <w:t>s</w:t>
      </w:r>
      <w:r w:rsidRPr="00515A4C">
        <w:t>området. Utskottet är inte berett att föregripa de överväganden som pågår i Regeringskansliet med anledning av rapporten. Motionerna K277 yrkande 2 (fp), K294 i denna del (kd), K324 (s) och K391 (v, kd) avstyrks.</w:t>
      </w:r>
    </w:p>
    <w:p w:rsidR="00322A77" w:rsidRPr="00515A4C" w:rsidRDefault="00322A77">
      <w:pPr>
        <w:pStyle w:val="Normaltindrag"/>
        <w:ind w:right="-1"/>
        <w:rPr>
          <w:i/>
        </w:rPr>
      </w:pPr>
      <w:r w:rsidRPr="00515A4C">
        <w:t>Av budgetpropositionen för 2003 framgår att en rad åtgärder har vidtagits och att det pågår arbete i skilda hänseenden för att stärka de nationella min</w:t>
      </w:r>
      <w:r w:rsidRPr="00515A4C">
        <w:t>o</w:t>
      </w:r>
      <w:r w:rsidRPr="00515A4C">
        <w:t>riteterna och stödja minoritetsspråken. Det gäller utbildningsfrågor, kultu</w:t>
      </w:r>
      <w:r w:rsidRPr="00515A4C">
        <w:t>r</w:t>
      </w:r>
      <w:r w:rsidRPr="00515A4C">
        <w:t>verksamhet, massmedier, arkivfrågor och äldreomsorg. Det saknas mot denna bakgrund anledning att göra ett tillkännagivande till regeringen om ett fortsatt reformarbete för att stärka minoritetsspråkens ställning i hela landet. Motion K294 i denna del (kd) avstyrks.</w:t>
      </w:r>
    </w:p>
    <w:p w:rsidR="00322A77" w:rsidRPr="00515A4C" w:rsidRDefault="00322A77">
      <w:pPr>
        <w:pStyle w:val="Normaltindrag"/>
        <w:ind w:right="-1"/>
      </w:pPr>
      <w:r w:rsidRPr="00515A4C">
        <w:t>Utskottet avstyrker också motion K277 yrkande 3 (fp) om att sverigefi</w:t>
      </w:r>
      <w:r w:rsidRPr="00515A4C">
        <w:t>n</w:t>
      </w:r>
      <w:r w:rsidRPr="00515A4C">
        <w:t>ländare oavsett modersmål skall få status som nationell minoritet i Sverige. Som utskottet framhöll i samband med beslutet om att godkänna ratificering av minoritetsspråkskonventionen och ramkonventionen tillhör den i första hand svensktalande gruppen inte dem som bör anses omfattade av åtagandena enligt ramkonventionen. Därav följer dock inte att den finlandssvenska min</w:t>
      </w:r>
      <w:r w:rsidRPr="00515A4C">
        <w:t>o</w:t>
      </w:r>
      <w:r w:rsidRPr="00515A4C">
        <w:t>ritetsgruppen i Sverige inte skulle kunna få del av åtgärder för sverigefinna</w:t>
      </w:r>
      <w:r w:rsidRPr="00515A4C">
        <w:t>r</w:t>
      </w:r>
      <w:r w:rsidRPr="00515A4C">
        <w:t xml:space="preserve">na. </w:t>
      </w:r>
    </w:p>
    <w:p w:rsidR="00322A77" w:rsidRPr="00515A4C" w:rsidRDefault="00322A77">
      <w:pPr>
        <w:pStyle w:val="Normaltindrag"/>
        <w:ind w:right="-1"/>
      </w:pPr>
      <w:r w:rsidRPr="00515A4C">
        <w:t>När det gäller äldreomsorg för den finsktalande minori</w:t>
      </w:r>
      <w:r w:rsidRPr="00515A4C">
        <w:t>tetsgruppen utanför förvaltningsområdet vill utskottet hänvisa till att Socialstyrelsen funnit att en anpassad äldreomsorg kan införas utan större kostnader, att den gemensamma finsk-svenska arbetsgruppen ansett att resultatet av Socialstyrelsens kartläg</w:t>
      </w:r>
      <w:r w:rsidRPr="00515A4C">
        <w:t>g</w:t>
      </w:r>
      <w:r w:rsidRPr="00515A4C">
        <w:t>ning bör följas upp och spridas till kommunerna samt att frågan om vilka åtgärder som bör vidtas övervägs inom Regeringskansliet. Enligt utskottets mening behövs inte ett tillkännagivande till regeringen i frågan. Motion K420 (s) avstyrks.</w:t>
      </w:r>
    </w:p>
    <w:p w:rsidR="00322A77" w:rsidRPr="00515A4C" w:rsidRDefault="00322A77">
      <w:r w:rsidRPr="00515A4C">
        <w:t>Frågan om ratific</w:t>
      </w:r>
      <w:r w:rsidRPr="00515A4C">
        <w:t>ering av ILO-konvention nr 169 har vid flera tidigare til</w:t>
      </w:r>
      <w:r w:rsidRPr="00515A4C">
        <w:t>l</w:t>
      </w:r>
      <w:r w:rsidRPr="00515A4C">
        <w:t xml:space="preserve">fällen behandlats av utskottet. Utskottet har avstyrkt motioner i frågan med hänvisning bl.a. till det arbete som pågår i Gränsdragningskommissionen. Utskottet vidhåller denna bedömning. Motion K394  (mp) avstyrks. </w:t>
      </w:r>
    </w:p>
    <w:p w:rsidR="00322A77" w:rsidRPr="00515A4C" w:rsidRDefault="00322A77">
      <w:pPr>
        <w:pStyle w:val="Rubrik2"/>
      </w:pPr>
      <w:bookmarkStart w:id="93" w:name="_Toc34039190"/>
      <w:r w:rsidRPr="00515A4C">
        <w:t>Teckenspråket</w:t>
      </w:r>
      <w:bookmarkEnd w:id="93"/>
    </w:p>
    <w:p w:rsidR="00322A77" w:rsidRPr="00515A4C" w:rsidRDefault="00322A77">
      <w:pPr>
        <w:pStyle w:val="Utskottsfrslagikorthet-Rubrik"/>
        <w:outlineLvl w:val="0"/>
        <w:rPr>
          <w:noProof w:val="0"/>
        </w:rPr>
      </w:pPr>
      <w:r w:rsidRPr="00515A4C">
        <w:rPr>
          <w:noProof w:val="0"/>
        </w:rPr>
        <w:t>Utskottets förslag i korthet</w:t>
      </w:r>
    </w:p>
    <w:p w:rsidR="00322A77" w:rsidRPr="00515A4C" w:rsidRDefault="00322A77">
      <w:pPr>
        <w:pStyle w:val="Utskottsfrslagikorthet-Text"/>
      </w:pPr>
      <w:r w:rsidRPr="00515A4C">
        <w:t>Utskottet avstyrker med hänvisning till tidigare ställningstagande att en aviserad översyn bör avvaktas ett motionsyrkande om att teckenspråket skall bli ett n</w:t>
      </w:r>
      <w:r w:rsidRPr="00515A4C">
        <w:t>a</w:t>
      </w:r>
      <w:r w:rsidRPr="00515A4C">
        <w:t>tionellt minoritetsspråk.</w:t>
      </w:r>
    </w:p>
    <w:p w:rsidR="00322A77" w:rsidRPr="00515A4C" w:rsidRDefault="00322A77">
      <w:pPr>
        <w:pStyle w:val="Rubrik4"/>
        <w:rPr>
          <w:noProof w:val="0"/>
        </w:rPr>
      </w:pPr>
      <w:bookmarkStart w:id="94" w:name="_Toc34039191"/>
      <w:r w:rsidRPr="00515A4C">
        <w:rPr>
          <w:noProof w:val="0"/>
        </w:rPr>
        <w:t>Motionen</w:t>
      </w:r>
      <w:bookmarkEnd w:id="94"/>
    </w:p>
    <w:p w:rsidR="00322A77" w:rsidRPr="00515A4C" w:rsidRDefault="00322A77">
      <w:r w:rsidRPr="00515A4C">
        <w:t>Sofia Larsen och Birgitta Sellén (båda c) begär i motion K220 att teckenspr</w:t>
      </w:r>
      <w:r w:rsidRPr="00515A4C">
        <w:t>å</w:t>
      </w:r>
      <w:r w:rsidRPr="00515A4C">
        <w:t>ket skall bli ett nationellt minoritetsspråk. Motionärernas uppfattning är att teckenspråket skall erkännas och likställas med minoritetsspråken så att döva får laglig rätt till teckenspråket. Vidare framhålls att teckenspråket bör få samma resurser för sin utveckling och spridning som minoritetsspråken. Motionäre</w:t>
      </w:r>
      <w:r w:rsidRPr="00515A4C">
        <w:t>r</w:t>
      </w:r>
      <w:r w:rsidRPr="00515A4C">
        <w:t>na begär ett tillkännagivande till regeringen om detta.</w:t>
      </w:r>
    </w:p>
    <w:p w:rsidR="00322A77" w:rsidRPr="00515A4C" w:rsidRDefault="00322A77">
      <w:pPr>
        <w:pStyle w:val="Rubrik4"/>
        <w:rPr>
          <w:noProof w:val="0"/>
        </w:rPr>
      </w:pPr>
      <w:bookmarkStart w:id="95" w:name="_Toc34039192"/>
      <w:r w:rsidRPr="00515A4C">
        <w:rPr>
          <w:noProof w:val="0"/>
        </w:rPr>
        <w:t>Bakgrund</w:t>
      </w:r>
      <w:bookmarkEnd w:id="95"/>
    </w:p>
    <w:p w:rsidR="00322A77" w:rsidRPr="00515A4C" w:rsidRDefault="00322A77">
      <w:r w:rsidRPr="00515A4C">
        <w:t>Teckenspråket har använts i Sverige sedan 1875 och är en viktig del av de dövas kultur. Teckenspråket är modersmål för ca 10 000 personer i Sverige som är döva från födsel eller tidig barndom. Teckenspråkets status som eget språk fastslogs i början av 1980-talet genom att det i läroplanen för specia</w:t>
      </w:r>
      <w:r w:rsidRPr="00515A4C">
        <w:t>l</w:t>
      </w:r>
      <w:r w:rsidRPr="00515A4C">
        <w:t xml:space="preserve">skolan fastställdes att teckenspråk är förstaspråk för döva. </w:t>
      </w:r>
    </w:p>
    <w:p w:rsidR="00322A77" w:rsidRPr="00515A4C" w:rsidRDefault="00322A77">
      <w:pPr>
        <w:pStyle w:val="Normaltindrag"/>
      </w:pPr>
      <w:r w:rsidRPr="00515A4C">
        <w:t>Minoritetsspråkskommittén gjorde bedömningen att teckenspråket inte skulle omfattas av svensk ratificering av minoritetsspråkskonventionen. Främjande av teckenspråket kunde enligt kommittén inte rymmas inom ko</w:t>
      </w:r>
      <w:r w:rsidRPr="00515A4C">
        <w:t>n</w:t>
      </w:r>
      <w:r w:rsidRPr="00515A4C">
        <w:t>ventionens övergripande syfte att stödja historiska språk i Europa utifrån språkets kulturella funktion (SOU 1997:192). Regeringen och riksdagen gjorde inte någon annan bedömning än kommittén (prop. 1998/99:143, bet. 1999/2000:KU6). Kommittén för det svenska språket (Ku 2000:03) har i sitt betänkande Mål i mun (SOU 2002:27) föreslagit att teckenspråkets ställning skall klarläggas och att åtgärder skall vidtas för att stärka och utveckla tec</w:t>
      </w:r>
      <w:r w:rsidRPr="00515A4C">
        <w:t>k</w:t>
      </w:r>
      <w:r w:rsidRPr="00515A4C">
        <w:t>enspråket. Det finns enligt kommittén flera faktorer som talar för</w:t>
      </w:r>
      <w:r w:rsidRPr="00515A4C">
        <w:t xml:space="preserve"> att tecke</w:t>
      </w:r>
      <w:r w:rsidRPr="00515A4C">
        <w:t>n</w:t>
      </w:r>
      <w:r w:rsidRPr="00515A4C">
        <w:t>språket borde betraktas som ett nationellt minoritetsspråk. Kommittén anser att det skall ingå i uppgifterna för den utredning regeringen avser att tillsätta att utreda och klarlägga teckenspråkets ställning samt att lämna förslag med syfte att stärka dess ställning. Kommittén föreslår att insatser skall vidtas för att stärka och utveckla teckenspråket och tillgodose de dövas och hörselsk</w:t>
      </w:r>
      <w:r w:rsidRPr="00515A4C">
        <w:t>a</w:t>
      </w:r>
      <w:r w:rsidRPr="00515A4C">
        <w:t>dades rättigheter. Även frågor om bl.a. teckenspråksforskning och utbildning av teckenspråkslärare bör behand</w:t>
      </w:r>
      <w:r w:rsidRPr="00515A4C">
        <w:t>las i samband med utredningen om tecke</w:t>
      </w:r>
      <w:r w:rsidRPr="00515A4C">
        <w:t>n</w:t>
      </w:r>
      <w:r w:rsidRPr="00515A4C">
        <w:t>spr</w:t>
      </w:r>
      <w:r w:rsidRPr="00515A4C">
        <w:t>å</w:t>
      </w:r>
      <w:r w:rsidRPr="00515A4C">
        <w:t>kets ställning.</w:t>
      </w:r>
    </w:p>
    <w:p w:rsidR="00322A77" w:rsidRPr="00515A4C" w:rsidRDefault="00322A77">
      <w:pPr>
        <w:pStyle w:val="Normaltindrag"/>
      </w:pPr>
      <w:r w:rsidRPr="00515A4C">
        <w:t>Europaparlamentet antog den 18 november 1998 en resolution om tecke</w:t>
      </w:r>
      <w:r w:rsidRPr="00515A4C">
        <w:t>n</w:t>
      </w:r>
      <w:r w:rsidRPr="00515A4C">
        <w:t>språk. Parlamentet uppmanade bl.a. kommissionen att lägga fram ett förslag för rådet om offentligt erkännande av teckenspråk som döva använder i varje medlemsstat, att säkerställa att alla EU-program är tillgängliga för döva och att behovet av teckentolkning erkänns.</w:t>
      </w:r>
    </w:p>
    <w:p w:rsidR="00322A77" w:rsidRPr="00515A4C" w:rsidRDefault="00322A77">
      <w:pPr>
        <w:pStyle w:val="Normaltindrag"/>
      </w:pPr>
      <w:r w:rsidRPr="00515A4C">
        <w:t>Europarådets parlamentariska församling antog i januari 2001 en reko</w:t>
      </w:r>
      <w:r w:rsidRPr="00515A4C">
        <w:t>m</w:t>
      </w:r>
      <w:r w:rsidRPr="00515A4C">
        <w:t>mendation (1492/2001) vari ministerkommittén rekommenderades att ge de olika teckenspråk som används i Europa ett skydd liknande det som ges g</w:t>
      </w:r>
      <w:r w:rsidRPr="00515A4C">
        <w:t>e</w:t>
      </w:r>
      <w:r w:rsidRPr="00515A4C">
        <w:t>nom minoritetsspråkskonventionen, möjligen genom att anta rekommendati</w:t>
      </w:r>
      <w:r w:rsidRPr="00515A4C">
        <w:t>o</w:t>
      </w:r>
      <w:r w:rsidRPr="00515A4C">
        <w:t>ner till medlemsstaterna.</w:t>
      </w:r>
      <w:r w:rsidRPr="00515A4C">
        <w:rPr>
          <w:color w:val="000000"/>
        </w:rPr>
        <w:t xml:space="preserve"> I sitt svar till den parlamentariska församlingen hänvisade ministerkommittén </w:t>
      </w:r>
      <w:r w:rsidRPr="00515A4C">
        <w:t xml:space="preserve">till </w:t>
      </w:r>
      <w:r w:rsidRPr="00515A4C">
        <w:rPr>
          <w:color w:val="000000"/>
        </w:rPr>
        <w:t>vad Kommittén för rehabilitering och int</w:t>
      </w:r>
      <w:r w:rsidRPr="00515A4C">
        <w:rPr>
          <w:color w:val="000000"/>
        </w:rPr>
        <w:t>e</w:t>
      </w:r>
      <w:r w:rsidRPr="00515A4C">
        <w:rPr>
          <w:color w:val="000000"/>
        </w:rPr>
        <w:t>grering (CD-P-RR) anfört.</w:t>
      </w:r>
      <w:r w:rsidRPr="00515A4C">
        <w:t xml:space="preserve"> Kommittén rekommenderade att Europarådet förbereder ett dokument för att skydda teckenspråk och användarnas rätti</w:t>
      </w:r>
      <w:r w:rsidRPr="00515A4C">
        <w:t>g</w:t>
      </w:r>
      <w:r w:rsidRPr="00515A4C">
        <w:t>heter o</w:t>
      </w:r>
      <w:r w:rsidRPr="00515A4C">
        <w:t>ch särskilt för att främja individens rätt att allmänt använda tecke</w:t>
      </w:r>
      <w:r w:rsidRPr="00515A4C">
        <w:t>n</w:t>
      </w:r>
      <w:r w:rsidRPr="00515A4C">
        <w:t>språk och underlätta denna användning genom samordning av de åtgärder som bedöms lämpligast med hänsyn till de olika medel som finns i medlem</w:t>
      </w:r>
      <w:r w:rsidRPr="00515A4C">
        <w:t>s</w:t>
      </w:r>
      <w:r w:rsidRPr="00515A4C">
        <w:t>state</w:t>
      </w:r>
      <w:r w:rsidRPr="00515A4C">
        <w:t>r</w:t>
      </w:r>
      <w:r w:rsidRPr="00515A4C">
        <w:t xml:space="preserve">na. </w:t>
      </w:r>
    </w:p>
    <w:p w:rsidR="00322A77" w:rsidRPr="00515A4C" w:rsidRDefault="00322A77">
      <w:pPr>
        <w:pStyle w:val="Normaltindrag"/>
      </w:pPr>
      <w:r w:rsidRPr="00515A4C">
        <w:t>EU och Europarådet anordnade år 1991 det europeiska året för språk 2001. Syftet var att öka den språkliga mångfalden i Europa, främja flerspråkigheten och uppmuntra till ett livslångt lärande. Teckenspråk omfattades av verksa</w:t>
      </w:r>
      <w:r w:rsidRPr="00515A4C">
        <w:t>m</w:t>
      </w:r>
      <w:r w:rsidRPr="00515A4C">
        <w:t>heten.</w:t>
      </w:r>
    </w:p>
    <w:p w:rsidR="00322A77" w:rsidRPr="00515A4C" w:rsidRDefault="00322A77">
      <w:pPr>
        <w:pStyle w:val="Rubrik4"/>
        <w:rPr>
          <w:noProof w:val="0"/>
        </w:rPr>
      </w:pPr>
      <w:bookmarkStart w:id="96" w:name="_Toc34039193"/>
      <w:r w:rsidRPr="00515A4C">
        <w:rPr>
          <w:noProof w:val="0"/>
        </w:rPr>
        <w:t>Tidigare behandling</w:t>
      </w:r>
      <w:bookmarkEnd w:id="96"/>
    </w:p>
    <w:p w:rsidR="00322A77" w:rsidRPr="00515A4C" w:rsidRDefault="00322A77">
      <w:r w:rsidRPr="00515A4C">
        <w:t>Våren 2001 behandlade utskottet en rad motioner i frågor kring nationella minoriteter (bet. 2000/01:KU14). Utskottet tillstyrkte därvid motionsyrkanden (s) om teckenspråkets ställning (s. 17). Utskottet ansåg inte att teckenspråk skulle erkännas som minoritetsspråk. Enligt utskottet hade utvecklingen under senare år, bl.a. arbetet inom ramen för Europarådets verksamhet, understrukit vikten av att teckenspråket har en stark ställning. Utskottet ansåg att det var angeläget att dövas och hörselskadades rättig</w:t>
      </w:r>
      <w:r w:rsidRPr="00515A4C">
        <w:t>heter när det gäller teckenspråk och teckenspråksinformation säkerställs. Enligt utskottets mening behövdes i detta syfte en översyn av rätten och möjligheterna att använda teckenspråket, liksom dövas och hörselskadades tillgång till samhällets utbud av kultur och litteratur. Riksdagen gav regeringen detta till känna som sin mening (rskr. 2000/01:147). Våren 2002 behandlade utskottet ett motionsyrkande liknande den nu aktuella motionen och av samma motionärer (bet. 2001/02:KU15 s. 59). Utskottet hänvisade t</w:t>
      </w:r>
      <w:r w:rsidRPr="00515A4C">
        <w:t>ill att riksdagen som sin mening gett regeringen till känna att det behövs en översyn av rätten och möjligheterna att använda teckenspråket m.m. och till att ett arbete med att föranstalta om en sådan översyn pågick i Regeringskansliet. Enligt utskottets mening borde resultatet av detta arbete avvaktas. Motionen avstyrktes. – Enligt uppgift från Rege</w:t>
      </w:r>
      <w:r w:rsidRPr="00515A4C">
        <w:t>r</w:t>
      </w:r>
      <w:r w:rsidRPr="00515A4C">
        <w:t>ingskansliet har visst utredningsarbete inför utformningen av kommittédire</w:t>
      </w:r>
      <w:r w:rsidRPr="00515A4C">
        <w:t>k</w:t>
      </w:r>
      <w:r w:rsidRPr="00515A4C">
        <w:t>tiv genomförts under hösten 2002 och under våren 2003 fortsätter arbetet med kommitt</w:t>
      </w:r>
      <w:r w:rsidRPr="00515A4C">
        <w:t>édirektiven.</w:t>
      </w:r>
    </w:p>
    <w:p w:rsidR="00322A77" w:rsidRPr="00515A4C" w:rsidRDefault="00322A77">
      <w:pPr>
        <w:pStyle w:val="Rubrik4"/>
        <w:rPr>
          <w:noProof w:val="0"/>
        </w:rPr>
      </w:pPr>
      <w:bookmarkStart w:id="97" w:name="_Toc34039194"/>
      <w:r w:rsidRPr="00515A4C">
        <w:rPr>
          <w:noProof w:val="0"/>
        </w:rPr>
        <w:t>Utskottets ställningstagande</w:t>
      </w:r>
      <w:bookmarkEnd w:id="97"/>
      <w:r w:rsidRPr="00515A4C">
        <w:rPr>
          <w:noProof w:val="0"/>
        </w:rPr>
        <w:t xml:space="preserve"> </w:t>
      </w:r>
    </w:p>
    <w:p w:rsidR="00322A77" w:rsidRPr="00515A4C" w:rsidRDefault="00322A77">
      <w:r w:rsidRPr="00515A4C">
        <w:t>Enligt uppgift från Regeringskansliet pågår ett arbete med att utforma direktiv till en utredning som i enlighet med riksdagens tillkännagivande till regerin</w:t>
      </w:r>
      <w:r w:rsidRPr="00515A4C">
        <w:t>g</w:t>
      </w:r>
      <w:r w:rsidRPr="00515A4C">
        <w:t>en skall se över frågor kring teckenspråkets ställning. Enligt utskottets m</w:t>
      </w:r>
      <w:r w:rsidRPr="00515A4C">
        <w:t>e</w:t>
      </w:r>
      <w:r w:rsidRPr="00515A4C">
        <w:t>ning bör resultatet av  utredningsarbetet avvaktas. Motion K220 (c) avstyrks.</w:t>
      </w:r>
    </w:p>
    <w:p w:rsidR="00322A77" w:rsidRPr="00515A4C" w:rsidRDefault="00322A77">
      <w:pPr>
        <w:pStyle w:val="Rubrik2"/>
        <w:spacing w:before="375"/>
      </w:pPr>
      <w:bookmarkStart w:id="98" w:name="_Toc34039195"/>
      <w:r w:rsidRPr="00515A4C">
        <w:t>Svenskt medborgarskap</w:t>
      </w:r>
      <w:bookmarkEnd w:id="98"/>
    </w:p>
    <w:p w:rsidR="00322A77" w:rsidRPr="00515A4C" w:rsidRDefault="00322A77">
      <w:pPr>
        <w:pStyle w:val="Utskottsfrslagikorthet-Rubrik"/>
        <w:spacing w:before="0"/>
        <w:outlineLvl w:val="0"/>
        <w:rPr>
          <w:noProof w:val="0"/>
        </w:rPr>
      </w:pPr>
      <w:r w:rsidRPr="00515A4C">
        <w:rPr>
          <w:noProof w:val="0"/>
        </w:rPr>
        <w:t>Utskottets förslag i korthet</w:t>
      </w:r>
    </w:p>
    <w:p w:rsidR="00322A77" w:rsidRPr="00515A4C" w:rsidRDefault="00322A77">
      <w:pPr>
        <w:pStyle w:val="Utskottsfrslagikorthet-Text"/>
      </w:pPr>
      <w:r w:rsidRPr="00515A4C">
        <w:t>Utskottet avstyrker ett motionsyrkande om att svenskt medborga</w:t>
      </w:r>
      <w:r w:rsidRPr="00515A4C">
        <w:t>r</w:t>
      </w:r>
      <w:r w:rsidRPr="00515A4C">
        <w:t>skap som getts på felaktig grund skall kunna återkallas.</w:t>
      </w:r>
    </w:p>
    <w:p w:rsidR="00322A77" w:rsidRPr="00515A4C" w:rsidRDefault="00322A77">
      <w:pPr>
        <w:pStyle w:val="Utskottsfrslagikorthet-Text"/>
      </w:pPr>
      <w:r w:rsidRPr="00515A4C">
        <w:t>Jämför reservation 16 (m).</w:t>
      </w:r>
    </w:p>
    <w:p w:rsidR="00322A77" w:rsidRPr="00515A4C" w:rsidRDefault="00322A77">
      <w:pPr>
        <w:pStyle w:val="Rubrik4"/>
        <w:rPr>
          <w:noProof w:val="0"/>
        </w:rPr>
      </w:pPr>
      <w:bookmarkStart w:id="99" w:name="_Toc34039196"/>
      <w:r w:rsidRPr="00515A4C">
        <w:rPr>
          <w:noProof w:val="0"/>
        </w:rPr>
        <w:t>Motionen</w:t>
      </w:r>
      <w:bookmarkEnd w:id="99"/>
    </w:p>
    <w:p w:rsidR="00322A77" w:rsidRPr="00515A4C" w:rsidRDefault="00322A77">
      <w:r w:rsidRPr="00515A4C">
        <w:t>Krister Örnfjäder (s) begär i motion K408 en lagändring för att medborga</w:t>
      </w:r>
      <w:r w:rsidRPr="00515A4C">
        <w:t>r</w:t>
      </w:r>
      <w:r w:rsidRPr="00515A4C">
        <w:t>skap som givits på felaktig grund skall kunna återkallas. Motionären hänvisar till att 28 personer i en mutaffär vid Migrationsverket tros ha köpt svenskt medborga</w:t>
      </w:r>
      <w:r w:rsidRPr="00515A4C">
        <w:t>r</w:t>
      </w:r>
      <w:r w:rsidRPr="00515A4C">
        <w:t>skap.</w:t>
      </w:r>
    </w:p>
    <w:p w:rsidR="00322A77" w:rsidRPr="00515A4C" w:rsidRDefault="00322A77">
      <w:pPr>
        <w:pStyle w:val="Rubrik4"/>
        <w:rPr>
          <w:noProof w:val="0"/>
        </w:rPr>
      </w:pPr>
      <w:bookmarkStart w:id="100" w:name="_Toc34039197"/>
      <w:r w:rsidRPr="00515A4C">
        <w:rPr>
          <w:noProof w:val="0"/>
        </w:rPr>
        <w:t>Bakgrund</w:t>
      </w:r>
      <w:bookmarkEnd w:id="100"/>
    </w:p>
    <w:p w:rsidR="00322A77" w:rsidRPr="00515A4C" w:rsidRDefault="00322A77">
      <w:r w:rsidRPr="00515A4C">
        <w:t xml:space="preserve">Enligt 2 kap. 7 § regeringsformen får ingen medborgare som är eller har varit bosatt i riket berövas sitt medborgarskap i annat fall än då han samtidigt, efter uttryckligt samtycke eller genom att inträda i allmän tjänst blir medborgare i annan stat. </w:t>
      </w:r>
    </w:p>
    <w:p w:rsidR="00322A77" w:rsidRPr="00515A4C" w:rsidRDefault="00322A77">
      <w:pPr>
        <w:pStyle w:val="Normaltindrag"/>
      </w:pPr>
      <w:r w:rsidRPr="00515A4C">
        <w:t>1997 års medborgarskapskommitté behandlade i sitt betänkande Svenskt medborgarskap (SOU 1999:34) medborgarskapets rättsliga betydelse. Ko</w:t>
      </w:r>
      <w:r w:rsidRPr="00515A4C">
        <w:t>m</w:t>
      </w:r>
      <w:r w:rsidRPr="00515A4C">
        <w:t>mittén berörde därvid behovet av att undvika statslöshet. Undvikande av statslöshet är enligt kommittén en viktig utgångspunkt för svensk lagstiftning och praxis på medborgarskapsområdet. Detta kommer till uttryck bl.a. genom att en statslös person som regel kan bli naturaliserad efter fyra års hemvist i Sverige i stället för efter fem år, som är det normala. Principen om undvika</w:t>
      </w:r>
      <w:r w:rsidRPr="00515A4C">
        <w:t>n</w:t>
      </w:r>
      <w:r w:rsidRPr="00515A4C">
        <w:t xml:space="preserve">de av statslöshet är inskriven i flera av de konventioner som Sverige har åtagit sig att följa. </w:t>
      </w:r>
    </w:p>
    <w:p w:rsidR="00322A77" w:rsidRPr="00515A4C" w:rsidRDefault="00322A77">
      <w:pPr>
        <w:pStyle w:val="Rubrik4"/>
        <w:rPr>
          <w:noProof w:val="0"/>
        </w:rPr>
      </w:pPr>
      <w:bookmarkStart w:id="101" w:name="_Toc34039198"/>
      <w:r w:rsidRPr="00515A4C">
        <w:rPr>
          <w:noProof w:val="0"/>
        </w:rPr>
        <w:t>Tidigare behandling</w:t>
      </w:r>
      <w:bookmarkEnd w:id="101"/>
    </w:p>
    <w:p w:rsidR="00322A77" w:rsidRPr="00515A4C" w:rsidRDefault="00322A77">
      <w:r w:rsidRPr="00515A4C">
        <w:t>Frågan om återkallelse av medborgarskap behandlades av riksdagen under 1998/99 års riksmöte (prop. 1997/98:178, bet. 1998/99:SfU3), då riksdagen beslöt att öppna möjlighet att göra undantag från kravet på styrkt identitet i ärenden om svenskt medborgarskap. I propositionen lämnades en redogörelse för såväl folkrättslig bakgrund som vissa tidigare överväganden i frågan om återkallelse. En hänvisning gjordes till förarbetena till den då gällande me</w:t>
      </w:r>
      <w:r w:rsidRPr="00515A4C">
        <w:t>d</w:t>
      </w:r>
      <w:r w:rsidRPr="00515A4C">
        <w:t>borgarskapslagen (prop. 1950:217). Bland annat återgavs Lagrådets konstat</w:t>
      </w:r>
      <w:r w:rsidRPr="00515A4C">
        <w:t>e</w:t>
      </w:r>
      <w:r w:rsidRPr="00515A4C">
        <w:t>rande att expatriering var ett i svensk rätt dittills okänt institut och Lagrådets påpekande att det, om den då i lagrådsremissen föreslagna möjligheten till expatriering infördes, med fog kunde göras gällande att naturaliserade me</w:t>
      </w:r>
      <w:r w:rsidRPr="00515A4C">
        <w:t>d</w:t>
      </w:r>
      <w:r w:rsidRPr="00515A4C">
        <w:t>borgares rättigheter och förmåner inte var desamma som andra medbo</w:t>
      </w:r>
      <w:r w:rsidRPr="00515A4C">
        <w:t>r</w:t>
      </w:r>
      <w:r w:rsidRPr="00515A4C">
        <w:t>gares.</w:t>
      </w:r>
    </w:p>
    <w:p w:rsidR="00322A77" w:rsidRPr="00515A4C" w:rsidRDefault="00322A77">
      <w:pPr>
        <w:pStyle w:val="Normaltindrag"/>
      </w:pPr>
      <w:r w:rsidRPr="00515A4C">
        <w:t>2 kap. 7 § regeringsformen har haft sin nuvarande lydelse sedan 1979, då skyddet för svenskt medborgarskap förstärktes (prop. 1978/</w:t>
      </w:r>
      <w:r w:rsidRPr="00515A4C">
        <w:t>79:195, bet. KU 1978/79:39, rskr. 1978/79:359, bet. KU 1979/80:1, rskr. 1979/80:2). För</w:t>
      </w:r>
      <w:r w:rsidRPr="00515A4C">
        <w:t>e</w:t>
      </w:r>
      <w:r w:rsidRPr="00515A4C">
        <w:t>dragande statsrådet framhöll som angeläget att skyddet mot förlust av me</w:t>
      </w:r>
      <w:r w:rsidRPr="00515A4C">
        <w:t>d</w:t>
      </w:r>
      <w:r w:rsidRPr="00515A4C">
        <w:t>borgarskapet i regeringsformen så långt möjligt skulle komma att gälla även sådana medborgare som utan eget initiativ eller egen önskan innehade me</w:t>
      </w:r>
      <w:r w:rsidRPr="00515A4C">
        <w:t>d</w:t>
      </w:r>
      <w:r w:rsidRPr="00515A4C">
        <w:t>borgarskap också i annan stat. De kategorier av personer som därvid främst stod i blickpunkten var personer som hade kommit till Sverige som flyktingar eller av annan orsak och som därefter hade blivit s</w:t>
      </w:r>
      <w:r w:rsidRPr="00515A4C">
        <w:t>venska medborgare utan att befrias från sitt tidigare medborgarskap i annan stat. Man kunde inte utesluta möjligheten att vårt land i ett skärpt utrikespolitiskt läge kunde utsättas för påtryckningar i syfte att tvinga fram sådana lagändringar att de berörda pe</w:t>
      </w:r>
      <w:r w:rsidRPr="00515A4C">
        <w:t>r</w:t>
      </w:r>
      <w:r w:rsidRPr="00515A4C">
        <w:t>sonerna skulle berövas sitt svenska medborgarskap. Också i fråga om ett par andra kategorier med dubbelt medborgarskap – bl.a. svenska kvinnor som var eller hade varit gifta med medborgare i sådana stater där hustrun automatiskt fick mannens medborga</w:t>
      </w:r>
      <w:r w:rsidRPr="00515A4C">
        <w:t>rskap – framstod det enligt föredragande statsrådet som angeläget med ett starkare skydd för det svenska medborgarskapet än den tidigare grundlagsregeln gav.</w:t>
      </w:r>
    </w:p>
    <w:p w:rsidR="00322A77" w:rsidRPr="00515A4C" w:rsidRDefault="00322A77">
      <w:pPr>
        <w:pStyle w:val="Normaltindrag"/>
      </w:pPr>
      <w:r w:rsidRPr="00515A4C">
        <w:t xml:space="preserve">I lagstiftningsärendet år 1998 gjorde regeringen bedömningen att ett beslut om naturalisation som meddelats på grundval av felaktiga identitetsuppgifter inte heller i fortsättningen borde kunna återkallas. Regeringen hänvisade till att strävan i svensk politik under de senaste årtiondena hade varit att så långt möjligt utjämna skillnaderna i rättsligt </w:t>
      </w:r>
      <w:r w:rsidRPr="00515A4C">
        <w:t>avseende mellan svenska medborgare och den övriga befolkningen och att införande av en möjlighet att återkalla ett beslut om svenskt medborgarskap skulle innebära en grundläggande förän</w:t>
      </w:r>
      <w:r w:rsidRPr="00515A4C">
        <w:t>d</w:t>
      </w:r>
      <w:r w:rsidRPr="00515A4C">
        <w:t>ring av den svenska medborgarskapsrätten, vilket bl.a. skulle kräva en grundlagsändring. Mot denna bakgrund krävde enligt regeringens bedömning en sådan förändring mycket starka skäl. Regeringen erinrade om att frågan varit föremål för regeringens prövning i flera tidigare lagstiftningsärenden och att skälen mot att införa e</w:t>
      </w:r>
      <w:r w:rsidRPr="00515A4C">
        <w:t>n sådan ordning därvid befunnits vara så starka att något förslag aldrig hade förelagts riksdagen.</w:t>
      </w:r>
    </w:p>
    <w:p w:rsidR="00322A77" w:rsidRPr="00515A4C" w:rsidRDefault="00322A77">
      <w:pPr>
        <w:pStyle w:val="Normaltindrag"/>
      </w:pPr>
      <w:r w:rsidRPr="00515A4C">
        <w:t>Samtidigt som det kunde förefalla stötande att det saknades möjligheter att ingripa och återkalla medborgarskapet för en person som naturaliserats i falsk identitet, särskilt när det skett för att dölja ett kriminellt förflutet eller en terroristanknytning, fanns det enligt regeringen starka skäl som talade mot en sådan ordning både från en principiell ståndpunkt och ur en mer praktisk synvinkel. En återkallel</w:t>
      </w:r>
      <w:r w:rsidRPr="00515A4C">
        <w:t>semöjlighet skulle bl.a. innebära att det skulle komma att finnas två slag av svenskt medborgarskap – ett oåterkalleligt för den som blivit svensk medborgare vid födseln och ett som kan återkallas för den som fö</w:t>
      </w:r>
      <w:r w:rsidRPr="00515A4C">
        <w:t>r</w:t>
      </w:r>
      <w:r w:rsidRPr="00515A4C">
        <w:t>värvat medborgarskapet genom naturalisation.</w:t>
      </w:r>
    </w:p>
    <w:p w:rsidR="00322A77" w:rsidRPr="00515A4C" w:rsidRDefault="00322A77">
      <w:pPr>
        <w:pStyle w:val="Normaltindrag"/>
      </w:pPr>
      <w:r w:rsidRPr="00515A4C">
        <w:t>Till detta kom enligt regeringen att en person som berövats det svenska medborgarskapet i de flesta fall skulle bli statslös, något som hängde samman med huvudprincipen i den svenska medborgarskapslagstiftningen att den som naturaliserades samtidigt måste</w:t>
      </w:r>
      <w:r w:rsidRPr="00515A4C">
        <w:t xml:space="preserve"> avsäga sig sitt tidigare medborgarskap om det inte förlorades automatiskt. En avsikt bakom återkallelse av ett medborga</w:t>
      </w:r>
      <w:r w:rsidRPr="00515A4C">
        <w:t>r</w:t>
      </w:r>
      <w:r w:rsidRPr="00515A4C">
        <w:t>skap var att kunna avlägsna vederbörande från landet, men det torde inte vara möjligt beträffande den som blivit statslös. Även i andra fall bedömdes ver</w:t>
      </w:r>
      <w:r w:rsidRPr="00515A4C">
        <w:t>k</w:t>
      </w:r>
      <w:r w:rsidRPr="00515A4C">
        <w:t>ställighetshinder kunna uppkomma. En återkallelse av svenskt medborgarskap skulle vidare kunna leda till familjerätt</w:t>
      </w:r>
      <w:r w:rsidRPr="00515A4C">
        <w:t>s</w:t>
      </w:r>
      <w:r w:rsidRPr="00515A4C">
        <w:t>liga komplikationer.</w:t>
      </w:r>
    </w:p>
    <w:p w:rsidR="00322A77" w:rsidRPr="00515A4C" w:rsidRDefault="00322A77">
      <w:pPr>
        <w:pStyle w:val="Normaltindrag"/>
      </w:pPr>
      <w:r w:rsidRPr="00515A4C">
        <w:t>Vid en samlad bedömning ansåg regeringen att skälen för en återkallels</w:t>
      </w:r>
      <w:r w:rsidRPr="00515A4C">
        <w:t>e</w:t>
      </w:r>
      <w:r w:rsidRPr="00515A4C">
        <w:t>möjlighet, ställda mot de starka invändningar som kunde resas däremot, inte motiverade att en sådan möjlighet infördes i svensk rätt.</w:t>
      </w:r>
    </w:p>
    <w:p w:rsidR="00322A77" w:rsidRPr="00515A4C" w:rsidRDefault="00322A77">
      <w:pPr>
        <w:pStyle w:val="Normaltindrag"/>
      </w:pPr>
      <w:r w:rsidRPr="00515A4C">
        <w:t>Socialförsäkringsutskottet, som behandlade frågan med anledning av en motion, delade regeringens bedömning att en möjlighet att återkalla beslut om naturalisation inte borde införas.</w:t>
      </w:r>
    </w:p>
    <w:p w:rsidR="00322A77" w:rsidRPr="00515A4C" w:rsidRDefault="00322A77">
      <w:pPr>
        <w:pStyle w:val="Normaltindrag"/>
      </w:pPr>
      <w:r w:rsidRPr="00515A4C">
        <w:t>Frågan om återkallelse av ett beslut om naturalisation som har meddelats på grundval av felaktiga uppgifter berördes även i proposition 1999/2000: 147 Lag om svenskt medborgarskap, vari föreslogs en ny lag som bl.a. fullt ut ger möjlighet att inneha dubbelt medborgarskap. Förslaget tillstyrktes av socia</w:t>
      </w:r>
      <w:r w:rsidRPr="00515A4C">
        <w:t>l</w:t>
      </w:r>
      <w:r w:rsidRPr="00515A4C">
        <w:t>försäkringsutskottet (bet. 2000/01:SfU8). Konstitutionsutskottet framhöll i yttrande till socialförsäkringsutskottet i fråga om den motionsvis väckta fr</w:t>
      </w:r>
      <w:r w:rsidRPr="00515A4C">
        <w:t>å</w:t>
      </w:r>
      <w:r w:rsidRPr="00515A4C">
        <w:t>gan om möjligheten att beröva en svensk medborgare som är eller har varit bosatt här det svenska medborgarskapet att detta skulle kräva en grundlag</w:t>
      </w:r>
      <w:r w:rsidRPr="00515A4C">
        <w:t>s</w:t>
      </w:r>
      <w:r w:rsidRPr="00515A4C">
        <w:t>ändring (yttr. 2000/01:KU4y). Det innebar enligt utskottet att det bör krävas mycket starka skäl för en ändring och i princip också att en ändring inte bör beslutas utan stor politisk enighet. Förslaget i motio</w:t>
      </w:r>
      <w:r w:rsidRPr="00515A4C">
        <w:t>nen skulle innebära en genomgripande förändring av den svenska medborgarskapsrätten. Efter en sådan ändring skulle det komma att finnas två slag av svenskt medborga</w:t>
      </w:r>
      <w:r w:rsidRPr="00515A4C">
        <w:t>r</w:t>
      </w:r>
      <w:r w:rsidRPr="00515A4C">
        <w:t>skap: ett oåterkalleligt för den som blivit svensk medborgare vid födseln och ett återkalleligt för den som förvärvat medborgarskapet genom naturalisation. Utskottet ansåg inte att en ändring i regeringsformen på denna punkt var motiverad. I en reservation (m) anfördes att regeringsformens regler om u</w:t>
      </w:r>
      <w:r w:rsidRPr="00515A4C">
        <w:t>n</w:t>
      </w:r>
      <w:r w:rsidRPr="00515A4C">
        <w:t>dantag från förbudet att beröva svenska medb</w:t>
      </w:r>
      <w:r w:rsidRPr="00515A4C">
        <w:t>orgare medborgarskapet borde kompletteras. Möjligheten borde utredas att genom lag göra ytterligare u</w:t>
      </w:r>
      <w:r w:rsidRPr="00515A4C">
        <w:t>n</w:t>
      </w:r>
      <w:r w:rsidRPr="00515A4C">
        <w:t>dantag för den som förvärvat medborgarskapet genom naturalisation. Det var enligt reservationen stötande för den allmänna rättskänslan att t.ex. en terr</w:t>
      </w:r>
      <w:r w:rsidRPr="00515A4C">
        <w:t>o</w:t>
      </w:r>
      <w:r w:rsidRPr="00515A4C">
        <w:t xml:space="preserve">rist eller grov narkotikabrottsling, eller en annan person som begått grova brott och som ljugit eller bluffat sig till ett svenskt medborgarskap inte kan fråntas detta. </w:t>
      </w:r>
    </w:p>
    <w:p w:rsidR="00322A77" w:rsidRPr="00515A4C" w:rsidRDefault="00322A77">
      <w:pPr>
        <w:pStyle w:val="Rubrik4"/>
        <w:rPr>
          <w:noProof w:val="0"/>
        </w:rPr>
      </w:pPr>
      <w:bookmarkStart w:id="102" w:name="_Toc34039199"/>
      <w:r w:rsidRPr="00515A4C">
        <w:rPr>
          <w:noProof w:val="0"/>
        </w:rPr>
        <w:t>Utskottets ställningstagande</w:t>
      </w:r>
      <w:bookmarkEnd w:id="102"/>
    </w:p>
    <w:p w:rsidR="00322A77" w:rsidRPr="00515A4C" w:rsidRDefault="00322A77">
      <w:r w:rsidRPr="00515A4C">
        <w:t>Utskottet vill understryka att risken för att personer blir statslösa om de ber</w:t>
      </w:r>
      <w:r w:rsidRPr="00515A4C">
        <w:t>ö</w:t>
      </w:r>
      <w:r w:rsidRPr="00515A4C">
        <w:t>vas sitt svenska medborgarskap strider mot den viktiga utgångspunkten för svensk lagstiftning och praxis på medborgarskapsområdet att statslöshet bör undvikas.</w:t>
      </w:r>
    </w:p>
    <w:p w:rsidR="00322A77" w:rsidRPr="00515A4C" w:rsidRDefault="00322A77">
      <w:pPr>
        <w:pStyle w:val="Normaltindrag"/>
      </w:pPr>
      <w:r w:rsidRPr="00515A4C">
        <w:t>Utskottet anser liksom vid tidigare bedömning att det bör krävas mycket starka skäl för en ändring av regeringsformens förbud mot att beröva den som är eller varit bosatt i riket svenskt medborgarskap och att en ändring inte bör beslutas utan stor politisk enighet. Utskottet är fortfarande inte berett att til</w:t>
      </w:r>
      <w:r w:rsidRPr="00515A4C">
        <w:t>l</w:t>
      </w:r>
      <w:r w:rsidRPr="00515A4C">
        <w:t>styrka en sådan ingripande förändring som föreslås i motionen och som skulle innebära att det skulle komma att finnas två slags svenskt medborgarskap. Motion K408 (s) avstyrks.</w:t>
      </w:r>
    </w:p>
    <w:p w:rsidR="00322A77" w:rsidRPr="00515A4C" w:rsidRDefault="00322A77">
      <w:pPr>
        <w:pStyle w:val="Rubrik2"/>
        <w:spacing w:before="360"/>
      </w:pPr>
      <w:bookmarkStart w:id="103" w:name="_Toc34039200"/>
      <w:r w:rsidRPr="00515A4C">
        <w:t>Äganderätten</w:t>
      </w:r>
      <w:bookmarkEnd w:id="103"/>
    </w:p>
    <w:p w:rsidR="00322A77" w:rsidRPr="00515A4C" w:rsidRDefault="00322A77">
      <w:pPr>
        <w:pStyle w:val="Utskottsfrslagikorthet-Rubrik"/>
        <w:outlineLvl w:val="0"/>
        <w:rPr>
          <w:noProof w:val="0"/>
        </w:rPr>
      </w:pPr>
      <w:r w:rsidRPr="00515A4C">
        <w:rPr>
          <w:noProof w:val="0"/>
        </w:rPr>
        <w:t>Utskottets förslag i korthet</w:t>
      </w:r>
    </w:p>
    <w:p w:rsidR="00322A77" w:rsidRPr="00515A4C" w:rsidRDefault="00322A77">
      <w:pPr>
        <w:pStyle w:val="Utskottsfrslagikorthet-Text"/>
      </w:pPr>
      <w:r w:rsidRPr="00515A4C">
        <w:t>Utskottet avstyrker fyra motionsyrkanden om en förstärkning av äganderätten med hänvisning till tidigare ställningstaganden.</w:t>
      </w:r>
    </w:p>
    <w:p w:rsidR="00322A77" w:rsidRPr="00515A4C" w:rsidRDefault="00322A77">
      <w:pPr>
        <w:pStyle w:val="Utskottsfrslagikorthet-Text"/>
      </w:pPr>
      <w:r w:rsidRPr="00515A4C">
        <w:t>Jämför reservation 17 (m, fp, kd och c).</w:t>
      </w:r>
    </w:p>
    <w:p w:rsidR="00322A77" w:rsidRPr="00515A4C" w:rsidRDefault="00322A77">
      <w:pPr>
        <w:pStyle w:val="Rubrik4"/>
        <w:rPr>
          <w:noProof w:val="0"/>
        </w:rPr>
      </w:pPr>
      <w:bookmarkStart w:id="104" w:name="_Toc34039201"/>
      <w:r w:rsidRPr="00515A4C">
        <w:rPr>
          <w:noProof w:val="0"/>
        </w:rPr>
        <w:t>Motionerna</w:t>
      </w:r>
      <w:bookmarkEnd w:id="104"/>
    </w:p>
    <w:p w:rsidR="00322A77" w:rsidRPr="00515A4C" w:rsidRDefault="00322A77">
      <w:r w:rsidRPr="00515A4C">
        <w:t>Bo Lundgren m.fl. (m) begär i motion K379 (yrkande 12) ett förslag om ändring av regeringsformens skydd för äganderätten så att detta står i sa</w:t>
      </w:r>
      <w:r w:rsidRPr="00515A4C">
        <w:t>m</w:t>
      </w:r>
      <w:r w:rsidRPr="00515A4C">
        <w:t>klang med Europakonventionen. Med egendom enligt Europakonventionen avses inte bara äganderätt till fast och lös egendom utan även rättigheter som fordringar och immateriella rättigheter. Något motsvarande skydd för ege</w:t>
      </w:r>
      <w:r w:rsidRPr="00515A4C">
        <w:t>n</w:t>
      </w:r>
      <w:r w:rsidRPr="00515A4C">
        <w:t>dom bestående av fordringar och immateriella tillgångar finns inte i rege</w:t>
      </w:r>
      <w:r w:rsidRPr="00515A4C">
        <w:t>r</w:t>
      </w:r>
      <w:r w:rsidRPr="00515A4C">
        <w:t>ingsformen. Det är enligt motionen angeläget att regeringsformen innehåller en regel som står i full samklang med Europakonventionen, som slår fast att den enskilda äganderättens princip är okränkbar och att inskränkn</w:t>
      </w:r>
      <w:r w:rsidRPr="00515A4C">
        <w:t>ingar i äganderätten endast får ske i klart angivna fall och då med full ersättning till den enskilde. I sammanhanget måste också hänsyn tas till att samhällsutvec</w:t>
      </w:r>
      <w:r w:rsidRPr="00515A4C">
        <w:t>k</w:t>
      </w:r>
      <w:r w:rsidRPr="00515A4C">
        <w:t>lingen i stort, inte minst genom IT-utvecklingen, bl.a. lett till att en ökande andel av samhällets totala förmögenhetsmassa i dag består av immateriella tillgångar i form av utbildning, dataprogram och databaser, musik, varumä</w:t>
      </w:r>
      <w:r w:rsidRPr="00515A4C">
        <w:t>r</w:t>
      </w:r>
      <w:r w:rsidRPr="00515A4C">
        <w:t>ken, närings- och patenträtter m.m. Mot bakgrund av detta framstår det som angeläget att grundlagsskyddet för den enskil</w:t>
      </w:r>
      <w:r w:rsidRPr="00515A4C">
        <w:t xml:space="preserve">da äganderätten anpassas till samhällsutvecklingen och att skyddet utökas så att det uttryckligen omfattar även annan egendom än mark och byggnader. </w:t>
      </w:r>
    </w:p>
    <w:p w:rsidR="00322A77" w:rsidRPr="00515A4C" w:rsidRDefault="00322A77">
      <w:pPr>
        <w:pStyle w:val="Normaltindrag"/>
      </w:pPr>
      <w:r w:rsidRPr="00515A4C">
        <w:t>I motion K216 av Kenneth Johansson och Eskil Erlandsson (båda c) begärs att regeringen skall tillsätta en kommission med uppgift att belysa den privata äganderättens betydelse för ekonomisk utveckling (yrkande 1). Vidare begärs ett förslag från regeringen om stärkt skydd av äganderätten i både grundlagen och den vanliga lagstiftningen (yrkande 2). Motionärerna</w:t>
      </w:r>
      <w:r w:rsidRPr="00515A4C">
        <w:t xml:space="preserve"> anser att den privata äganderättens betydelse inte kan underskattas. Äganderätten är av grun</w:t>
      </w:r>
      <w:r w:rsidRPr="00515A4C">
        <w:t>d</w:t>
      </w:r>
      <w:r w:rsidRPr="00515A4C">
        <w:t>läggande betydelse för hela samhällssystemet och en av grundstenarna i den svenska rättsordningen. Enligt motionärerna kännetecknas vår författning</w:t>
      </w:r>
      <w:r w:rsidRPr="00515A4C">
        <w:t>s</w:t>
      </w:r>
      <w:r w:rsidRPr="00515A4C">
        <w:t>tradition i flera avseenden av bristande respekt för grundlagen. En författning som inte ger ett starkt och stabilt skydd för den privata äganderätten riskerar enligt motionen att få en kraftigt dämpande effekt på företagande och ekon</w:t>
      </w:r>
      <w:r w:rsidRPr="00515A4C">
        <w:t>o</w:t>
      </w:r>
      <w:r w:rsidRPr="00515A4C">
        <w:t>misk tillväxt.</w:t>
      </w:r>
    </w:p>
    <w:p w:rsidR="00322A77" w:rsidRPr="00515A4C" w:rsidRDefault="00322A77">
      <w:pPr>
        <w:pStyle w:val="Normaltindrag"/>
      </w:pPr>
      <w:r w:rsidRPr="00515A4C">
        <w:t xml:space="preserve">Åsa Torstensson och </w:t>
      </w:r>
      <w:r w:rsidRPr="00515A4C">
        <w:t>Eskil Erlandsson (båda c) begär i motion K323 ett tillkännagivande till regeringen om en stärkt äganderätt med tydliga ersät</w:t>
      </w:r>
      <w:r w:rsidRPr="00515A4C">
        <w:t>t</w:t>
      </w:r>
      <w:r w:rsidRPr="00515A4C">
        <w:t>ningsregler vid inskränkning i nyttjanderätten. Inte minst införandet av milj</w:t>
      </w:r>
      <w:r w:rsidRPr="00515A4C">
        <w:t>ö</w:t>
      </w:r>
      <w:r w:rsidRPr="00515A4C">
        <w:t>balken har enligt motionen bidragit till att problematisera äganderätten. M</w:t>
      </w:r>
      <w:r w:rsidRPr="00515A4C">
        <w:t>e</w:t>
      </w:r>
      <w:r w:rsidRPr="00515A4C">
        <w:t xml:space="preserve">dan t.ex. jordägare har upplevt att ägande- och nyttjanderätten inskränkts utan rätt till ersättning har naturvårdsintressen menat att äganderätten inte får gå framför viktiga intressen. Det finns, enligt motionärerna, en fara i att </w:t>
      </w:r>
      <w:r w:rsidRPr="00515A4C">
        <w:t>ensidigt hävda de gemensamma intressena framför den enskildes äganderätt. Inte minst riskerar det att leda till en ökad misstro mot rättsstaten och till att mä</w:t>
      </w:r>
      <w:r w:rsidRPr="00515A4C">
        <w:t>n</w:t>
      </w:r>
      <w:r w:rsidRPr="00515A4C">
        <w:t>niskor i allt mindre utsträckning känner det personliga ansvaret för sin ege</w:t>
      </w:r>
      <w:r w:rsidRPr="00515A4C">
        <w:t>n</w:t>
      </w:r>
      <w:r w:rsidRPr="00515A4C">
        <w:t>dom och för den egna miljöpåverkan. De möjligheter som finns inte bara till att expropriera egendom utan också till att inskränka nyttjanderätten, måste därför vara förenade med tydliga ersättningsregler. Sådana inskränkningar som inte drabbar generellt utan inom ett bestämt</w:t>
      </w:r>
      <w:r w:rsidRPr="00515A4C">
        <w:t xml:space="preserve"> geografiskt område eller enskilda indiv</w:t>
      </w:r>
      <w:r w:rsidRPr="00515A4C">
        <w:t>i</w:t>
      </w:r>
      <w:r w:rsidRPr="00515A4C">
        <w:t xml:space="preserve">der skall som huvudregel medföra rätt till ersättning. </w:t>
      </w:r>
    </w:p>
    <w:p w:rsidR="00322A77" w:rsidRPr="00515A4C" w:rsidRDefault="00322A77">
      <w:pPr>
        <w:pStyle w:val="Rubrik4"/>
        <w:rPr>
          <w:noProof w:val="0"/>
        </w:rPr>
      </w:pPr>
      <w:bookmarkStart w:id="105" w:name="_Toc34039202"/>
      <w:r w:rsidRPr="00515A4C">
        <w:rPr>
          <w:noProof w:val="0"/>
        </w:rPr>
        <w:t>Gällande regler</w:t>
      </w:r>
      <w:bookmarkEnd w:id="105"/>
    </w:p>
    <w:p w:rsidR="00322A77" w:rsidRPr="00515A4C" w:rsidRDefault="00322A77">
      <w:r w:rsidRPr="00515A4C">
        <w:t>Enligt 2 kap. 18 § första stycket regeringsformen är varje medborgares ege</w:t>
      </w:r>
      <w:r w:rsidRPr="00515A4C">
        <w:t>n</w:t>
      </w:r>
      <w:r w:rsidRPr="00515A4C">
        <w:t>dom tryggad genom att ingen kan tvingas avstå sin egendom till det allmänna eller till någon enskild genom expropriation eller annat sådant förfogande eller tåla att det allmänna inskränker användningen av mark eller byggnad utom när det krävs för att tillgodose angelägna allmänna intressen.</w:t>
      </w:r>
    </w:p>
    <w:p w:rsidR="00322A77" w:rsidRPr="00515A4C" w:rsidRDefault="00322A77">
      <w:pPr>
        <w:pStyle w:val="Normaltindrag"/>
      </w:pPr>
      <w:r w:rsidRPr="00515A4C">
        <w:t>Rätten till ersättning behandlas i paragrafens andra stycke. Den som g</w:t>
      </w:r>
      <w:r w:rsidRPr="00515A4C">
        <w:t>e</w:t>
      </w:r>
      <w:r w:rsidRPr="00515A4C">
        <w:t>nom expropriation eller annat sådant förfogande tvingas avstå sin egendom skall vara tillförsäkrad ersättning för förlusten. Sådan ersättning skall också vara tillförsäkrad den för vilken det allmänna inskränker användningen av mark eller byggnad på sådant sätt att pågående markanvändning inom berörd del av fastigheten avsevärt försvåras eller skada uppkommer som är betyda</w:t>
      </w:r>
      <w:r w:rsidRPr="00515A4C">
        <w:t>n</w:t>
      </w:r>
      <w:r w:rsidRPr="00515A4C">
        <w:t>de i förhållande till värdet på denna del av fastigheten. Ersättningen skall bestämmas enligt grunder som anges i lag.</w:t>
      </w:r>
    </w:p>
    <w:p w:rsidR="00322A77" w:rsidRPr="00515A4C" w:rsidRDefault="00322A77">
      <w:r w:rsidRPr="00515A4C">
        <w:t>I första tillägg</w:t>
      </w:r>
      <w:r w:rsidRPr="00515A4C">
        <w:t xml:space="preserve">sprotokollet till Europakonventionen föreskrivs i artikel 1 att varje fysisk eller juridisk person skall ha rätt till respekt för sin egendom och att ingen får berövas sin egendom annat än i det allmännas intresse och under de förutsättningar som anges i lag och i folkrättens allmänna grundsatser. Dessa bestämmelser inskränker dock inte en stats rätt att genomföra sådan lagstiftning som staten finner nödvändig för att reglera nyttjandet av egendom i överensstämmelse med det allmännas intresse eller för att </w:t>
      </w:r>
      <w:r w:rsidRPr="00515A4C">
        <w:t>säkerställa beta</w:t>
      </w:r>
      <w:r w:rsidRPr="00515A4C">
        <w:t>l</w:t>
      </w:r>
      <w:r w:rsidRPr="00515A4C">
        <w:t>ning av skatter eller andra pålagor eller av böter och viten.</w:t>
      </w:r>
    </w:p>
    <w:p w:rsidR="00322A77" w:rsidRPr="00515A4C" w:rsidRDefault="00322A77">
      <w:pPr>
        <w:pStyle w:val="Normaltindrag"/>
      </w:pPr>
      <w:r w:rsidRPr="00515A4C">
        <w:t>Egendomsbegreppet i artikeln har getts en vidsträckt innebörd. Med u</w:t>
      </w:r>
      <w:r w:rsidRPr="00515A4C">
        <w:t>t</w:t>
      </w:r>
      <w:r w:rsidRPr="00515A4C">
        <w:t>trycket egendom avses inte enbart äganderätt till fast och lös egendom i civi</w:t>
      </w:r>
      <w:r w:rsidRPr="00515A4C">
        <w:t>l</w:t>
      </w:r>
      <w:r w:rsidRPr="00515A4C">
        <w:t>rättslig mening utan även fordringar och immateriella rättigheter skyddas av artikeln.</w:t>
      </w:r>
    </w:p>
    <w:p w:rsidR="00322A77" w:rsidRPr="00515A4C" w:rsidRDefault="00322A77">
      <w:pPr>
        <w:pStyle w:val="Normaltindrag"/>
      </w:pPr>
      <w:r w:rsidRPr="00515A4C">
        <w:t>I fråga om immateriella rättigheter stadgas det i 2 kap. 19 § regeringsfo</w:t>
      </w:r>
      <w:r w:rsidRPr="00515A4C">
        <w:t>r</w:t>
      </w:r>
      <w:r w:rsidRPr="00515A4C">
        <w:t>men att författare, konstnärer och fotografer äger rätt till sina verk enligt  bestämmelser som meddelas i lag. Enligt förarbetena har den verksamhet  som bedrivs av författare och andra konstnärer stor betydelse för opinion</w:t>
      </w:r>
      <w:r w:rsidRPr="00515A4C">
        <w:t>s</w:t>
      </w:r>
      <w:r w:rsidRPr="00515A4C">
        <w:t>bildningen och den andliga odlingen över huvud taget. Det yttersta syftet med bestämmelsen är att  förstärka skyddet för den fria åsiktsbildningen i samhä</w:t>
      </w:r>
      <w:r w:rsidRPr="00515A4C">
        <w:t>l</w:t>
      </w:r>
      <w:r w:rsidRPr="00515A4C">
        <w:t>let. Föredragande statsråd ansåg det därför inte motiverat att låta den omfatta rättigheter av det slag som tillkommer uppfinnare o</w:t>
      </w:r>
      <w:r w:rsidRPr="00515A4C">
        <w:t>ch mönsterskapare. Inte heller sådana upphovsrätten  närstående rättigheter som innehas av fonogra</w:t>
      </w:r>
      <w:r w:rsidRPr="00515A4C">
        <w:t>m</w:t>
      </w:r>
      <w:r w:rsidRPr="00515A4C">
        <w:t>framställare eller radioföretag ansågs böra omfattas (prop. 1975/76:209 s. 129).</w:t>
      </w:r>
    </w:p>
    <w:p w:rsidR="00322A77" w:rsidRPr="00515A4C" w:rsidRDefault="00322A77">
      <w:pPr>
        <w:pStyle w:val="Normaltindrag"/>
      </w:pPr>
      <w:r w:rsidRPr="00515A4C">
        <w:t>Av grundlagsbestämmelsen framgår att det skall finnas lagbestämmelser  om författares, konstnärers och fotografers verk, men den säger ingenting om vad dessa skall innehålla. De avsedda lagbestämmelserna finns i lagen (1960:729) om upphovsrätt till litterära och konstnärliga verk. Där finns bl.a. föreskrifter om upphovsmannens för</w:t>
      </w:r>
      <w:r w:rsidRPr="00515A4C">
        <w:t>foganderätt och ideella rätt, om upphov</w:t>
      </w:r>
      <w:r w:rsidRPr="00515A4C">
        <w:t>s</w:t>
      </w:r>
      <w:r w:rsidRPr="00515A4C">
        <w:t>rättens övergång och dess giltighetstid samt om ersättningsskyldighet och straffansvar  vid intrång i upphovsma</w:t>
      </w:r>
      <w:r w:rsidRPr="00515A4C">
        <w:t>n</w:t>
      </w:r>
      <w:r w:rsidRPr="00515A4C">
        <w:t>nens förfoganderätt eller ideella rätt.</w:t>
      </w:r>
    </w:p>
    <w:p w:rsidR="00322A77" w:rsidRPr="00515A4C" w:rsidRDefault="00322A77">
      <w:pPr>
        <w:pStyle w:val="Normaltindrag"/>
      </w:pPr>
      <w:r w:rsidRPr="00515A4C">
        <w:t>De begränsningar av yttrandefriheten som upphovsrätten innebär anses föranledda av särskilt viktiga skäl och därför tillåtna enligt 2 kap. 13 § rege</w:t>
      </w:r>
      <w:r w:rsidRPr="00515A4C">
        <w:t>r</w:t>
      </w:r>
      <w:r w:rsidRPr="00515A4C">
        <w:t>ingsformen (se prop. 1975/76:209 s. 155).</w:t>
      </w:r>
    </w:p>
    <w:p w:rsidR="00322A77" w:rsidRPr="00515A4C" w:rsidRDefault="00322A77">
      <w:pPr>
        <w:pStyle w:val="Rubrik4"/>
        <w:rPr>
          <w:noProof w:val="0"/>
        </w:rPr>
      </w:pPr>
      <w:bookmarkStart w:id="106" w:name="_Toc4902266"/>
      <w:bookmarkStart w:id="107" w:name="_Toc34039203"/>
      <w:r w:rsidRPr="00515A4C">
        <w:rPr>
          <w:noProof w:val="0"/>
        </w:rPr>
        <w:t>Tidigare riksdagsbehandling m.m</w:t>
      </w:r>
      <w:bookmarkEnd w:id="106"/>
      <w:r w:rsidRPr="00515A4C">
        <w:rPr>
          <w:noProof w:val="0"/>
        </w:rPr>
        <w:t>.</w:t>
      </w:r>
      <w:bookmarkEnd w:id="107"/>
    </w:p>
    <w:p w:rsidR="00322A77" w:rsidRPr="00515A4C" w:rsidRDefault="00322A77">
      <w:r w:rsidRPr="00515A4C">
        <w:t xml:space="preserve">När riksdagen år 1994 behandlade regeringens förslag till ny lydelse av 2 kap. 18 § regeringsformen avstyrkte konstitutionsutskottet motioner om längre gående grundlagsskydd än vad regeringen hade föreslagit (bet. 1993/94: KU24 s. 28 f.). Utskottet ansåg det därvid inte motiverat att låta all egendom, både fast och lös, omfattas av grundlagens egendomsskydd. Utskottet pekade också på att bestämmelser varigenom den enskilde tillförsäkras full ersättning eller ersättning för hela förlusten inte skulle vara </w:t>
      </w:r>
      <w:r w:rsidRPr="00515A4C">
        <w:t>helt rättvisande med hänsyn till att vissa s.k. förväntningsvärden inte är ersättningsgilla. Utskottet unde</w:t>
      </w:r>
      <w:r w:rsidRPr="00515A4C">
        <w:t>r</w:t>
      </w:r>
      <w:r w:rsidRPr="00515A4C">
        <w:t>strök vidare att införandet av ett grundlagsskydd för rådighetsinskränkningar i sig inte innebar att ersättningsrätten utvidgades i förhållande till vad som redan gäl</w:t>
      </w:r>
      <w:r w:rsidRPr="00515A4C">
        <w:t>l</w:t>
      </w:r>
      <w:r w:rsidRPr="00515A4C">
        <w:t>de.</w:t>
      </w:r>
    </w:p>
    <w:p w:rsidR="00322A77" w:rsidRPr="00515A4C" w:rsidRDefault="00322A77">
      <w:pPr>
        <w:pStyle w:val="Normaltindrag"/>
      </w:pPr>
      <w:r w:rsidRPr="00515A4C">
        <w:t>Frågan om innebörden av 2 kap. 18 § regeringsformen behandlades av konstitutionsutskottet våren 1998 i ett yttrande till jordbruksutskottet över regeringens förslag till ny miljöbalk, varvid frågan om huruvida ordalydelsen i paragraf</w:t>
      </w:r>
      <w:r w:rsidRPr="00515A4C">
        <w:t>en var förenlig med motiven diskuterades (yttr. 1997/98:KU8y). Utskottet gjorde då bedömningen att grundlagsbestämmelsen trots den mindre tillfredsställande ordalydelsen måste uppfattas så att en utvidgning av ersät</w:t>
      </w:r>
      <w:r w:rsidRPr="00515A4C">
        <w:t>t</w:t>
      </w:r>
      <w:r w:rsidRPr="00515A4C">
        <w:t>ningsrätten inte skett. Med anledning av flera motioner från den allmänna motionstiden kom ett enigt konstitutionsutskott i betänkande 1997/98:KU30 (s. 7) fram till slutsatsen att det inte gick att bortse från att bestämmelsen i 2 kap. 18  § andra stycket regeringsformen hade varit föremål för o</w:t>
      </w:r>
      <w:r w:rsidRPr="00515A4C">
        <w:t>mfattande debatt och att Lagrådet förordat en ändring av bestämmelsen. Även om u</w:t>
      </w:r>
      <w:r w:rsidRPr="00515A4C">
        <w:t>t</w:t>
      </w:r>
      <w:r w:rsidRPr="00515A4C">
        <w:t>skottet ansåg att bestämmelsen måste kunna uppfattas i enlighet med vad som avsetts vid dess til</w:t>
      </w:r>
      <w:r w:rsidRPr="00515A4C">
        <w:t>l</w:t>
      </w:r>
      <w:r w:rsidRPr="00515A4C">
        <w:t>komst fanns det anledning att se över dess lydelse.</w:t>
      </w:r>
    </w:p>
    <w:p w:rsidR="00322A77" w:rsidRPr="00515A4C" w:rsidRDefault="00322A77">
      <w:pPr>
        <w:pStyle w:val="Normaltindrag"/>
      </w:pPr>
      <w:r w:rsidRPr="00515A4C">
        <w:t>Frågan behandlades åter av utskottet våren 2000 i betänkande 1999/2000: KU11. Utskottet hänvisade till att det vid flera tillfällen avstyrkt motioner om utvidgning av grundlagens egendomsskydd. Utskottet ansåg inte att det fra</w:t>
      </w:r>
      <w:r w:rsidRPr="00515A4C">
        <w:t>m</w:t>
      </w:r>
      <w:r w:rsidRPr="00515A4C">
        <w:t>kommit skäl att ändra sin tidigare bedömning. Utskottet ansåg inte heller att det fanns skäl att ge äganderätten samma skydd mot begränsningar som gäller för de s.k. politiska rättigheterna. Även när det gäller ersättningsfrågan hänv</w:t>
      </w:r>
      <w:r w:rsidRPr="00515A4C">
        <w:t>i</w:t>
      </w:r>
      <w:r w:rsidRPr="00515A4C">
        <w:t>sade utskottet till att det vid flera tillfällen avstyrkt motioner om en utvid</w:t>
      </w:r>
      <w:r w:rsidRPr="00515A4C">
        <w:t>g</w:t>
      </w:r>
      <w:r w:rsidRPr="00515A4C">
        <w:t>ning till full ersättning. Utskottet framhöll att när det i betänkande 1997/98:KU30 förordades att ordalydelsen av 2 kap. 18 § regeringsformen skulle ses över, ansåg utskottet att utredningen inte b</w:t>
      </w:r>
      <w:r w:rsidRPr="00515A4C">
        <w:t>orde omfatta frågan om utvidgning till full ersättning. Utskottet gjorde fortfarande sa</w:t>
      </w:r>
      <w:r w:rsidRPr="00515A4C">
        <w:t>m</w:t>
      </w:r>
      <w:r w:rsidRPr="00515A4C">
        <w:t xml:space="preserve">ma bedömning. </w:t>
      </w:r>
    </w:p>
    <w:p w:rsidR="00322A77" w:rsidRPr="00515A4C" w:rsidRDefault="00322A77">
      <w:pPr>
        <w:pStyle w:val="Normaltindrag"/>
      </w:pPr>
      <w:r w:rsidRPr="00515A4C">
        <w:t>1999 års författningsutredning, som hade i uppdrag bl.a. att se över ord</w:t>
      </w:r>
      <w:r w:rsidRPr="00515A4C">
        <w:t>a</w:t>
      </w:r>
      <w:r w:rsidRPr="00515A4C">
        <w:t>lydelsen av regeringsformens bestämmelse om egendomsskydd, avlämnade i februari 2001 betänkandet Vissa grundlagsfrågor (SOU 2001:19). När det gällde regeringsformens egendomsskydd konstaterade utredningen att man misslyckats. Mot bakgrund av att ett förslag till ändring av grundlag bör ha ett brett parlamentariskt stöd och att ett sådant stöd inte hade kunnat uppnås, hade utredningen beslutat att avstå från att lägga fram något förslag till ändrad lydelse av 2 kap. 18 § regeringsformen. Mot bakgrund av utr</w:t>
      </w:r>
      <w:r w:rsidRPr="00515A4C">
        <w:t>edningens slu</w:t>
      </w:r>
      <w:r w:rsidRPr="00515A4C">
        <w:t>t</w:t>
      </w:r>
      <w:r w:rsidRPr="00515A4C">
        <w:t>sats när det gäller regeringsformens bestämmelse om egendomsskydd lade inte regeringen fram förslag till ändrad lydelse av 2 kap. 18 regering</w:t>
      </w:r>
      <w:r w:rsidRPr="00515A4C">
        <w:t>s</w:t>
      </w:r>
      <w:r w:rsidRPr="00515A4C">
        <w:t>formen.</w:t>
      </w:r>
    </w:p>
    <w:p w:rsidR="00322A77" w:rsidRPr="00515A4C" w:rsidRDefault="00322A77">
      <w:pPr>
        <w:pStyle w:val="Normaltindrag"/>
      </w:pPr>
      <w:r w:rsidRPr="00515A4C">
        <w:t>Frågan om Europakonventionens ställning i lagstiftningen efter inkorpor</w:t>
      </w:r>
      <w:r w:rsidRPr="00515A4C">
        <w:t>e</w:t>
      </w:r>
      <w:r w:rsidRPr="00515A4C">
        <w:t>ringen behandlades av utskottet i samband med behandlingen av proposition 1993/94:117 med förslag till inkorporering av Europakonventionen i svensk lagstiftning. Utskottet delade regeringens bedömning att i det säkerligen fåtal fall då en svensk lagregel kan anses strida mot konventionen, fick det bl.a. bli en uppgift för domstolarna och förvaltningsmyndigheterna att avgöra hur konflikterna skall lösas (bet. 1993/94:KU24 s. 20).</w:t>
      </w:r>
    </w:p>
    <w:p w:rsidR="00322A77" w:rsidRPr="00515A4C" w:rsidRDefault="00322A77">
      <w:pPr>
        <w:pStyle w:val="Normaltindrag"/>
      </w:pPr>
      <w:r w:rsidRPr="00515A4C">
        <w:t>Motioner om äganderätten, bl.a. motioner (m respektive c) liknande K379 respek</w:t>
      </w:r>
      <w:r w:rsidRPr="00515A4C">
        <w:t>tive K216 och K323 behandlades senast våren 2002 i betänkande 2001/02:KU15 (s. 88 f.). Utskottet vidhöll sina tidigare bedömningar när det gäller ett förstärkt grundlagsskydd för äganderätten och avstyrkte motionerna. Utskottet ansåg mot bakgrund av tidigare bedömningar inte heller att det behövdes ett tillkännagivande till regeringen om stärkande av äganderätten med tydliga ersättningsregler vid inskränkning av nyttjanderätten eller om en kommission för att belysa den privata äganderättens betydelse och av</w:t>
      </w:r>
      <w:r w:rsidRPr="00515A4C">
        <w:t>styrkte därför moti</w:t>
      </w:r>
      <w:r w:rsidRPr="00515A4C">
        <w:t>o</w:t>
      </w:r>
      <w:r w:rsidRPr="00515A4C">
        <w:t>ner om detta. En reservation (m, kd, fp, och c) avgavs.</w:t>
      </w:r>
    </w:p>
    <w:p w:rsidR="00322A77" w:rsidRPr="00515A4C" w:rsidRDefault="00322A77">
      <w:pPr>
        <w:pStyle w:val="Rubrik4"/>
        <w:rPr>
          <w:noProof w:val="0"/>
        </w:rPr>
      </w:pPr>
      <w:bookmarkStart w:id="108" w:name="_Toc34039204"/>
      <w:r w:rsidRPr="00515A4C">
        <w:rPr>
          <w:noProof w:val="0"/>
        </w:rPr>
        <w:t>Utskottets ställningstagande</w:t>
      </w:r>
      <w:bookmarkEnd w:id="108"/>
    </w:p>
    <w:p w:rsidR="00322A77" w:rsidRPr="00515A4C" w:rsidRDefault="00322A77">
      <w:r w:rsidRPr="00515A4C">
        <w:t>Utskottet vidhåller sina tidigare bedömningar. Motionerna K379 yrkande 12 (m), K216 yrkandena 1 och 2 (c) samt K323 avstyrks.</w:t>
      </w:r>
    </w:p>
    <w:p w:rsidR="00322A77" w:rsidRPr="00515A4C" w:rsidRDefault="00322A77">
      <w:pPr>
        <w:pStyle w:val="Rubrik2"/>
        <w:spacing w:before="360"/>
      </w:pPr>
      <w:bookmarkStart w:id="109" w:name="_Toc34039205"/>
      <w:r w:rsidRPr="00515A4C">
        <w:t>Internationella kvinnodagen</w:t>
      </w:r>
      <w:bookmarkEnd w:id="109"/>
    </w:p>
    <w:p w:rsidR="00322A77" w:rsidRPr="00515A4C" w:rsidRDefault="00322A77">
      <w:pPr>
        <w:pStyle w:val="Utskottsfrslagikorthet-Rubrik"/>
        <w:outlineLvl w:val="0"/>
        <w:rPr>
          <w:noProof w:val="0"/>
        </w:rPr>
      </w:pPr>
      <w:r w:rsidRPr="00515A4C">
        <w:rPr>
          <w:noProof w:val="0"/>
        </w:rPr>
        <w:t>Utskottets förslag i korthet</w:t>
      </w:r>
    </w:p>
    <w:p w:rsidR="00322A77" w:rsidRPr="00515A4C" w:rsidRDefault="00322A77">
      <w:pPr>
        <w:pStyle w:val="Utskottsfrslagikorthet-Text"/>
      </w:pPr>
      <w:r w:rsidRPr="00515A4C">
        <w:t>Utskottet avstyrker med hänvisning till tidigare ställningstagande ett motionsyrkande om att den 8 mars skall bli helgdag.</w:t>
      </w:r>
    </w:p>
    <w:p w:rsidR="00322A77" w:rsidRPr="00515A4C" w:rsidRDefault="00322A77">
      <w:pPr>
        <w:pStyle w:val="Utskottsfrslagikorthet-Text"/>
      </w:pPr>
      <w:r w:rsidRPr="00515A4C">
        <w:t>Jämför reservation 18 (v),  särskilt yttrande 6 (mp).</w:t>
      </w:r>
    </w:p>
    <w:p w:rsidR="00322A77" w:rsidRPr="00515A4C" w:rsidRDefault="00322A77">
      <w:pPr>
        <w:pStyle w:val="Rubrik4"/>
        <w:rPr>
          <w:noProof w:val="0"/>
        </w:rPr>
      </w:pPr>
      <w:bookmarkStart w:id="110" w:name="_Toc34039206"/>
      <w:r w:rsidRPr="00515A4C">
        <w:rPr>
          <w:noProof w:val="0"/>
        </w:rPr>
        <w:t>Motionen</w:t>
      </w:r>
      <w:bookmarkEnd w:id="110"/>
    </w:p>
    <w:p w:rsidR="00322A77" w:rsidRPr="00515A4C" w:rsidRDefault="00322A77">
      <w:r w:rsidRPr="00515A4C">
        <w:t>I motion K272 av Mats Einarsson m.fl. (v) begärs att den 8 mars skall bli helgdag. År 1980 proklamerade FN den 8 mars som internationell kvinnodag. Motionärerna hänvisar till att 15 länder redan beslutat att göra den 8 mars till helgdag och anser att Sverige bör vara ytterligare ett land bland dessa. Ett beslut om att den 8 mars skall vara helgdag skulle dessutom vara en viktig markering av att Sverige som land strävar efter jämställdhet. Regeringen bör, enligt motionärerna, utreda kostnaderna och bedöma o</w:t>
      </w:r>
      <w:r w:rsidRPr="00515A4C">
        <w:t>m de bör anses inry</w:t>
      </w:r>
      <w:r w:rsidRPr="00515A4C">
        <w:t>m</w:t>
      </w:r>
      <w:r w:rsidRPr="00515A4C">
        <w:t>mas i det totala samhällsekonomiska utrymmet eller om det bör ske en vä</w:t>
      </w:r>
      <w:r w:rsidRPr="00515A4C">
        <w:t>x</w:t>
      </w:r>
      <w:r w:rsidRPr="00515A4C">
        <w:t>ling mot annan helgdag, innan frågan slutligt avgörs.</w:t>
      </w:r>
    </w:p>
    <w:p w:rsidR="00322A77" w:rsidRPr="00515A4C" w:rsidRDefault="00322A77">
      <w:pPr>
        <w:pStyle w:val="Rubrik4"/>
        <w:rPr>
          <w:noProof w:val="0"/>
        </w:rPr>
      </w:pPr>
      <w:bookmarkStart w:id="111" w:name="_Toc34039207"/>
      <w:r w:rsidRPr="00515A4C">
        <w:rPr>
          <w:noProof w:val="0"/>
        </w:rPr>
        <w:t>Bakgrund</w:t>
      </w:r>
      <w:bookmarkEnd w:id="111"/>
    </w:p>
    <w:p w:rsidR="00322A77" w:rsidRPr="00515A4C" w:rsidRDefault="00322A77">
      <w:r w:rsidRPr="00515A4C">
        <w:t>Enligt 1 § lagen (1989:253) om allmänna helgdagar avses med allmän hel</w:t>
      </w:r>
      <w:r w:rsidRPr="00515A4C">
        <w:t>g</w:t>
      </w:r>
      <w:r w:rsidRPr="00515A4C">
        <w:t>dag söndagar, däribland påskdagen och pingstdagen, samt nyårsdagen, tre</w:t>
      </w:r>
      <w:r w:rsidRPr="00515A4C">
        <w:t>t</w:t>
      </w:r>
      <w:r w:rsidRPr="00515A4C">
        <w:t>tondedag jul, första maj, juldagen och annandag jul, även när de inte infaller på en söndag, vidare långfredagen, annandag påsk, Kristi himmelsfärdsdag, annandag pingst, midsommardagen och alla he</w:t>
      </w:r>
      <w:r w:rsidRPr="00515A4C">
        <w:t>l</w:t>
      </w:r>
      <w:r w:rsidRPr="00515A4C">
        <w:t>gons dag.</w:t>
      </w:r>
    </w:p>
    <w:p w:rsidR="00322A77" w:rsidRPr="00515A4C" w:rsidRDefault="00322A77">
      <w:pPr>
        <w:pStyle w:val="Normaltindrag"/>
      </w:pPr>
      <w:r w:rsidRPr="00515A4C">
        <w:t>I förarbetena (prop. 1988/89:114 s. 5) konstateras att flera funktioner är knutna till helgdagsbegreppet genom föreskrifter i olika författningar. Det gäller framför allt föreskrifter som reglerar när åtgärder skall vidtas och hur t</w:t>
      </w:r>
      <w:r w:rsidRPr="00515A4C">
        <w:t xml:space="preserve">iden skall beräknas när en förfallodag e.d. infaller på en söndag eller annan allmän helgdag. Som exempel nämns vidare att enligt 9 § semesterlagen (1977:480) gäller bl.a. att helgdagar normalt inte räknas som semesterdagar. Vidare framhålls i propositionen att vad som är allmän helgdag är av stor rättslig och samhällsekonomisk betydelse. </w:t>
      </w:r>
    </w:p>
    <w:p w:rsidR="00322A77" w:rsidRPr="00515A4C" w:rsidRDefault="00322A77">
      <w:pPr>
        <w:pStyle w:val="Normaltindrag"/>
      </w:pPr>
      <w:r w:rsidRPr="00515A4C">
        <w:t>Frågan om nationaldagen som allmän helgdag har  behandlats av utskottet vid flera tillfällen. Vid riksmötet 1991/92 (bet. 1991/92:KU9) ansåg utskottet, som var medvetet o</w:t>
      </w:r>
      <w:r w:rsidRPr="00515A4C">
        <w:t>m att införande av ytterligare en helgdag bl.a. hade ek</w:t>
      </w:r>
      <w:r w:rsidRPr="00515A4C">
        <w:t>o</w:t>
      </w:r>
      <w:r w:rsidRPr="00515A4C">
        <w:t>nomiska aspekter, att frågan på lämpligt sätt borde bli föremål för utredning.</w:t>
      </w:r>
    </w:p>
    <w:p w:rsidR="00322A77" w:rsidRPr="00515A4C" w:rsidRDefault="00322A77">
      <w:pPr>
        <w:pStyle w:val="Normaltindrag"/>
      </w:pPr>
      <w:r w:rsidRPr="00515A4C">
        <w:t>Regeringen tillsatte i september 1993 en utredning med syfte att utreda förutsättningarna för att göra nationaldagen den 6 juni till helgdag. Enligt direktiven (dir. 1993:104) var det av vikt att utredningen särskilt studerade de ekonomiska konsekvenserna som inrättandet av en ny helgdag skulle få, såväl för den offentliga sektorn som för näringslivet och övriga delar av sam</w:t>
      </w:r>
      <w:r w:rsidRPr="00515A4C">
        <w:t xml:space="preserve">hället. I utredarens uppdrag låg också att undersöka konsekvenserna, ekonomiska och andra, av att inrätta nationaldagen som helgdag på bekostnad av någon nu existerande allmän helgdag. </w:t>
      </w:r>
    </w:p>
    <w:p w:rsidR="00322A77" w:rsidRPr="00515A4C" w:rsidRDefault="00322A77">
      <w:pPr>
        <w:pStyle w:val="Normaltindrag"/>
      </w:pPr>
      <w:r w:rsidRPr="00515A4C">
        <w:t>Utredaren föreslog i sitt betänkande (SOU 1994:58) att nationaldagen den 6 juni blir allmän helgdag samtidigt som annandag pingst upphör att vara helgdag. Utredaren hade kommit fram till denna slutsats bl.a. genom att st</w:t>
      </w:r>
      <w:r w:rsidRPr="00515A4C">
        <w:t>u</w:t>
      </w:r>
      <w:r w:rsidRPr="00515A4C">
        <w:t>dera de ekonomiska konsekvenserna av ytterligare en helgdag. Sammanfat</w:t>
      </w:r>
      <w:r w:rsidRPr="00515A4C">
        <w:t>t</w:t>
      </w:r>
      <w:r w:rsidRPr="00515A4C">
        <w:t>ningsvis angav utredaren att om man införde nationaldagen som en helgdag, utan att ändra något annat, skulle det medföra ett årligt inkomstbortfall inom tillverkningsindustrin på omkring 0,3 % i genomsnitt. Bruttonationalprodu</w:t>
      </w:r>
      <w:r w:rsidRPr="00515A4C">
        <w:t>k</w:t>
      </w:r>
      <w:r w:rsidRPr="00515A4C">
        <w:t>ten skulle minska med mellan 0,2 och 0,3 %, dvs. mellan 3 och 4 miljarder kronor baserat på 1992 års produktion. Utredaren anförde att det inte kunde anses rimligt att i dagens ekonomiska läge införa ytterligare e</w:t>
      </w:r>
      <w:r w:rsidRPr="00515A4C">
        <w:t>n helgdag. Om nationaldagen skulle bli helgdag borde en befintlig helgdag tas bort eller flyttas. I budgetpropositionen 1994/95:100 (bil. 3 s. 14) angav regeringen att tanken att göra nationa</w:t>
      </w:r>
      <w:r w:rsidRPr="00515A4C">
        <w:t>l</w:t>
      </w:r>
      <w:r w:rsidRPr="00515A4C">
        <w:t>dagen till helgdag inte borde fullföljas.</w:t>
      </w:r>
    </w:p>
    <w:p w:rsidR="00322A77" w:rsidRPr="00515A4C" w:rsidRDefault="00322A77">
      <w:pPr>
        <w:pStyle w:val="Normaltindrag"/>
      </w:pPr>
      <w:r w:rsidRPr="00515A4C">
        <w:t>Konstitutionsutskottet har vid flera tillfällen härefter avslagit motioner om nationaldagen som helgdag (bet. 1995/96:KU11, 1997/98:KU9, 1999/2000: KU18 och 2000/01:KU15). I betänkandet 1999/2000:KU18 avstyrkte utsko</w:t>
      </w:r>
      <w:r w:rsidRPr="00515A4C">
        <w:t>t</w:t>
      </w:r>
      <w:r w:rsidRPr="00515A4C">
        <w:t xml:space="preserve">tet en motion om att göra den internationella kvinnodagen till allmän helgdag. </w:t>
      </w:r>
    </w:p>
    <w:p w:rsidR="00322A77" w:rsidRPr="00515A4C" w:rsidRDefault="00322A77">
      <w:pPr>
        <w:pStyle w:val="Normaltindrag"/>
      </w:pPr>
      <w:r w:rsidRPr="00515A4C">
        <w:t>Frågan om införande av nya helgdagar behandlades senast i betänkande 2001/02:KU9 s. 5 f. Utskottet ansåg att nationaldagen den 6 juni bör bli al</w:t>
      </w:r>
      <w:r w:rsidRPr="00515A4C">
        <w:t>l</w:t>
      </w:r>
      <w:r w:rsidRPr="00515A4C">
        <w:t>män helgdag. Utskottet var medvetet om att detta kan få ekonomiska kons</w:t>
      </w:r>
      <w:r w:rsidRPr="00515A4C">
        <w:t>e</w:t>
      </w:r>
      <w:r w:rsidRPr="00515A4C">
        <w:t xml:space="preserve">kvenser för samhället. Om den 6 juni blir allmän helgdag på bekostnad av någon nu existerande helgdag blir de ekonomiska effekterna beroende av vilken existerande allmän helgdag som skall komma i fråga. Utskottet ansåg att det fick ankomma på regeringen att utarbeta ett förslag som innebär att nationaldagen den 6 juni skall bli allmän helgdag. Riksdagen gav regeringen detta till känna (rskr. 139 ). När det gällde frågan om kvinnodagen </w:t>
      </w:r>
      <w:r w:rsidRPr="00515A4C">
        <w:t>den 8 mars hänvisade utskottet till sin tidigare bedömning att motioner med yrkanden om att göra den internationella kvinnodagen till allmän helgdag skulle avstyrkas. Två motioner (v respektive mp) i frågan avstyr</w:t>
      </w:r>
      <w:r w:rsidRPr="00515A4C">
        <w:t>k</w:t>
      </w:r>
      <w:r w:rsidRPr="00515A4C">
        <w:t xml:space="preserve">tes. </w:t>
      </w:r>
    </w:p>
    <w:p w:rsidR="00322A77" w:rsidRPr="00515A4C" w:rsidRDefault="00322A77">
      <w:pPr>
        <w:pStyle w:val="Normaltindrag"/>
      </w:pPr>
      <w:r w:rsidRPr="00515A4C">
        <w:t>Enligt uppgift från Regeringskansliet förbereds för närvarande utfor</w:t>
      </w:r>
      <w:r w:rsidRPr="00515A4C">
        <w:t>m</w:t>
      </w:r>
      <w:r w:rsidRPr="00515A4C">
        <w:t>ningen av direktiv till en utredning om nationaldagen som helgdag.</w:t>
      </w:r>
    </w:p>
    <w:p w:rsidR="00322A77" w:rsidRPr="00515A4C" w:rsidRDefault="00322A77">
      <w:pPr>
        <w:pStyle w:val="Rubrik4"/>
        <w:rPr>
          <w:noProof w:val="0"/>
        </w:rPr>
      </w:pPr>
      <w:bookmarkStart w:id="112" w:name="_Toc34039208"/>
      <w:r w:rsidRPr="00515A4C">
        <w:rPr>
          <w:noProof w:val="0"/>
        </w:rPr>
        <w:t>Utskottets ställningstagande</w:t>
      </w:r>
      <w:bookmarkEnd w:id="112"/>
    </w:p>
    <w:p w:rsidR="00322A77" w:rsidRPr="00515A4C" w:rsidRDefault="00322A77">
      <w:r w:rsidRPr="00515A4C">
        <w:t>Utskottet vidhåller sitt tidigare ställningstagande. Motion K272 (v) avstyrks.</w:t>
      </w:r>
    </w:p>
    <w:p w:rsidR="00322A77" w:rsidRPr="00515A4C" w:rsidRDefault="00322A77">
      <w:pPr>
        <w:pStyle w:val="Rubrik2"/>
      </w:pPr>
      <w:bookmarkStart w:id="113" w:name="_Toc34039209"/>
      <w:r w:rsidRPr="00515A4C">
        <w:t>Upprättelse för personer som placerades i interneringsläger</w:t>
      </w:r>
      <w:bookmarkEnd w:id="113"/>
    </w:p>
    <w:p w:rsidR="00322A77" w:rsidRPr="00515A4C" w:rsidRDefault="00322A77">
      <w:pPr>
        <w:pStyle w:val="Utskottsfrslagikorthet-Rubrik"/>
        <w:outlineLvl w:val="0"/>
        <w:rPr>
          <w:noProof w:val="0"/>
        </w:rPr>
      </w:pPr>
      <w:r w:rsidRPr="00515A4C">
        <w:rPr>
          <w:noProof w:val="0"/>
        </w:rPr>
        <w:t>Utskottets förslag i korthet</w:t>
      </w:r>
    </w:p>
    <w:p w:rsidR="00322A77" w:rsidRPr="00515A4C" w:rsidRDefault="00322A77">
      <w:pPr>
        <w:pStyle w:val="Utskottsfrslagikorthet-Text"/>
      </w:pPr>
      <w:r w:rsidRPr="00515A4C">
        <w:t>Utskottet avstyrker bl.a. med hänvisning till tidigare ställningst</w:t>
      </w:r>
      <w:r w:rsidRPr="00515A4C">
        <w:t>a</w:t>
      </w:r>
      <w:r w:rsidRPr="00515A4C">
        <w:t>gande en motion om upprättelse för personer som under andra världskriget placerades i interneringsläger.</w:t>
      </w:r>
    </w:p>
    <w:p w:rsidR="00322A77" w:rsidRPr="00515A4C" w:rsidRDefault="00322A77">
      <w:pPr>
        <w:pStyle w:val="Utskottsfrslagikorthet-Text"/>
      </w:pPr>
      <w:r w:rsidRPr="00515A4C">
        <w:t>Jämför reservation 19 (v, mp).</w:t>
      </w:r>
    </w:p>
    <w:p w:rsidR="00322A77" w:rsidRPr="00515A4C" w:rsidRDefault="00322A77">
      <w:pPr>
        <w:pStyle w:val="Rubrik4"/>
        <w:rPr>
          <w:noProof w:val="0"/>
        </w:rPr>
      </w:pPr>
      <w:bookmarkStart w:id="114" w:name="_Toc34039210"/>
      <w:r w:rsidRPr="00515A4C">
        <w:rPr>
          <w:noProof w:val="0"/>
        </w:rPr>
        <w:t>Motionen</w:t>
      </w:r>
      <w:bookmarkEnd w:id="114"/>
    </w:p>
    <w:p w:rsidR="00322A77" w:rsidRPr="00515A4C" w:rsidRDefault="00322A77">
      <w:r w:rsidRPr="00515A4C">
        <w:t>Karin Svensson Smith m.fl. (v) begär i motion K339 ett tillkännagivande till regeringen om upprättelse för dem som under andra världskriget placerades i interneringsläger, s.k. arbetskompanier (yrkande 1). Ett tillkännagivande begärs också om behovet om ett fullt klarläggande kring interneringslägren under andra världskriget, vilket motivet var för deras upprättande, på vems initiativ de tillkom samt om de kriterier som avgjorde vem som placerades där (yrkande 2). För att en granskning skall komma till stå</w:t>
      </w:r>
      <w:r w:rsidRPr="00515A4C">
        <w:t>nd är det enligt moti</w:t>
      </w:r>
      <w:r w:rsidRPr="00515A4C">
        <w:t>o</w:t>
      </w:r>
      <w:r w:rsidRPr="00515A4C">
        <w:t>nen nödvändigt att regeringen helt häver sekretessen i sammanhanget. Ko</w:t>
      </w:r>
      <w:r w:rsidRPr="00515A4C">
        <w:t>m</w:t>
      </w:r>
      <w:r w:rsidRPr="00515A4C">
        <w:t>menderingen av värnpliktiga till arbetskompanier skedde i många fall efter bristfälliga utredningar. Dessa utredningar fick Karl Molin aldrig se när han skulle granska källorna i sitt avhandlingsarbete om de svenska arbetskomp</w:t>
      </w:r>
      <w:r w:rsidRPr="00515A4C">
        <w:t>a</w:t>
      </w:r>
      <w:r w:rsidRPr="00515A4C">
        <w:t>nierna.</w:t>
      </w:r>
    </w:p>
    <w:p w:rsidR="00322A77" w:rsidRPr="00515A4C" w:rsidRDefault="00322A77">
      <w:pPr>
        <w:pStyle w:val="Rubrik4"/>
        <w:rPr>
          <w:noProof w:val="0"/>
        </w:rPr>
      </w:pPr>
      <w:bookmarkStart w:id="115" w:name="_Toc34039211"/>
      <w:r w:rsidRPr="00515A4C">
        <w:rPr>
          <w:noProof w:val="0"/>
        </w:rPr>
        <w:t>Tidigare behandling</w:t>
      </w:r>
      <w:bookmarkEnd w:id="115"/>
    </w:p>
    <w:p w:rsidR="00322A77" w:rsidRPr="00515A4C" w:rsidRDefault="00322A77">
      <w:r w:rsidRPr="00515A4C">
        <w:t>En motion om åtgärder för upprättelse av personer som internerades i arbet</w:t>
      </w:r>
      <w:r w:rsidRPr="00515A4C">
        <w:t>s</w:t>
      </w:r>
      <w:r w:rsidRPr="00515A4C">
        <w:t>läger under andra världskriget avstyrktes av utskottet hösten 1987 (bet. 1987/88:10 s. 11). Utskottet framhöll att det under andra världskriget förekom att vissa medborgare inkallades till värnpliktstjänstgöring i särskilda arbet</w:t>
      </w:r>
      <w:r w:rsidRPr="00515A4C">
        <w:t>s</w:t>
      </w:r>
      <w:r w:rsidRPr="00515A4C">
        <w:t>kompanier. Enligt vad som redovisades av försvarsminister Per Edvin Sköld i ett interpellationssvar i december 1941 inrättades efter mobiliseringen inom ramen för krigsorganisationen ett antal arbetskompanier avsedda för bl.a. vägarbeten. Till sådana kompanier inkallades sådana pe</w:t>
      </w:r>
      <w:r w:rsidRPr="00515A4C">
        <w:t>rsoner ”vilka med skäl kunnat misstänkas för att bland trupperna driva en agitation till försvagande av försvarsviljan”. Enligt de principer som försvarsministern redovisade skulle främst sådana värnpliktiga som hade en ledande ställning inom ytte</w:t>
      </w:r>
      <w:r w:rsidRPr="00515A4C">
        <w:t>r</w:t>
      </w:r>
      <w:r w:rsidRPr="00515A4C">
        <w:t>lighetspartierna och som kunde befaras bedriva disciplinupplösande verksa</w:t>
      </w:r>
      <w:r w:rsidRPr="00515A4C">
        <w:t>m</w:t>
      </w:r>
      <w:r w:rsidRPr="00515A4C">
        <w:t xml:space="preserve">het inkallas till arbetskompanierna. </w:t>
      </w:r>
    </w:p>
    <w:p w:rsidR="00322A77" w:rsidRPr="00515A4C" w:rsidRDefault="00322A77">
      <w:pPr>
        <w:pStyle w:val="Normaltindrag"/>
      </w:pPr>
      <w:r w:rsidRPr="00515A4C">
        <w:t>Utskottet ansåg att man vid bedömningen av vad som föreslogs i motionen måste beakta det allvarliga läge vårt neutrala land befann sig i under andra vär</w:t>
      </w:r>
      <w:r w:rsidRPr="00515A4C">
        <w:t>ldskriget och de speciella förhållanden och säkerhetskrav som då gällde. Enligt utskottet var det efter den långa tid som förflutit inte meningsfullt att vidta åtgärder i syfte att utreda de påtalade förhållandena. En reservation (vpk) avgavs.</w:t>
      </w:r>
    </w:p>
    <w:p w:rsidR="00322A77" w:rsidRPr="00515A4C" w:rsidRDefault="00322A77">
      <w:pPr>
        <w:pStyle w:val="Normaltindrag"/>
      </w:pPr>
      <w:r w:rsidRPr="00515A4C">
        <w:t>De frågor som tas upp i motionen diskuterades våren 2000 i en interpell</w:t>
      </w:r>
      <w:r w:rsidRPr="00515A4C">
        <w:t>a</w:t>
      </w:r>
      <w:r w:rsidRPr="00515A4C">
        <w:t>tionsdebatt (prot. 1999/2000:91). Vice statsminister Lena Hjelm-Wallén hänvisade till att regeringen vid flera tillfällen besvarat frågor om att ge up</w:t>
      </w:r>
      <w:r w:rsidRPr="00515A4C">
        <w:t>p</w:t>
      </w:r>
      <w:r w:rsidRPr="00515A4C">
        <w:t>rättelse av eller utröna sakförhållandena kring dem som under andra värld</w:t>
      </w:r>
      <w:r w:rsidRPr="00515A4C">
        <w:t>s</w:t>
      </w:r>
      <w:r w:rsidRPr="00515A4C">
        <w:t>kriget inkallades till värnpliktstjänstgöring i särskilda arbetskompanier. I samtliga frågesvar hade hänvisats till regeringens beslut av den 30 maj 1985 att avslå en framställning om en särskild utredning om omständigheterna kring arbetskompanierna. I motiveringen till sitt beslut fra</w:t>
      </w:r>
      <w:r w:rsidRPr="00515A4C">
        <w:t xml:space="preserve">mförde regeringen följande: </w:t>
      </w:r>
    </w:p>
    <w:p w:rsidR="00322A77" w:rsidRPr="00515A4C" w:rsidRDefault="00322A77">
      <w:pPr>
        <w:pStyle w:val="Citat"/>
        <w:spacing w:before="125"/>
      </w:pPr>
      <w:r w:rsidRPr="00515A4C">
        <w:t>Besluten att inrätta särskilda enheter för värnpliktiga som bedömdes ku</w:t>
      </w:r>
      <w:r w:rsidRPr="00515A4C">
        <w:t>n</w:t>
      </w:r>
      <w:r w:rsidRPr="00515A4C">
        <w:t>na skapa oro genom till exempel agitatorisk verksamhet vid de reguljära förbanden hade sin bakgrund i då rådande uppfattningar om vad som u</w:t>
      </w:r>
      <w:r w:rsidRPr="00515A4C">
        <w:t>t</w:t>
      </w:r>
      <w:r w:rsidRPr="00515A4C">
        <w:t>gjorde hot mot landet. Strävandena att hålla Sverige utanför kriget sattes före individens rättssäkerhet på grunder som inte skulle anses godtagbara i dagens samhälle. Den tillgängliga dokumentationen visar också att kommenderingen av värnpliktiga till arbetskompanierna i alltför många fall skedde efter bristfälliga utredningar. Det är emellertid inte mening</w:t>
      </w:r>
      <w:r w:rsidRPr="00515A4C">
        <w:t>s</w:t>
      </w:r>
      <w:r w:rsidRPr="00515A4C">
        <w:t xml:space="preserve">fullt att </w:t>
      </w:r>
      <w:r w:rsidRPr="00515A4C">
        <w:t>nu granska förhållandena under början av 1940-talet i syfte att få underlag för uttalanden om lämpligheten av vissa åtgärder. Detta gäller särskilt som det måste vara praktiskt omöjligt att efter så lång tid pröva om uttagningen av värnpliktiga till arbetskompanierna i det enskilda fa</w:t>
      </w:r>
      <w:r w:rsidRPr="00515A4C">
        <w:t>l</w:t>
      </w:r>
      <w:r w:rsidRPr="00515A4C">
        <w:t>let haft fog för sig utifrån vad som kunde anses rimligt vid den tidpun</w:t>
      </w:r>
      <w:r w:rsidRPr="00515A4C">
        <w:t>k</w:t>
      </w:r>
      <w:r w:rsidRPr="00515A4C">
        <w:t>ten.</w:t>
      </w:r>
    </w:p>
    <w:p w:rsidR="00322A77" w:rsidRPr="00515A4C" w:rsidRDefault="00322A77">
      <w:r w:rsidRPr="00515A4C">
        <w:t>Lena Hjelm-Wallén delade den bedömning som regeringen och riksdagen tidigare gjort och framhöll att regeringens tidigare hållning i frågan inte inn</w:t>
      </w:r>
      <w:r w:rsidRPr="00515A4C">
        <w:t>e</w:t>
      </w:r>
      <w:r w:rsidRPr="00515A4C">
        <w:t>burit att det saknas kunskaper om omständigheterna kring arbetslägren. R</w:t>
      </w:r>
      <w:r w:rsidRPr="00515A4C">
        <w:t>e</w:t>
      </w:r>
      <w:r w:rsidRPr="00515A4C">
        <w:t>geringen gav redan år 1975 historikern Karl Molin tillgång till allt väsentligt hemligt material om arbetskompanierna för vetenskaplig forskning. Karl Molin redovisade sina forskningsresultat i boken Hemmakriget. Molin lämnar i boken en uttömmande redogörelse för bakgrunden till arbetskompaniernas tillkomst, rekryteringsprinciperna, tjänstgöringen vid kompanierna, den al</w:t>
      </w:r>
      <w:r w:rsidRPr="00515A4C">
        <w:t>l</w:t>
      </w:r>
      <w:r w:rsidRPr="00515A4C">
        <w:t>männa debatten om dessa, statsmakternas åtgärder m.m.</w:t>
      </w:r>
    </w:p>
    <w:p w:rsidR="00322A77" w:rsidRPr="00515A4C" w:rsidRDefault="00322A77">
      <w:pPr>
        <w:pStyle w:val="Normaltindrag"/>
      </w:pPr>
      <w:r w:rsidRPr="00515A4C">
        <w:t>Att frågan</w:t>
      </w:r>
      <w:r w:rsidRPr="00515A4C">
        <w:t xml:space="preserve"> så grundligt har blivit belyst var enligt statsrådets uppfattning ytterligare ett skäl till varför regeringen eller riksdagen inte nu bör ta initiativ till en särskild statlig utredning. Hon framhöll också att de handlingar om arbetskompanierna som Karl Molin fick tillgång till inte längre är belagda med sekretess.</w:t>
      </w:r>
    </w:p>
    <w:p w:rsidR="00322A77" w:rsidRPr="00515A4C" w:rsidRDefault="00322A77">
      <w:pPr>
        <w:pStyle w:val="Normaltindrag"/>
      </w:pPr>
      <w:r w:rsidRPr="00515A4C">
        <w:t>Statsrådet betonade att handläggningen kring arbetskompanierna visade stora brister. När man säger det är det enligt henne också en sorts erkännande. Det uttalades redan år 1985. Med reservation</w:t>
      </w:r>
      <w:r w:rsidRPr="00515A4C">
        <w:t xml:space="preserve"> för de brister som fanns och hur utredningarna var måste man också komma ihåg i vilken situation landet befann sig. Det pågick krig runtomkring och landet var i en krigssituation. De som då var verksamma kände sig naturligtvis potentiellt hotade. Att då värna landets inre säkerhet var viktigt. Många av dem som placerades i dessa läger var medlemmar i Vänsterpartiets föregångare Sveriges kommunistiska parti, SKP. Det var ett parti som hade mycket nära kontakt med Sovjetunionens kommunistiska parti. Statsråd</w:t>
      </w:r>
      <w:r w:rsidRPr="00515A4C">
        <w:t>et hänvisade bl.a. till ett uttalande från Ny Dag, SKP:s tidning, där man i december 1939 i fråga om de sovjetiska truppernas försök att invadera Finland, angav att sovjettrupperna representerade en fri finsk folkrepublik omfattande de finländska och karelska folken, genom ett i verklig mening demokratiskt styrelseskick. Det var därför enligt statsrådet inte helt underligt att svenska myndigheter ifrågasatte lojaliteten hos en hel del av de personer som var engagerade i det parti som är föregångaren till da</w:t>
      </w:r>
      <w:r w:rsidRPr="00515A4C">
        <w:t>gens vänsterparti.</w:t>
      </w:r>
    </w:p>
    <w:p w:rsidR="00322A77" w:rsidRPr="00515A4C" w:rsidRDefault="00322A77">
      <w:r w:rsidRPr="00515A4C">
        <w:t>Frågan om ökad öppenhet i Säkerhetspolisens arkiv har nyligen behandlats av utskottet med anledning av regeringens proposition 2001/02:191, vari för</w:t>
      </w:r>
      <w:r w:rsidRPr="00515A4C">
        <w:t>e</w:t>
      </w:r>
      <w:r w:rsidRPr="00515A4C">
        <w:t>slogs ändringar i sekretesslagen (1980:100) för att öka offentligheten för uppgifter hos Säkerhetspolisen (bet. 2002/03:KU13). Det gäller dels uppgifter som har förts in i allmänna handlingar före år 1949, dels uppgifter om huruv</w:t>
      </w:r>
      <w:r w:rsidRPr="00515A4C">
        <w:t>i</w:t>
      </w:r>
      <w:r w:rsidRPr="00515A4C">
        <w:t>da personer har registrerats eller inte hos Säkerhetspolisen enligt vissa numera upphävda författningar. Förslaget innebar att sekretessen föll bort för uppgift som hänför sig till sådan underrättelseverksamhet som avses i 3 § polisdatal</w:t>
      </w:r>
      <w:r w:rsidRPr="00515A4C">
        <w:t>a</w:t>
      </w:r>
      <w:r w:rsidRPr="00515A4C">
        <w:t>gen (1998:622) eller som i annat fall hänfö</w:t>
      </w:r>
      <w:r w:rsidRPr="00515A4C">
        <w:t>r sig till Säkerhetspolisens ver</w:t>
      </w:r>
      <w:r w:rsidRPr="00515A4C">
        <w:t>k</w:t>
      </w:r>
      <w:r w:rsidRPr="00515A4C">
        <w:t>samhet för att förebygga brott mot rikets säkerhet eller terrorism, om uppgi</w:t>
      </w:r>
      <w:r w:rsidRPr="00515A4C">
        <w:t>f</w:t>
      </w:r>
      <w:r w:rsidRPr="00515A4C">
        <w:t>ten har införts i en allmän handling före 1949. Utskottet tillstyrkte förslaget.</w:t>
      </w:r>
    </w:p>
    <w:p w:rsidR="00322A77" w:rsidRPr="00515A4C" w:rsidRDefault="00322A77">
      <w:pPr>
        <w:pStyle w:val="Normaltindrag"/>
      </w:pPr>
      <w:r w:rsidRPr="00515A4C">
        <w:t>I en motion (v), som väcktes med anledning av propositionen, föreslogs att riksdagen skulle begära att regeringen lägger fram förslag till ändring i se</w:t>
      </w:r>
      <w:r w:rsidRPr="00515A4C">
        <w:t>k</w:t>
      </w:r>
      <w:r w:rsidRPr="00515A4C">
        <w:t>retesslagen som gör det möjligt att utan föregående sekretessprövning få tillgång till handlingar hos t.ex. Försvarsmakten och Utrikesdepartementet som hänför sig till tiden före år 1949. Motionärerna ansåg att det – om man menar allvar med ambitionen att öka kunskaper om andra världskriget – inte är tillräckligt att endast Säkerhetspolisens handlingar blir offentliga, utan att även andra arkivs innehåll behöver kunna komma till allmänhetens känn</w:t>
      </w:r>
      <w:r w:rsidRPr="00515A4C">
        <w:t>e</w:t>
      </w:r>
      <w:r w:rsidRPr="00515A4C">
        <w:t xml:space="preserve">dom. </w:t>
      </w:r>
    </w:p>
    <w:p w:rsidR="00322A77" w:rsidRPr="00515A4C" w:rsidRDefault="00322A77">
      <w:pPr>
        <w:pStyle w:val="Normaltindrag"/>
      </w:pPr>
      <w:r w:rsidRPr="00515A4C">
        <w:t>Utskottet noterade att sekretesstiden för uppgifter so</w:t>
      </w:r>
      <w:r w:rsidRPr="00515A4C">
        <w:t>m är belagda endast med s.k. utrikessekretess och som härrör från andra världskriget har gått ut och att detsamma enligt huvudregeln gäller även för s.k. försvarssekretess från samma tid. För uppgifter av underrättelsekaraktär ville utskottet erinra om den utredning om ökad offentlighet för uppgifter hos Försvarsmakten som regeringen aviserat. Om denna utredning kommer fram till att samma ökade offentlighet kan införas för uppgifter hos Försvarsmakten som nu föreslås för uppgifter hos Säkerhetspolisen, komm</w:t>
      </w:r>
      <w:r w:rsidRPr="00515A4C">
        <w:t xml:space="preserve">er det enligt utskottets uppfattning knappast att finnas behov av den ytterligare vidgade offentlighet som anges i motionen. Den bör därför anses vara i huvudsak tillgodosedd genom den aviserade utredningen. Utskottet avstyrkte motionen. </w:t>
      </w:r>
    </w:p>
    <w:p w:rsidR="00322A77" w:rsidRPr="00515A4C" w:rsidRDefault="00322A77">
      <w:pPr>
        <w:pStyle w:val="Rubrik4"/>
        <w:rPr>
          <w:noProof w:val="0"/>
        </w:rPr>
      </w:pPr>
      <w:bookmarkStart w:id="116" w:name="_Toc34039212"/>
      <w:r w:rsidRPr="00515A4C">
        <w:rPr>
          <w:noProof w:val="0"/>
        </w:rPr>
        <w:t>Utskottets ställningstagande</w:t>
      </w:r>
      <w:bookmarkEnd w:id="116"/>
    </w:p>
    <w:p w:rsidR="00322A77" w:rsidRPr="00515A4C" w:rsidRDefault="00322A77">
      <w:r w:rsidRPr="00515A4C">
        <w:t>Utskottet anser att de skäl som tidigare anförts för att avstyrka ett motionsy</w:t>
      </w:r>
      <w:r w:rsidRPr="00515A4C">
        <w:t>r</w:t>
      </w:r>
      <w:r w:rsidRPr="00515A4C">
        <w:t>kande om upprättelse för personer som under andra världskriget placerades i interneringsläger fortfarande gör sig gällande. Man måste beakta det allvarl</w:t>
      </w:r>
      <w:r w:rsidRPr="00515A4C">
        <w:t>i</w:t>
      </w:r>
      <w:r w:rsidRPr="00515A4C">
        <w:t>ga läge vårt neutrala land befann sig i under andra världskriget och de spec</w:t>
      </w:r>
      <w:r w:rsidRPr="00515A4C">
        <w:t>i</w:t>
      </w:r>
      <w:r w:rsidRPr="00515A4C">
        <w:t>ella förhållanden och säkerhetskrav som då gällde. Efter den långa tid som förflutit  framstår det inte heller som meningsfullt att från statens sida vidta åtgärder i syfte att utreda de påtalade förhållandena. Frågan om ett fullt kla</w:t>
      </w:r>
      <w:r w:rsidRPr="00515A4C">
        <w:t>r</w:t>
      </w:r>
      <w:r w:rsidRPr="00515A4C">
        <w:t>läggande kring interneringslägren är närmast e</w:t>
      </w:r>
      <w:r w:rsidRPr="00515A4C">
        <w:t>n uppgift för forskningen. I enlighet med vad utskottet redovisat i betänkande 2002/03:KU13 kan det finnas skäl att anta att sekretessregler inte kommer att lägga hinder i vägen för ett sådant kla</w:t>
      </w:r>
      <w:r w:rsidRPr="00515A4C">
        <w:t>r</w:t>
      </w:r>
      <w:r w:rsidRPr="00515A4C">
        <w:t>läggande. Motion K339 yrkandena 1 och 2 (v) avstyrks.</w:t>
      </w:r>
    </w:p>
    <w:p w:rsidR="00322A77" w:rsidRPr="00515A4C" w:rsidRDefault="00322A77">
      <w:pPr>
        <w:pStyle w:val="Rubrik2"/>
      </w:pPr>
      <w:bookmarkStart w:id="117" w:name="_Toc34039213"/>
      <w:r w:rsidRPr="00515A4C">
        <w:t>Rättigheter för människoapor</w:t>
      </w:r>
      <w:bookmarkEnd w:id="117"/>
    </w:p>
    <w:p w:rsidR="00322A77" w:rsidRPr="00515A4C" w:rsidRDefault="00322A77">
      <w:pPr>
        <w:pStyle w:val="Utskottsfrslagikorthet-Rubrik"/>
        <w:outlineLvl w:val="0"/>
        <w:rPr>
          <w:noProof w:val="0"/>
        </w:rPr>
      </w:pPr>
      <w:r w:rsidRPr="00515A4C">
        <w:rPr>
          <w:noProof w:val="0"/>
        </w:rPr>
        <w:t>Utskottets förslag i korthet</w:t>
      </w:r>
    </w:p>
    <w:p w:rsidR="00322A77" w:rsidRPr="00515A4C" w:rsidRDefault="00322A77">
      <w:pPr>
        <w:pStyle w:val="Utskottsfrslagikorthet-Text"/>
      </w:pPr>
      <w:r w:rsidRPr="00515A4C">
        <w:t>Utskottet avstyrker ett motionsyrkande om grundläggande rätti</w:t>
      </w:r>
      <w:r w:rsidRPr="00515A4C">
        <w:t>g</w:t>
      </w:r>
      <w:r w:rsidRPr="00515A4C">
        <w:t>hetsskydd för människoapor.</w:t>
      </w:r>
    </w:p>
    <w:p w:rsidR="00322A77" w:rsidRPr="00515A4C" w:rsidRDefault="00322A77">
      <w:pPr>
        <w:pStyle w:val="Rubrik4"/>
        <w:rPr>
          <w:noProof w:val="0"/>
        </w:rPr>
      </w:pPr>
      <w:bookmarkStart w:id="118" w:name="_Toc34039214"/>
      <w:r w:rsidRPr="00515A4C">
        <w:rPr>
          <w:noProof w:val="0"/>
        </w:rPr>
        <w:t>Motionen</w:t>
      </w:r>
      <w:bookmarkEnd w:id="118"/>
    </w:p>
    <w:p w:rsidR="00322A77" w:rsidRPr="00515A4C" w:rsidRDefault="00322A77">
      <w:r w:rsidRPr="00515A4C">
        <w:t>Sven-Erik Sjöstrand och Kjell-Erik Karlsson (v) begär i motion K342 att människoapor skall ges vissa grundläggande rättigheter som hittills varit reserverade endast för människor. Dessa rättigheter borde vara rätten till liv, rätten att slippa tortyr och rätten att inte godtyckligt frihetsberövas.</w:t>
      </w:r>
    </w:p>
    <w:p w:rsidR="00322A77" w:rsidRPr="00515A4C" w:rsidRDefault="00322A77">
      <w:pPr>
        <w:pStyle w:val="Rubrik4"/>
        <w:rPr>
          <w:noProof w:val="0"/>
        </w:rPr>
      </w:pPr>
      <w:bookmarkStart w:id="119" w:name="_Toc34039215"/>
      <w:r w:rsidRPr="00515A4C">
        <w:rPr>
          <w:noProof w:val="0"/>
        </w:rPr>
        <w:t>Gällande regler</w:t>
      </w:r>
      <w:bookmarkEnd w:id="119"/>
    </w:p>
    <w:p w:rsidR="00322A77" w:rsidRPr="00515A4C" w:rsidRDefault="00322A77">
      <w:r w:rsidRPr="00515A4C">
        <w:t>I djurskyddslagen (1988:534) finns grundläggande bestämmelser om hur djur skall hållas och skötas. Djur skall behandlas väl och skyddas mot onödigt lidande och sjukdom. Djur som används för vetenskapligt ändamål skall dock inte anses vara utsatta för onödigt lidande eller sjukdom vid användningen, om denna har godkänts av en djurförsöksetisk nämnd (2 §). Djur skall ges tillräckligt med foder och vatten och tillräcklig tillsyn. Stall och andra förv</w:t>
      </w:r>
      <w:r w:rsidRPr="00515A4C">
        <w:t>a</w:t>
      </w:r>
      <w:r w:rsidRPr="00515A4C">
        <w:t xml:space="preserve">ringsutrymmen för djur skall ge djuren tillräckligt utrymme och skydd samt hållas rena (3 §). Djur får inte överansträngas. Inte heller får de agas eller drivas på med redskap som lätt kan såra eller på annat sätt skada djuret (5 §). Djur får inte hållas bundna på ett för djuren plågsamt sätt eller så att de inte kan få behövlig rörelsefrihet eller vila eller tillräckligt skydd mot väder och vind (6 §). </w:t>
      </w:r>
    </w:p>
    <w:p w:rsidR="00322A77" w:rsidRPr="00515A4C" w:rsidRDefault="00322A77">
      <w:pPr>
        <w:pStyle w:val="Rubrik4"/>
        <w:rPr>
          <w:noProof w:val="0"/>
        </w:rPr>
      </w:pPr>
      <w:bookmarkStart w:id="120" w:name="_Toc34039216"/>
      <w:r w:rsidRPr="00515A4C">
        <w:rPr>
          <w:noProof w:val="0"/>
        </w:rPr>
        <w:t>Tidigare behandling</w:t>
      </w:r>
      <w:bookmarkEnd w:id="120"/>
    </w:p>
    <w:p w:rsidR="00322A77" w:rsidRPr="00515A4C" w:rsidRDefault="00322A77">
      <w:r w:rsidRPr="00515A4C">
        <w:t>Utrikesutskottet avstyrkte våren 2001 ett motionsyrkande om att Sverige skulle ta initiativ till en FN-konferens och FN-deklaration om djurens rätti</w:t>
      </w:r>
      <w:r w:rsidRPr="00515A4C">
        <w:t>g</w:t>
      </w:r>
      <w:r w:rsidRPr="00515A4C">
        <w:t>heter. Utrikesutskottet menade att Sverige, internationellt och inom EU, ve</w:t>
      </w:r>
      <w:r w:rsidRPr="00515A4C">
        <w:t>r</w:t>
      </w:r>
      <w:r w:rsidRPr="00515A4C">
        <w:t>kar för djurens rätt till rimliga livsvillkor men ansåg inte att en speciell FN-konvention skulle komma att förändra situationen för djuren. Det arbete som redan bedrivs, främst inom EU, kan stärkas och utvecklas (bet. 2000/01: UU10).</w:t>
      </w:r>
    </w:p>
    <w:p w:rsidR="00322A77" w:rsidRPr="00515A4C" w:rsidRDefault="00322A77">
      <w:pPr>
        <w:pStyle w:val="Normaltindrag"/>
      </w:pPr>
      <w:r w:rsidRPr="00515A4C">
        <w:t>Konstitutionsutskottet avstyrkte våren 2002 ett motionsyrkande (v) mo</w:t>
      </w:r>
      <w:r w:rsidRPr="00515A4C">
        <w:t>t</w:t>
      </w:r>
      <w:r w:rsidRPr="00515A4C">
        <w:t>svarande det nu aktuella (bet. 2001/02:KU15 s. 95 f.). Utskottet delade m</w:t>
      </w:r>
      <w:r w:rsidRPr="00515A4C">
        <w:t>o</w:t>
      </w:r>
      <w:r w:rsidRPr="00515A4C">
        <w:t>tionärernas uppfattning om vikten av att djur – även människoapor – har rimliga livsvillkor. Djurskyddslagstiftningen ger också uttryck för ett sådant synsätt. Utskottet var dock inte berett att förorda att skyddet för djuren skall likställas med det skydd för de grundläggande fri- och rättigheter som tille</w:t>
      </w:r>
      <w:r w:rsidRPr="00515A4C">
        <w:t>r</w:t>
      </w:r>
      <w:r w:rsidRPr="00515A4C">
        <w:t>känns mä</w:t>
      </w:r>
      <w:r w:rsidRPr="00515A4C">
        <w:t>n</w:t>
      </w:r>
      <w:r w:rsidRPr="00515A4C">
        <w:t xml:space="preserve">niskor. </w:t>
      </w:r>
    </w:p>
    <w:p w:rsidR="00322A77" w:rsidRPr="00515A4C" w:rsidRDefault="00322A77">
      <w:pPr>
        <w:pStyle w:val="Rubrik4"/>
        <w:rPr>
          <w:noProof w:val="0"/>
        </w:rPr>
      </w:pPr>
      <w:bookmarkStart w:id="121" w:name="_Toc34039217"/>
      <w:r w:rsidRPr="00515A4C">
        <w:rPr>
          <w:noProof w:val="0"/>
        </w:rPr>
        <w:t>Utskottets ställningstagande</w:t>
      </w:r>
      <w:bookmarkEnd w:id="121"/>
    </w:p>
    <w:p w:rsidR="00322A77" w:rsidRPr="00515A4C" w:rsidRDefault="00322A77">
      <w:r w:rsidRPr="00515A4C">
        <w:t>Utskottet vidhåller sin tidigare bedömning. Motion K342 (v) avstyrks.</w:t>
      </w:r>
    </w:p>
    <w:p w:rsidR="00322A77" w:rsidRPr="00515A4C" w:rsidRDefault="00322A77">
      <w:pPr>
        <w:pStyle w:val="Rubrik2"/>
      </w:pPr>
      <w:bookmarkStart w:id="122" w:name="_Toc34039218"/>
      <w:r w:rsidRPr="00515A4C">
        <w:t>Partibidrag från fackligt anslutna personer</w:t>
      </w:r>
      <w:bookmarkEnd w:id="122"/>
    </w:p>
    <w:p w:rsidR="00322A77" w:rsidRPr="00515A4C" w:rsidRDefault="00322A77">
      <w:pPr>
        <w:pStyle w:val="Utskottsfrslagikorthet-Rubrik"/>
        <w:outlineLvl w:val="0"/>
        <w:rPr>
          <w:noProof w:val="0"/>
        </w:rPr>
      </w:pPr>
      <w:r w:rsidRPr="00515A4C">
        <w:rPr>
          <w:noProof w:val="0"/>
        </w:rPr>
        <w:t>Utskottets förslag i korthet</w:t>
      </w:r>
    </w:p>
    <w:p w:rsidR="00322A77" w:rsidRPr="00515A4C" w:rsidRDefault="00322A77">
      <w:pPr>
        <w:pStyle w:val="Utskottsfrslagikorthet-Text"/>
      </w:pPr>
      <w:r w:rsidRPr="00515A4C">
        <w:t>Utskottet avstyrker en motion (fp, mp) som vänder sig mot att fackligt anslutna mot sin vilja skall behöva bidra till politiska part</w:t>
      </w:r>
      <w:r w:rsidRPr="00515A4C">
        <w:t>i</w:t>
      </w:r>
      <w:r w:rsidRPr="00515A4C">
        <w:t>er och mot risken för tvånget att i sådana sammanhang redovisa sin politiska uppfattning. Utskottet vänder sig emot de långtgående statliga i</w:t>
      </w:r>
      <w:r w:rsidRPr="00515A4C">
        <w:t>n</w:t>
      </w:r>
      <w:r w:rsidRPr="00515A4C">
        <w:t>grepp i föreningars verksamhet som förslagen innebär.</w:t>
      </w:r>
    </w:p>
    <w:p w:rsidR="00322A77" w:rsidRPr="00515A4C" w:rsidRDefault="00322A77">
      <w:pPr>
        <w:pStyle w:val="Utskottsfrslagikorthet-Text"/>
      </w:pPr>
      <w:r w:rsidRPr="00515A4C">
        <w:t>Jämför reservation 20 (m, fp, kd, c och mp).</w:t>
      </w:r>
    </w:p>
    <w:p w:rsidR="00322A77" w:rsidRPr="00515A4C" w:rsidRDefault="00322A77">
      <w:pPr>
        <w:pStyle w:val="Rubrik4"/>
        <w:rPr>
          <w:noProof w:val="0"/>
        </w:rPr>
      </w:pPr>
      <w:bookmarkStart w:id="123" w:name="_Toc34039219"/>
      <w:r w:rsidRPr="00515A4C">
        <w:rPr>
          <w:noProof w:val="0"/>
        </w:rPr>
        <w:t>Motionen</w:t>
      </w:r>
      <w:bookmarkEnd w:id="123"/>
    </w:p>
    <w:p w:rsidR="00322A77" w:rsidRPr="00515A4C" w:rsidRDefault="00322A77">
      <w:r w:rsidRPr="00515A4C">
        <w:t>Carl B Hamilton m.fl. (fp, mp) begär i motion K384 en lag mot att fackligt anslutna mot sin vilja skall behöva bidra till politiska partier direkt eller ind</w:t>
      </w:r>
      <w:r w:rsidRPr="00515A4C">
        <w:t>i</w:t>
      </w:r>
      <w:r w:rsidRPr="00515A4C">
        <w:t>rekt (yrkande 1). Vidare begärs en lag som skyddar särskilt fackligt anslutnas rätt att inte behöva avslöja sin partisympati för att undgå att ge bidrag till politiskt parti (yrkande 2). I motionen begärs också tillkännagivanden till regeringen om fackligt anslutnas rätt att slippa ge partibidrag utan aktiv handling och om fackligt anslutnas rätt att inte behöva avslöja sin partsympati för att undgå att genom sin fackliga organisation ge bidrag till politiskt parti (yrkandena 3 och 4).</w:t>
      </w:r>
    </w:p>
    <w:p w:rsidR="00322A77" w:rsidRPr="00515A4C" w:rsidRDefault="00322A77">
      <w:pPr>
        <w:pStyle w:val="Normaltindrag"/>
      </w:pPr>
      <w:r w:rsidRPr="00515A4C">
        <w:t>Enligt motionen röst</w:t>
      </w:r>
      <w:r w:rsidRPr="00515A4C">
        <w:t>ade 38–40 % av LO:s medlemmar på annat parti än Socialdemokraterna vid valet 2002. Det finns en växande minoritet LO-anslutna som tvingas finansiera ett parti på vilket man inte lägger sin röst i de allmänna valen. Särskilt anmärkningsvärt är det enligt motionärerna när fac</w:t>
      </w:r>
      <w:r w:rsidRPr="00515A4C">
        <w:t>k</w:t>
      </w:r>
      <w:r w:rsidRPr="00515A4C">
        <w:t>ets medlemmar inte själva vet eller får veta hur mycket penningstöd deras fack ger till politiska partier eller hur mycket arbetstid som facket gratis stä</w:t>
      </w:r>
      <w:r w:rsidRPr="00515A4C">
        <w:t>l</w:t>
      </w:r>
      <w:r w:rsidRPr="00515A4C">
        <w:t>ler till ett partis förfogande. En enskild kan enligt motionen i dag inte ens form</w:t>
      </w:r>
      <w:r w:rsidRPr="00515A4C">
        <w:t xml:space="preserve">ellt tacka nej till att ge partibidrag om en majoritet på ett medlemsmöte beslutat tvångsuttaxera bidrag till ett parti. </w:t>
      </w:r>
    </w:p>
    <w:p w:rsidR="00322A77" w:rsidRPr="00515A4C" w:rsidRDefault="00322A77">
      <w:pPr>
        <w:pStyle w:val="Rubrik4"/>
        <w:rPr>
          <w:noProof w:val="0"/>
        </w:rPr>
      </w:pPr>
      <w:bookmarkStart w:id="124" w:name="_Toc34039220"/>
      <w:r w:rsidRPr="00515A4C">
        <w:rPr>
          <w:noProof w:val="0"/>
        </w:rPr>
        <w:t>Bakgrund</w:t>
      </w:r>
      <w:bookmarkEnd w:id="124"/>
    </w:p>
    <w:p w:rsidR="00322A77" w:rsidRPr="00515A4C" w:rsidRDefault="00322A77">
      <w:r w:rsidRPr="00515A4C">
        <w:t>En särskild utredare fick i juni 2002 i uppdrag att överväga hur man kan öka allmänhetens insyn i hur de politiska partierna finansierar sin politiska ver</w:t>
      </w:r>
      <w:r w:rsidRPr="00515A4C">
        <w:t>k</w:t>
      </w:r>
      <w:r w:rsidRPr="00515A4C">
        <w:t xml:space="preserve">samhet och hur de personer som driver en s.k. personvalskampanj finansierar den (dir. 2002:83). Uppdraget skall redovisas i september 2003. </w:t>
      </w:r>
    </w:p>
    <w:p w:rsidR="00322A77" w:rsidRPr="00515A4C" w:rsidRDefault="00322A77">
      <w:pPr>
        <w:pStyle w:val="Normaltindrag"/>
      </w:pPr>
      <w:r w:rsidRPr="00515A4C">
        <w:t>Utredaren skall redovisa och utvärdera hur riksdagspartiernas frivilliga överenskommelse angående redovisning av partiernas intäkter har fungerat i praktiken. Det är av flera skäl viktigt att allmänheten kan få insyn i hur de politiska partierna finansierar sin politiska verksamhet och hur de personer som driver en s.k. personvalskampanj (valkandidater) finansierar si</w:t>
      </w:r>
      <w:r w:rsidRPr="00515A4C">
        <w:t>na ka</w:t>
      </w:r>
      <w:r w:rsidRPr="00515A4C">
        <w:t>m</w:t>
      </w:r>
      <w:r w:rsidRPr="00515A4C">
        <w:t>panjer. Sådan offentlighet kan öka det politiska systemets legitimitet och förebygga korruption. Informationen kan också utgöra ett underlag för välja</w:t>
      </w:r>
      <w:r w:rsidRPr="00515A4C">
        <w:t>r</w:t>
      </w:r>
      <w:r w:rsidRPr="00515A4C">
        <w:t>na vid val och främja en debatt om etik och bevekelsegrunder i politiken. Redan det förhållandet att partiernas verksamhet till stor del finansieras av det allmänna gör det rimligt att det finns insyn i partiernas intäkter. För bedö</w:t>
      </w:r>
      <w:r w:rsidRPr="00515A4C">
        <w:t>m</w:t>
      </w:r>
      <w:r w:rsidRPr="00515A4C">
        <w:t>ningen av partistödssystemets utformning och effekter kan det också ha bet</w:t>
      </w:r>
      <w:r w:rsidRPr="00515A4C">
        <w:t>y</w:t>
      </w:r>
      <w:r w:rsidRPr="00515A4C">
        <w:t>delse att få reda på de övriga finansieringskäl</w:t>
      </w:r>
      <w:r w:rsidRPr="00515A4C">
        <w:t xml:space="preserve">lor partierna har. Mot bakgrund av de politiska partiernas stora betydelse i dagens samhälle är det rimligt att information om partiernas intäkter är offentlig, särskilt som andra viktiga maktcentrum inom såväl det allmänna som näringslivet är underkastade vissa offentlighetskrav. </w:t>
      </w:r>
    </w:p>
    <w:p w:rsidR="00322A77" w:rsidRPr="00515A4C" w:rsidRDefault="00322A77">
      <w:pPr>
        <w:pStyle w:val="Normaltindrag"/>
      </w:pPr>
      <w:r w:rsidRPr="00515A4C">
        <w:t>I dag finns det ingen författningsreglering i Sverige som ger allmänheten insyn i partiers och valkandidaters intäkter. Det är däremot tradition att rik</w:t>
      </w:r>
      <w:r w:rsidRPr="00515A4C">
        <w:t>s</w:t>
      </w:r>
      <w:r w:rsidRPr="00515A4C">
        <w:t xml:space="preserve">dagspartierna genom ömsesidiga överenskommelser åstadkommer öppenhet för sina intäkter. Den senaste överenskommelsen angående redovisning av partiernas intäkter som träffats mellan riksdagspartierna är från april 2000. Rekommendationerna i överenskommelsen omfattar även information om hur enskilda kandidater finansierar sina personvalskampanjer. Riksdagspartierna är således medvetna om vikten av insyn och har vidtagit vissa åtgärder. Men det finns enligt direktiven inga garantier för att nya partier eller </w:t>
      </w:r>
      <w:r w:rsidRPr="00515A4C">
        <w:t>fristående lokala partier tar sitt ansvar på samma sätt. Därför finns det vissa skäl som talar för att det, trots den samsyn som finns i dag hos riksdagspartierna, kan vara befogat med en författningsreglering som ger insyn. I ett internationellt perspektiv kan man konstatera att det är vanligt med någon form av rättslig reglering av partiernas och valkandidaternas intäkter. Sådan lagstiftning finns numera också i Finland, Danmark och Norge. Frågan om finansiering av politiska partier berörs vidare allt oft</w:t>
      </w:r>
      <w:r w:rsidRPr="00515A4C">
        <w:t>are i olika internationella sammanhang, för närvarande t.ex. vid förhandlingar i FN om en konvention mot korruption.</w:t>
      </w:r>
    </w:p>
    <w:p w:rsidR="00322A77" w:rsidRPr="00515A4C" w:rsidRDefault="00322A77">
      <w:pPr>
        <w:pStyle w:val="Normaltindrag"/>
      </w:pPr>
      <w:r w:rsidRPr="00515A4C">
        <w:t>Utredningsuppdraget avser såväl rikstäckande som lokala – exempelvis kommunala – partier och kampanjer. Även frågan om insyn i lämnat indirekt stöd i form av exempelvis stödannonsering, subventionering av annonskos</w:t>
      </w:r>
      <w:r w:rsidRPr="00515A4C">
        <w:t>t</w:t>
      </w:r>
      <w:r w:rsidRPr="00515A4C">
        <w:t>nader och personella resurser omfattas av uppdraget. Utgångspunkten är att allmänhetens insyn i politiska partiers och valkandidaters intäkter skall öka. De lösningar som använts i riksdagspartiernas frivilliga överenskommelse angående redovisning av partiernas intäkter bör beaktas. Utredaren skall redovisa och utvärdera hur riksdagspartiernas frivilliga överenskommelse har fungerat i praktiken samt vilka internationella erfarenheter som finns inom området. Utredaren skall vidare följa hur frågan om offent</w:t>
      </w:r>
      <w:r w:rsidRPr="00515A4C">
        <w:t>lighet för intäkter hanterats i samband med 2002 års val. Om utredaren finner det befogat skall lämpliga åtgärder föreslås. Dessa kan avse en utveckling av de frivilliga insa</w:t>
      </w:r>
      <w:r w:rsidRPr="00515A4C">
        <w:t>t</w:t>
      </w:r>
      <w:r w:rsidRPr="00515A4C">
        <w:t xml:space="preserve">serna, men även åtgärder från det allmännas sida. Utredaren skall på lämpligt sätt informera riksdagspartierna om sitt arbete och även inhämta partiernas synpunkter på kommande förslag. </w:t>
      </w:r>
    </w:p>
    <w:p w:rsidR="00322A77" w:rsidRPr="00515A4C" w:rsidRDefault="00322A77">
      <w:pPr>
        <w:pStyle w:val="Normaltindrag"/>
      </w:pPr>
      <w:r w:rsidRPr="00515A4C">
        <w:t>Statsrådet Pär Nuder har i november 2002 som svar på en interpellation från Carl B Hamilton anfört att han är övertygad om att det är till gagn för vå</w:t>
      </w:r>
      <w:r w:rsidRPr="00515A4C">
        <w:t>r demokrati och välfärdsutveckling att löntagarnas organisationer engagerar sig i politiken. Av flera skäl är det enligt Pär Nuder viktigt att allmänheten kan få insyn både i hur partierna finansierar sin politiska verksamhet och hur de valkandidater som bedriver personvalskampanjer finansierar dem. Väljarna skall kunna använda sådan information som underlag för sina ställningst</w:t>
      </w:r>
      <w:r w:rsidRPr="00515A4C">
        <w:t>a</w:t>
      </w:r>
      <w:r w:rsidRPr="00515A4C">
        <w:t>ganden. Insyn och öppenhet är också ett sätt att stärka det politiska systemets legitimitet och förebygga ko</w:t>
      </w:r>
      <w:r w:rsidRPr="00515A4C">
        <w:t>r</w:t>
      </w:r>
      <w:r w:rsidRPr="00515A4C">
        <w:t>ruption (prot. 2002/0</w:t>
      </w:r>
      <w:r w:rsidRPr="00515A4C">
        <w:t xml:space="preserve">3:26). </w:t>
      </w:r>
    </w:p>
    <w:p w:rsidR="00322A77" w:rsidRPr="00515A4C" w:rsidRDefault="00322A77">
      <w:pPr>
        <w:pStyle w:val="Rubrik4"/>
        <w:rPr>
          <w:noProof w:val="0"/>
        </w:rPr>
      </w:pPr>
      <w:bookmarkStart w:id="125" w:name="_Toc34039221"/>
      <w:r w:rsidRPr="00515A4C">
        <w:rPr>
          <w:noProof w:val="0"/>
        </w:rPr>
        <w:t>Utskottets ställningstagande</w:t>
      </w:r>
      <w:bookmarkEnd w:id="125"/>
    </w:p>
    <w:p w:rsidR="00322A77" w:rsidRPr="00515A4C" w:rsidRDefault="00322A77">
      <w:r w:rsidRPr="00515A4C">
        <w:t>Utskottet vill hänvisa till att frågan om allmänhetens insyn i hur partierna finansierar sin politiska verksamhet för närvarande är föremål för utredning. Även frågan om insyn i lämnat indirekt stöd, bl.a. från olika intresseorganis</w:t>
      </w:r>
      <w:r w:rsidRPr="00515A4C">
        <w:t>a</w:t>
      </w:r>
      <w:r w:rsidRPr="00515A4C">
        <w:t>tioner i samhället, i form av exempelvis stödannonsering, subventionering av annonskostnader och personella resurser omfattas av uppdraget. Som rege</w:t>
      </w:r>
      <w:r w:rsidRPr="00515A4C">
        <w:t>r</w:t>
      </w:r>
      <w:r w:rsidRPr="00515A4C">
        <w:t>ingen framhållit är en sådan insyn viktig. Informationen kan utgöra ett u</w:t>
      </w:r>
      <w:r w:rsidRPr="00515A4C">
        <w:t>n</w:t>
      </w:r>
      <w:r w:rsidRPr="00515A4C">
        <w:t>derlag för väljarna vid val och främja en debatt om etik och bevekelsegrunder i politiken. Informationen kan också bidra till den interna fackliga debatten i frågan. Utskottet är däremot inte berett att ställa sig bakom de långtgående statliga ingrepp i föreningars verksamhet som motione</w:t>
      </w:r>
      <w:r w:rsidRPr="00515A4C">
        <w:t>n innebär. Motion K384 y</w:t>
      </w:r>
      <w:r w:rsidRPr="00515A4C">
        <w:t>r</w:t>
      </w:r>
      <w:r w:rsidRPr="00515A4C">
        <w:t xml:space="preserve">kandena 1–4 (fp, mp) avstyrks. </w:t>
      </w:r>
    </w:p>
    <w:p w:rsidR="00322A77" w:rsidRPr="00515A4C" w:rsidRDefault="00322A77"/>
    <w:p w:rsidR="00322A77" w:rsidRPr="00515A4C" w:rsidRDefault="00322A77">
      <w:pPr>
        <w:pStyle w:val="Normaltindrag"/>
        <w:sectPr w:rsidR="00000000" w:rsidRPr="00515A4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22A77" w:rsidRPr="00515A4C" w:rsidRDefault="00322A77">
      <w:pPr>
        <w:pStyle w:val="Rubrik1"/>
        <w:rPr>
          <w:noProof w:val="0"/>
        </w:rPr>
      </w:pPr>
      <w:bookmarkStart w:id="126" w:name="_Toc34039222"/>
      <w:r w:rsidRPr="00515A4C">
        <w:rPr>
          <w:noProof w:val="0"/>
        </w:rPr>
        <w:t>Reservationer</w:t>
      </w:r>
      <w:bookmarkEnd w:id="126"/>
    </w:p>
    <w:p w:rsidR="00322A77" w:rsidRPr="00515A4C" w:rsidRDefault="00322A77">
      <w:r w:rsidRPr="00515A4C">
        <w:t>Utskottets förslag till riksdagsbeslut och ställningstaganden har föranlett följande reservationer. I rubriken anges inom parentes vilken punkt i utsko</w:t>
      </w:r>
      <w:r w:rsidRPr="00515A4C">
        <w:t>t</w:t>
      </w:r>
      <w:r w:rsidRPr="00515A4C">
        <w:t>tets förslag till riksdagsbeslut som behandlas i avsnittet.</w:t>
      </w:r>
    </w:p>
    <w:p w:rsidR="00322A77" w:rsidRPr="00515A4C" w:rsidRDefault="00322A77">
      <w:pPr>
        <w:pStyle w:val="Reservationspunkt"/>
        <w:outlineLvl w:val="0"/>
        <w:rPr>
          <w:noProof w:val="0"/>
        </w:rPr>
      </w:pPr>
      <w:bookmarkStart w:id="127" w:name="_Toc34039223"/>
      <w:r w:rsidRPr="00515A4C">
        <w:rPr>
          <w:noProof w:val="0"/>
        </w:rPr>
        <w:t>1.</w:t>
      </w:r>
      <w:r w:rsidRPr="00515A4C">
        <w:rPr>
          <w:noProof w:val="0"/>
        </w:rPr>
        <w:tab/>
        <w:t>Förstärkt skydd för fri- och rättigheter (punkt 1)</w:t>
      </w:r>
      <w:bookmarkEnd w:id="127"/>
    </w:p>
    <w:p w:rsidR="00322A77" w:rsidRPr="00515A4C" w:rsidRDefault="00322A77">
      <w:pPr>
        <w:pStyle w:val="Reservanter"/>
      </w:pPr>
      <w:r w:rsidRPr="00515A4C">
        <w:t xml:space="preserve">av Gunnar Hökmark (m), Henrik S Järrel (m) och Nils Fredrik Aurelius (m).  </w:t>
      </w:r>
    </w:p>
    <w:p w:rsidR="00322A77" w:rsidRPr="00515A4C" w:rsidRDefault="00322A77">
      <w:pPr>
        <w:pStyle w:val="R4"/>
      </w:pPr>
      <w:r w:rsidRPr="00515A4C">
        <w:t>Förslag till riksdagsbeslut</w:t>
      </w:r>
    </w:p>
    <w:p w:rsidR="00322A77" w:rsidRPr="00515A4C" w:rsidRDefault="00322A77">
      <w:r w:rsidRPr="00515A4C">
        <w:t>Vi anser att utskottets förslag under punkt 1 borde ha följande lydelse:</w:t>
      </w:r>
    </w:p>
    <w:p w:rsidR="00322A77" w:rsidRPr="00515A4C" w:rsidRDefault="00322A77">
      <w:pPr>
        <w:pStyle w:val="Reservantfrslag"/>
      </w:pPr>
      <w:r w:rsidRPr="00515A4C">
        <w:t>Riksdagen ger som sin mening regeringen till känna vad som anförs i rese</w:t>
      </w:r>
      <w:r w:rsidRPr="00515A4C">
        <w:t>r</w:t>
      </w:r>
      <w:r w:rsidRPr="00515A4C">
        <w:t>vation 1. Därmed bifaller riksdagen motion 2002/03:K379 yrkandena 7, 8 och 10 samt de</w:t>
      </w:r>
      <w:r w:rsidRPr="00515A4C">
        <w:t>l</w:t>
      </w:r>
      <w:r w:rsidRPr="00515A4C">
        <w:t>vis motion 2002/03:K386.</w:t>
      </w:r>
    </w:p>
    <w:p w:rsidR="00322A77" w:rsidRPr="00515A4C" w:rsidRDefault="00322A77">
      <w:pPr>
        <w:pStyle w:val="R4"/>
      </w:pPr>
      <w:r w:rsidRPr="00515A4C">
        <w:t>Ställningstagande</w:t>
      </w:r>
    </w:p>
    <w:p w:rsidR="00322A77" w:rsidRPr="00515A4C" w:rsidRDefault="00322A77">
      <w:r w:rsidRPr="00515A4C">
        <w:t>Regeringsformens fri- och rättighetsskydd måste förstärkas. Vissa av de i regeringsformen garanterade fri- och rättigheterna åtnjuter inte ett tillräckligt skydd mot rättighetsbegränsande lagstiftning. Skyddet för äganderätten och näringsfriheten är t.ex. svagare än skyddet för de s.k. opinionsfriheterna. Sverige bör vara ett land där mänskliga fri- och rättigheter skyddas fullt ut. Därför bör grundlagens skydd mot rättighetsinskränkningar vara lika starkt, oavsett vilka fri- och rättigheter det gäller. De</w:t>
      </w:r>
      <w:r w:rsidRPr="00515A4C">
        <w:t>t skulle bl.a. innebära att de tre allmänna begränsningsgrunderna i 2 kap. 12 § andra stycket regeringsformen blir tillämpliga även vid begränsningar av t.ex. äganderätten. En inskränkning i den enskildes äganderätt skulle då endast få göras för att tillgodose ändamål som är godtagbara i ett demokratiskt samhälle. Vidare skulle det innebära att en begränsning aldrig får gå ut över vad som är nödvändigt med hänsyn till det ändamål som har föranlett den. Begränsningar skulle inte heller få göras på grund av å</w:t>
      </w:r>
      <w:r w:rsidRPr="00515A4C">
        <w:t>skådning eller sträcka sig så långt att de utgör ett hot mot den fria åsikt</w:t>
      </w:r>
      <w:r w:rsidRPr="00515A4C">
        <w:t>s</w:t>
      </w:r>
      <w:r w:rsidRPr="00515A4C">
        <w:t xml:space="preserve">bildningen. </w:t>
      </w:r>
    </w:p>
    <w:p w:rsidR="00322A77" w:rsidRPr="00515A4C" w:rsidRDefault="00322A77">
      <w:pPr>
        <w:pStyle w:val="Normaltindrag"/>
      </w:pPr>
      <w:r w:rsidRPr="00515A4C">
        <w:t>Enligt vår mening bör vid riksdagens beslutsfattande ökad hänsyn tas till politiska minoriteters legitima intressen. Minoritetsskyddet bör stärkas gen</w:t>
      </w:r>
      <w:r w:rsidRPr="00515A4C">
        <w:t>e</w:t>
      </w:r>
      <w:r w:rsidRPr="00515A4C">
        <w:t>rellt vid beslut om lagstiftning som innebär inskränkningar i de medborgerliga fri- och rättigheterna, vilket kan ske genom att reglerna om särskilt beslutsfö</w:t>
      </w:r>
      <w:r w:rsidRPr="00515A4C">
        <w:t>r</w:t>
      </w:r>
      <w:r w:rsidRPr="00515A4C">
        <w:t>farande i 2 kap. 12 § tredje stycket regeringsformen blir tillämpliga. Det uppskovsförfarande som där föreskrivs skulle påtagligt förstärka minoritet</w:t>
      </w:r>
      <w:r w:rsidRPr="00515A4C">
        <w:t>s</w:t>
      </w:r>
      <w:r w:rsidRPr="00515A4C">
        <w:t>skyddet och dessutom ge mer tid för debatt, eftertanke och noggrant överv</w:t>
      </w:r>
      <w:r w:rsidRPr="00515A4C">
        <w:t>ä</w:t>
      </w:r>
      <w:r w:rsidRPr="00515A4C">
        <w:t>gande. En förstärkning av såväl minoritetsskyddet som fri- och rättighet</w:t>
      </w:r>
      <w:r w:rsidRPr="00515A4C">
        <w:t>s</w:t>
      </w:r>
      <w:r w:rsidRPr="00515A4C">
        <w:t xml:space="preserve">skyddet skulle inte bara utgöra ett viktigt steg i den </w:t>
      </w:r>
      <w:r w:rsidRPr="00515A4C">
        <w:t>allmänna strävan att stä</w:t>
      </w:r>
      <w:r w:rsidRPr="00515A4C">
        <w:t>r</w:t>
      </w:r>
      <w:r w:rsidRPr="00515A4C">
        <w:t>ka medborgarnas förtroende för det politiska systemet och den demokratiska beslutsprocessen. Reformen skulle också tydliggöra att Sverige är en dem</w:t>
      </w:r>
      <w:r w:rsidRPr="00515A4C">
        <w:t>o</w:t>
      </w:r>
      <w:r w:rsidRPr="00515A4C">
        <w:t xml:space="preserve">krati och en rättsstat som inte per automatik sätter statens intresse framför individens rätt. </w:t>
      </w:r>
    </w:p>
    <w:p w:rsidR="00322A77" w:rsidRPr="00515A4C" w:rsidRDefault="00322A77">
      <w:pPr>
        <w:pStyle w:val="Normaltindrag"/>
      </w:pPr>
      <w:r w:rsidRPr="00515A4C">
        <w:t>Den nuvarande bristen på samstämmighet mellan Europakonventionens och regeringsformen skyddsnivåer skulle kunna upphävas genom att upphöja Europakonventionen till grundlag. Ett annat sätt kan vara att utvidga tilläm</w:t>
      </w:r>
      <w:r w:rsidRPr="00515A4C">
        <w:t>p</w:t>
      </w:r>
      <w:r w:rsidRPr="00515A4C">
        <w:t>ningsområdet för 2 kap. 12 § regeringsformen till att omfatta även Europ</w:t>
      </w:r>
      <w:r w:rsidRPr="00515A4C">
        <w:t>a</w:t>
      </w:r>
      <w:r w:rsidRPr="00515A4C">
        <w:t>konventionen. Riksdagen bör som sin mening ge regeringen detta till känna.</w:t>
      </w:r>
    </w:p>
    <w:p w:rsidR="00322A77" w:rsidRPr="00515A4C" w:rsidRDefault="00322A77">
      <w:pPr>
        <w:pStyle w:val="Reservationspunkt"/>
        <w:outlineLvl w:val="0"/>
        <w:rPr>
          <w:noProof w:val="0"/>
        </w:rPr>
      </w:pPr>
      <w:bookmarkStart w:id="128" w:name="_Toc34039224"/>
      <w:r w:rsidRPr="00515A4C">
        <w:rPr>
          <w:noProof w:val="0"/>
        </w:rPr>
        <w:t>2.</w:t>
      </w:r>
      <w:r w:rsidRPr="00515A4C">
        <w:rPr>
          <w:noProof w:val="0"/>
        </w:rPr>
        <w:tab/>
        <w:t>En utredning om mänskliga fri- och rättigheter (punkt 2)</w:t>
      </w:r>
      <w:bookmarkEnd w:id="128"/>
    </w:p>
    <w:p w:rsidR="00322A77" w:rsidRPr="00515A4C" w:rsidRDefault="00322A77">
      <w:pPr>
        <w:pStyle w:val="Reservanter"/>
      </w:pPr>
      <w:r w:rsidRPr="00515A4C">
        <w:t>av Ingvar Svensson (kd).</w:t>
      </w:r>
    </w:p>
    <w:p w:rsidR="00322A77" w:rsidRPr="00515A4C" w:rsidRDefault="00322A77">
      <w:pPr>
        <w:pStyle w:val="R4"/>
      </w:pPr>
      <w:r w:rsidRPr="00515A4C">
        <w:t>Förslag till riksdagsbeslut</w:t>
      </w:r>
    </w:p>
    <w:p w:rsidR="00322A77" w:rsidRPr="00515A4C" w:rsidRDefault="00322A77">
      <w:r w:rsidRPr="00515A4C">
        <w:t>Jag anser att utskottets förslag under punkt 2 borde ha följande lydelse:</w:t>
      </w:r>
    </w:p>
    <w:p w:rsidR="00322A77" w:rsidRPr="00515A4C" w:rsidRDefault="00322A77">
      <w:pPr>
        <w:pStyle w:val="Reservantfrslag"/>
      </w:pPr>
      <w:r w:rsidRPr="00515A4C">
        <w:t>Riksdagen  ger som sin mening regeringen till känna vad som anförs i rese</w:t>
      </w:r>
      <w:r w:rsidRPr="00515A4C">
        <w:t>r</w:t>
      </w:r>
      <w:r w:rsidRPr="00515A4C">
        <w:t>vation 2. Därmed bifaller riksdagen motion 2002/03:K375.</w:t>
      </w:r>
    </w:p>
    <w:p w:rsidR="00322A77" w:rsidRPr="00515A4C" w:rsidRDefault="00322A77">
      <w:pPr>
        <w:pStyle w:val="R4"/>
      </w:pPr>
      <w:r w:rsidRPr="00515A4C">
        <w:t>Ställningstagande</w:t>
      </w:r>
    </w:p>
    <w:p w:rsidR="00322A77" w:rsidRPr="00515A4C" w:rsidRDefault="00322A77">
      <w:r w:rsidRPr="00515A4C">
        <w:t>Rättens legitimitet är inte bara knuten till sättet för beslutsfattande utan även till medborgarnas sociala medvetenhet, värdeskalor och värderingar. Den legitima rättsstaten måste visa respekt för de grundläggande mänskliga fri- och rättigheterna. Rättskipning och myndighetsutövning skall vara rimligt förutsebara med stöd av lagen och med hänsyn till etiska värden. En medbo</w:t>
      </w:r>
      <w:r w:rsidRPr="00515A4C">
        <w:t>r</w:t>
      </w:r>
      <w:r w:rsidRPr="00515A4C">
        <w:t>gare skall åtnjuta rättsskydd både mot enskilda och mot staten. Grundlägga</w:t>
      </w:r>
      <w:r w:rsidRPr="00515A4C">
        <w:t>n</w:t>
      </w:r>
      <w:r w:rsidRPr="00515A4C">
        <w:t>de kriterier för en fungerande rättsstat är mänskliga fri- och rättigheter, mak</w:t>
      </w:r>
      <w:r w:rsidRPr="00515A4C">
        <w:t>t</w:t>
      </w:r>
      <w:r w:rsidRPr="00515A4C">
        <w:t>delning, förvaltningens lagenlighet, rättsskydd genom oavhängiga domstolar och den statliga maktutövningens förutsebarhet. Rättsordningen måste därför präglas av rättslikhet, rättssäkerhet, rättstrygghet, rättstillgänglighet och ö</w:t>
      </w:r>
      <w:r w:rsidRPr="00515A4C">
        <w:t>p</w:t>
      </w:r>
      <w:r w:rsidRPr="00515A4C">
        <w:t>penhet. Rättssäkerhet, likhet inför lagen, den avtalsrättsliga partsautonomin (parters självständighet) och avtalsfrihet skyd</w:t>
      </w:r>
      <w:r w:rsidRPr="00515A4C">
        <w:t>dar individens behov av att tryggt kunna planera sitt liv. Rättsnormen skall ta sin utgångspunkt i det som är etiskt godtagbart. Den skall alltså förankras i den svenska och västerländ</w:t>
      </w:r>
      <w:r w:rsidRPr="00515A4C">
        <w:t>s</w:t>
      </w:r>
      <w:r w:rsidRPr="00515A4C">
        <w:t>ka kulturtraditionen. Denna syn på rättsstaten anknyter mer till ett mera ”normalt” europeiskt b</w:t>
      </w:r>
      <w:r w:rsidRPr="00515A4C">
        <w:t>e</w:t>
      </w:r>
      <w:r w:rsidRPr="00515A4C">
        <w:t xml:space="preserve">traktelsesätt. </w:t>
      </w:r>
    </w:p>
    <w:p w:rsidR="00322A77" w:rsidRPr="00515A4C" w:rsidRDefault="00322A77">
      <w:pPr>
        <w:pStyle w:val="Normaltindrag"/>
      </w:pPr>
      <w:r w:rsidRPr="00515A4C">
        <w:t>Det är viktigt att successivt sortera ut rättspositivismen ur det rättsliga pe</w:t>
      </w:r>
      <w:r w:rsidRPr="00515A4C">
        <w:t>r</w:t>
      </w:r>
      <w:r w:rsidRPr="00515A4C">
        <w:t>spektivet i arbetet att förstärka de mänskliga fri- och rättigheterna. Det sven</w:t>
      </w:r>
      <w:r w:rsidRPr="00515A4C">
        <w:t>s</w:t>
      </w:r>
      <w:r w:rsidRPr="00515A4C">
        <w:t>ka skyddet för dessa fri- och rättigheter behöver vidgas och förstärkas. Exe</w:t>
      </w:r>
      <w:r w:rsidRPr="00515A4C">
        <w:t>m</w:t>
      </w:r>
      <w:r w:rsidRPr="00515A4C">
        <w:t>pel på områden som borde bearbetas ytterligare är t.ex. vidden av skyddet för den mänskliga integriteten, föräldrarätten, den negativa föreningsfriheten och äganderätten. Det behövs också ett tydligt diskrimineringsskydd för männ</w:t>
      </w:r>
      <w:r w:rsidRPr="00515A4C">
        <w:t>i</w:t>
      </w:r>
      <w:r w:rsidRPr="00515A4C">
        <w:t>skans integritet oberoende av religion, ålder, ras, hudfärg, kön, språk, sexuell identitet, genetiska särdrag, börd, ekonomi</w:t>
      </w:r>
      <w:r w:rsidRPr="00515A4C">
        <w:t>sk eller social ställning, funktion</w:t>
      </w:r>
      <w:r w:rsidRPr="00515A4C">
        <w:t>s</w:t>
      </w:r>
      <w:r w:rsidRPr="00515A4C">
        <w:t>hinder, etnisk eller politisk tillhörighet. Detta skydd måste vara effektivt inte enbart i förhållandet mellan den enskilde och det allmänna utan rättsstaten måste också tillförsäkra ett sådant skydd mellan enskilda.</w:t>
      </w:r>
    </w:p>
    <w:p w:rsidR="00322A77" w:rsidRPr="00515A4C" w:rsidRDefault="00322A77">
      <w:pPr>
        <w:pStyle w:val="Normaltindrag"/>
      </w:pPr>
      <w:r w:rsidRPr="00515A4C">
        <w:t xml:space="preserve">Regeringsformen tillförsäkrar med smärre undantag medborgarna fri- och rättigheter uppräknade i 2 kap. 1 § regeringsformen endast i förhållande till det allmänna. Medborgarna tillförsäkras däremot inte sådana generella fri- och rättigheter i förhållande till </w:t>
      </w:r>
      <w:r w:rsidRPr="00515A4C">
        <w:t>andra enskilda eller andra enskilda rättssu</w:t>
      </w:r>
      <w:r w:rsidRPr="00515A4C">
        <w:t>b</w:t>
      </w:r>
      <w:r w:rsidRPr="00515A4C">
        <w:t>jekt (företag eller organisationer). I denna del kan det inte anses råda full parallellitet mellan regeringsformen och Europakonventionen. Denna ko</w:t>
      </w:r>
      <w:r w:rsidRPr="00515A4C">
        <w:t>n</w:t>
      </w:r>
      <w:r w:rsidRPr="00515A4C">
        <w:t>vention kan antas ålägga konventionsstaterna viss skyldighet att genom la</w:t>
      </w:r>
      <w:r w:rsidRPr="00515A4C">
        <w:t>g</w:t>
      </w:r>
      <w:r w:rsidRPr="00515A4C">
        <w:t>stiftning trygga vissa fri- och rättigheter även mellan enskilda. Enligt vår mening vore det värdefullt att utreda om även fri- och rättigheter mellan enskilda borde grundlagsfästas och inte som nu i huvudsak vara inriktade på förhållandet mellan</w:t>
      </w:r>
      <w:r w:rsidRPr="00515A4C">
        <w:t xml:space="preserve"> den enskilde och det allmänna. Konstitutionsutskottets majoritet har i ett tidigare betänkande konstaterat att det inte är praktiskt möjligt att i en grundlag ta in en generell reglering av skyddet för mänskliga fri- och rättigheter såvitt avser förhållandet mellan enskilda. Det finns eme</w:t>
      </w:r>
      <w:r w:rsidRPr="00515A4C">
        <w:t>l</w:t>
      </w:r>
      <w:r w:rsidRPr="00515A4C">
        <w:t>lertid några bestämmelser i regeringsformen som visar att det är möjligt. Det är med andra ord mer en fråga om att vilja än att kunna. Denna typ av fråg</w:t>
      </w:r>
      <w:r w:rsidRPr="00515A4C">
        <w:t>e</w:t>
      </w:r>
      <w:r w:rsidRPr="00515A4C">
        <w:t>ställning anknyter till frågan om diskrimineringsförbud. Det är ange</w:t>
      </w:r>
      <w:r w:rsidRPr="00515A4C">
        <w:t>läget just att ett sådant skydd får bäring även mellan enskilda, inte bara mellan den enskilde och det allmänna. Regeringen bör tillsätta en utredning om ett vidgat skydd för de mänskliga fri- och rättigheterna i enlighet med vad som anförs i rese</w:t>
      </w:r>
      <w:r w:rsidRPr="00515A4C">
        <w:t>r</w:t>
      </w:r>
      <w:r w:rsidRPr="00515A4C">
        <w:t xml:space="preserve">vationen. </w:t>
      </w:r>
    </w:p>
    <w:p w:rsidR="00322A77" w:rsidRPr="00515A4C" w:rsidRDefault="00322A77">
      <w:pPr>
        <w:pStyle w:val="Reservationspunkt"/>
        <w:outlineLvl w:val="0"/>
        <w:rPr>
          <w:noProof w:val="0"/>
        </w:rPr>
      </w:pPr>
      <w:bookmarkStart w:id="129" w:name="_Toc34039225"/>
      <w:r w:rsidRPr="00515A4C">
        <w:rPr>
          <w:noProof w:val="0"/>
        </w:rPr>
        <w:t>3.</w:t>
      </w:r>
      <w:r w:rsidRPr="00515A4C">
        <w:rPr>
          <w:noProof w:val="0"/>
        </w:rPr>
        <w:tab/>
        <w:t>Värdekommission (punkt 3)</w:t>
      </w:r>
      <w:bookmarkEnd w:id="129"/>
    </w:p>
    <w:p w:rsidR="00322A77" w:rsidRPr="00515A4C" w:rsidRDefault="00322A77">
      <w:pPr>
        <w:pStyle w:val="Reservanter"/>
      </w:pPr>
      <w:r w:rsidRPr="00515A4C">
        <w:t>av Ingvar Svensson (kd).</w:t>
      </w:r>
    </w:p>
    <w:p w:rsidR="00322A77" w:rsidRPr="00515A4C" w:rsidRDefault="00322A77">
      <w:pPr>
        <w:pStyle w:val="R4"/>
      </w:pPr>
      <w:r w:rsidRPr="00515A4C">
        <w:t>Förslag till riksdagsbeslut</w:t>
      </w:r>
    </w:p>
    <w:p w:rsidR="00322A77" w:rsidRPr="00515A4C" w:rsidRDefault="00322A77">
      <w:r w:rsidRPr="00515A4C">
        <w:t>Jag anser att utskottets förslag under punkt 3 borde ha följande lydelse:</w:t>
      </w:r>
    </w:p>
    <w:p w:rsidR="00322A77" w:rsidRPr="00515A4C" w:rsidRDefault="00322A77">
      <w:pPr>
        <w:pStyle w:val="Reservantfrslag"/>
      </w:pPr>
      <w:r w:rsidRPr="00515A4C">
        <w:t>Riksdagen ger som sin mening regeringen till känna vad som anförs i rese</w:t>
      </w:r>
      <w:r w:rsidRPr="00515A4C">
        <w:t>r</w:t>
      </w:r>
      <w:r w:rsidRPr="00515A4C">
        <w:t>vation 3. Därmed bifaller riksdagen motion 2002/03:K361.</w:t>
      </w:r>
    </w:p>
    <w:p w:rsidR="00322A77" w:rsidRPr="00515A4C" w:rsidRDefault="00322A77">
      <w:pPr>
        <w:pStyle w:val="R4"/>
      </w:pPr>
      <w:r w:rsidRPr="00515A4C">
        <w:t>Ställningstagande</w:t>
      </w:r>
    </w:p>
    <w:p w:rsidR="00322A77" w:rsidRPr="00515A4C" w:rsidRDefault="00322A77">
      <w:r w:rsidRPr="00515A4C">
        <w:t>Inget samhälle kan bestå utan ett grundläggande etiskt minimum. Men om vi inte bryr oss om att utkristallisera och diskutera och förklara detta minimum är risken uppenbar att det faller i glömska och ersätts av ett moraliskt gungfly. Att föra en debatt om dessa idéer borde därför vara centralt i allt samhällse</w:t>
      </w:r>
      <w:r w:rsidRPr="00515A4C">
        <w:t>n</w:t>
      </w:r>
      <w:r w:rsidRPr="00515A4C">
        <w:t>gagemang. De politiska partierna är naturligtvis inte de mest centrala signa</w:t>
      </w:r>
      <w:r w:rsidRPr="00515A4C">
        <w:t>l</w:t>
      </w:r>
      <w:r w:rsidRPr="00515A4C">
        <w:t>givarna när det gäller överförande av värden och värderingar. Familjen är givetvis den viktigaste. Skolan, medierna, vänner och kamrater kompletterar denna uppgift. Lagstiftaren deltar också – det torde vara påvisat att lagstif</w:t>
      </w:r>
      <w:r w:rsidRPr="00515A4C">
        <w:t>t</w:t>
      </w:r>
      <w:r w:rsidRPr="00515A4C">
        <w:t xml:space="preserve">ning är normerande, åtminstone i viss utsträckning. Men även inom politikens domäner finns det behov av ett samtal, debatt, kring de grundläggande mänskliga värdena. Och självfallet är det oerhört centralt </w:t>
      </w:r>
      <w:r w:rsidRPr="00515A4C">
        <w:t xml:space="preserve">att de politiska beslut som fattas av riksdag, landsting/regioner och kommuner är grundade på ett accepterat värdemönster. </w:t>
      </w:r>
    </w:p>
    <w:p w:rsidR="00322A77" w:rsidRPr="00515A4C" w:rsidRDefault="00322A77">
      <w:pPr>
        <w:pStyle w:val="Normaltindrag"/>
      </w:pPr>
      <w:r w:rsidRPr="00515A4C">
        <w:t>Till det politiska ledarskapet hör också möjligheten att starta en diskussion och att försöka leda den in på meningsfulla områden. I andra sammanhang  har regeringen och de politiska partierna varit angelägna om att bidra till att debatt skapas kring andra frågor. Maktutredningen och Demokratiutredningen var t.ex. så uppbyggda att ett av syftena med dem vara att stimulera debatten krin</w:t>
      </w:r>
      <w:r w:rsidRPr="00515A4C">
        <w:t>g respektive frågeområde. EU 2004-kommittén och etikkommissionen för företagandet visar också att argumentet mot en värde- eller etikkommission för hela samhällslivet har undanröjts. För en svensk värdekommission går det utmärkt att använda sig av det grundläggande upplägg som den norska värd</w:t>
      </w:r>
      <w:r w:rsidRPr="00515A4C">
        <w:t>e</w:t>
      </w:r>
      <w:r w:rsidRPr="00515A4C">
        <w:t>kommissionen har haft. Det finns t.ex. anledning att fokusera på följande frågeställningar: vilka de grundläggande värdena för ett gott samhälle är och vilka inspirationsgivarna för dessa är, liksom hur vi tillägnar os</w:t>
      </w:r>
      <w:r w:rsidRPr="00515A4C">
        <w:t>s et</w:t>
      </w:r>
      <w:r w:rsidRPr="00515A4C">
        <w:t>i</w:t>
      </w:r>
      <w:r w:rsidRPr="00515A4C">
        <w:t>ken/värdena, familjens, skolans, rättssystemets, mediernas och övriga signa</w:t>
      </w:r>
      <w:r w:rsidRPr="00515A4C">
        <w:t>l</w:t>
      </w:r>
      <w:r w:rsidRPr="00515A4C">
        <w:t>givares betydelse som värde- och normöverförare, hur rättssystemet och rättstänkande byggs upp utifrån den gemensamma värdebasen, samhällsek</w:t>
      </w:r>
      <w:r w:rsidRPr="00515A4C">
        <w:t>o</w:t>
      </w:r>
      <w:r w:rsidRPr="00515A4C">
        <w:t>nomins beroende av en fungerande etik i form av tillit och förtroende, ek</w:t>
      </w:r>
      <w:r w:rsidRPr="00515A4C">
        <w:t>o</w:t>
      </w:r>
      <w:r w:rsidRPr="00515A4C">
        <w:t>nomins drivkrafter, familjens betydelse för ett gemenskapstänkande, värdeb</w:t>
      </w:r>
      <w:r w:rsidRPr="00515A4C">
        <w:t>a</w:t>
      </w:r>
      <w:r w:rsidRPr="00515A4C">
        <w:t>sens betydelse för uppbyggande av företags- och organisationskulturer, vä</w:t>
      </w:r>
      <w:r w:rsidRPr="00515A4C">
        <w:t>r</w:t>
      </w:r>
      <w:r w:rsidRPr="00515A4C">
        <w:t>debasens utveckling och betydelse i ett informationssamhälle jämför</w:t>
      </w:r>
      <w:r w:rsidRPr="00515A4C">
        <w:t xml:space="preserve">t med jordbruks- och industrisamhällena och värdebasens utveckling och betydelse i ett samhälle som får allt större etnisk mångfald. Sverige bör i syfte att bredda och entusiasmera den etiska diskussionen med sikte på samhällets fundament och därmed de mänskliga fri- och rättigheterna tillsätta en värdekommission. Detta bör ges regeringen till känna. </w:t>
      </w:r>
    </w:p>
    <w:p w:rsidR="00322A77" w:rsidRPr="00515A4C" w:rsidRDefault="00322A77">
      <w:pPr>
        <w:pStyle w:val="Reservationspunkt"/>
        <w:outlineLvl w:val="0"/>
        <w:rPr>
          <w:noProof w:val="0"/>
        </w:rPr>
      </w:pPr>
      <w:bookmarkStart w:id="130" w:name="_Toc34039226"/>
      <w:r w:rsidRPr="00515A4C">
        <w:rPr>
          <w:noProof w:val="0"/>
        </w:rPr>
        <w:t>4.</w:t>
      </w:r>
      <w:r w:rsidRPr="00515A4C">
        <w:rPr>
          <w:noProof w:val="0"/>
        </w:rPr>
        <w:tab/>
        <w:t>Samvetsklausul (punkt 5 – villkorad)</w:t>
      </w:r>
      <w:bookmarkEnd w:id="130"/>
    </w:p>
    <w:p w:rsidR="00322A77" w:rsidRPr="00515A4C" w:rsidRDefault="00322A77">
      <w:pPr>
        <w:pStyle w:val="Reservanter"/>
      </w:pPr>
      <w:r w:rsidRPr="00515A4C">
        <w:t>av Ingvar Svensson (kd).</w:t>
      </w:r>
    </w:p>
    <w:p w:rsidR="00322A77" w:rsidRPr="00515A4C" w:rsidRDefault="00322A77">
      <w:pPr>
        <w:pStyle w:val="R4"/>
      </w:pPr>
      <w:r w:rsidRPr="00515A4C">
        <w:t>Förslag till riksdagsbeslut</w:t>
      </w:r>
    </w:p>
    <w:p w:rsidR="00322A77" w:rsidRPr="00515A4C" w:rsidRDefault="00322A77">
      <w:r w:rsidRPr="00515A4C">
        <w:t>Jag anser, såvida riksdagen inte beslutar i enlighet med reservation 2, att utskottets förslag under punkt 5 borde ha följande lyde</w:t>
      </w:r>
      <w:r w:rsidRPr="00515A4C">
        <w:t>l</w:t>
      </w:r>
      <w:r w:rsidRPr="00515A4C">
        <w:t>se:</w:t>
      </w:r>
    </w:p>
    <w:p w:rsidR="00322A77" w:rsidRPr="00515A4C" w:rsidRDefault="00322A77">
      <w:pPr>
        <w:pStyle w:val="Reservantfrslag"/>
      </w:pPr>
      <w:r w:rsidRPr="00515A4C">
        <w:t>Riksdagen ger som sin mening regeringen till känna vad som anförs i rese</w:t>
      </w:r>
      <w:r w:rsidRPr="00515A4C">
        <w:t>r</w:t>
      </w:r>
      <w:r w:rsidRPr="00515A4C">
        <w:t>vation 4. Därmed bifaller riksdagen delvis motion 2002/03:Ub495 yrkande 1.</w:t>
      </w:r>
    </w:p>
    <w:p w:rsidR="00322A77" w:rsidRPr="00515A4C" w:rsidRDefault="00322A77">
      <w:pPr>
        <w:pStyle w:val="R4"/>
      </w:pPr>
      <w:r w:rsidRPr="00515A4C">
        <w:t>Ställningstagande</w:t>
      </w:r>
    </w:p>
    <w:p w:rsidR="00322A77" w:rsidRPr="00515A4C" w:rsidRDefault="00322A77">
      <w:r w:rsidRPr="00515A4C">
        <w:t>Samvetet kan definieras som en etisk medvetenhet i var människa. Denna medvetenhet är beroende av den bakomliggande etiken och kulturen och inte minst de grundläggande värden som vår demokrati ytterst vilar på. Om Sver</w:t>
      </w:r>
      <w:r w:rsidRPr="00515A4C">
        <w:t>i</w:t>
      </w:r>
      <w:r w:rsidRPr="00515A4C">
        <w:t xml:space="preserve">ges riksdag skulle lagstifta om t.ex. rätt till dödshjälp i någon form och om det skulle ingå i en yrkesgrupps uppgifter och åligganden att utföra momentet, då hör det till de grundläggande mänskliga rättigheterna i en rättsstat att kunna vägra att utföra detta för sitt samvetes skull, utan rättslig eller någon annan påföljd. </w:t>
      </w:r>
    </w:p>
    <w:p w:rsidR="00322A77" w:rsidRPr="00515A4C" w:rsidRDefault="00322A77">
      <w:pPr>
        <w:pStyle w:val="Normaltindrag"/>
      </w:pPr>
      <w:r w:rsidRPr="00515A4C">
        <w:t>De länder som har samvetsklausul kan tillvarata kunnandet och engag</w:t>
      </w:r>
      <w:r w:rsidRPr="00515A4C">
        <w:t>e</w:t>
      </w:r>
      <w:r w:rsidRPr="00515A4C">
        <w:t>manget hos alla de personer som funnit sin uppgift inom sjukvården, utan att tvinga den som hyser samvetsbetänkligheter kring vissa svåra etiska frågor att delta i viss verksamhet. Till syvende och sist handlar det emellertid inte om att utreda huruvida Sverige skall ha en samvetsklausul inom sjukvården eller ej. Frågan är i stället hur Sverige skall tillämpa Europakonventionen, som redan är en del av svensk lagstiftning. Enligt min mening bör regeringen efter utredning snarast återkomma till riksdagen med</w:t>
      </w:r>
      <w:r w:rsidRPr="00515A4C">
        <w:t xml:space="preserve"> lagförslag om att införliva samvetsfr</w:t>
      </w:r>
      <w:r w:rsidRPr="00515A4C">
        <w:t>i</w:t>
      </w:r>
      <w:r w:rsidRPr="00515A4C">
        <w:t>heten i rättighetskatalogen i Sveriges grundlag.</w:t>
      </w:r>
    </w:p>
    <w:p w:rsidR="00322A77" w:rsidRPr="00515A4C" w:rsidRDefault="00322A77">
      <w:pPr>
        <w:pStyle w:val="Reservationspunkt"/>
        <w:outlineLvl w:val="0"/>
        <w:rPr>
          <w:noProof w:val="0"/>
        </w:rPr>
      </w:pPr>
      <w:bookmarkStart w:id="131" w:name="_Toc34039227"/>
      <w:r w:rsidRPr="00515A4C">
        <w:rPr>
          <w:noProof w:val="0"/>
        </w:rPr>
        <w:t>5.</w:t>
      </w:r>
      <w:r w:rsidRPr="00515A4C">
        <w:rPr>
          <w:noProof w:val="0"/>
        </w:rPr>
        <w:tab/>
        <w:t>Åtgärder mot det politiska våldet (punkt 7)</w:t>
      </w:r>
      <w:bookmarkEnd w:id="131"/>
    </w:p>
    <w:p w:rsidR="00322A77" w:rsidRPr="00515A4C" w:rsidRDefault="00322A77">
      <w:pPr>
        <w:pStyle w:val="Reservanter"/>
      </w:pPr>
      <w:r w:rsidRPr="00515A4C">
        <w:t>av Helena Bargholtz (fp) och Tobias Krantz (fp).</w:t>
      </w:r>
    </w:p>
    <w:p w:rsidR="00322A77" w:rsidRPr="00515A4C" w:rsidRDefault="00322A77">
      <w:pPr>
        <w:pStyle w:val="R4"/>
      </w:pPr>
      <w:r w:rsidRPr="00515A4C">
        <w:t>Förslag till riksdagsbeslut</w:t>
      </w:r>
    </w:p>
    <w:p w:rsidR="00322A77" w:rsidRPr="00515A4C" w:rsidRDefault="00322A77">
      <w:r w:rsidRPr="00515A4C">
        <w:t>Vi anser att utskottets förslag under punkt 7 borde ha följande lydelse:</w:t>
      </w:r>
    </w:p>
    <w:p w:rsidR="00322A77" w:rsidRPr="00515A4C" w:rsidRDefault="00322A77">
      <w:pPr>
        <w:pStyle w:val="Reservantfrslag"/>
      </w:pPr>
      <w:r w:rsidRPr="00515A4C">
        <w:t>Riksdagen ger som sin mening regeringen till känna vad som anförs i rese</w:t>
      </w:r>
      <w:r w:rsidRPr="00515A4C">
        <w:t>r</w:t>
      </w:r>
      <w:r w:rsidRPr="00515A4C">
        <w:t>vation 5. Därmed bifaller riksdagen motion 2002/03:K385 yrkande 10.</w:t>
      </w:r>
    </w:p>
    <w:p w:rsidR="00322A77" w:rsidRPr="00515A4C" w:rsidRDefault="00322A77">
      <w:pPr>
        <w:pStyle w:val="R4"/>
      </w:pPr>
      <w:r w:rsidRPr="00515A4C">
        <w:t>Ställningstagande</w:t>
      </w:r>
    </w:p>
    <w:p w:rsidR="00322A77" w:rsidRPr="00515A4C" w:rsidRDefault="00322A77">
      <w:r w:rsidRPr="00515A4C">
        <w:t>Demokratin bygger på samtalets metod. De människor som i stället försöker ändra samhället med våld och hot utgör ett hot mot både enskilda individer och samhället i stort. Vi är mycket bekymrade över de senaste årens utvec</w:t>
      </w:r>
      <w:r w:rsidRPr="00515A4C">
        <w:t>k</w:t>
      </w:r>
      <w:r w:rsidRPr="00515A4C">
        <w:t>ling när det gäller brott med rasistiska, nazistiska och antisemitiska förtecken. Vi kan aldrig acceptera att människor skräms till tystnad. Kartläggning av politiska motståndare, systematiska trakasserier och publicering av ”dödslistor” via olika hemsidor utgör steg i ett försök att tysta ned demokr</w:t>
      </w:r>
      <w:r w:rsidRPr="00515A4C">
        <w:t>a</w:t>
      </w:r>
      <w:r w:rsidRPr="00515A4C">
        <w:t>tiska motkrafter. Brottsligheten inskränker sig dock inte till hot, utan flera våldsdåd, och till och med mord, har utförts av dessa rörelser. När demo</w:t>
      </w:r>
      <w:r w:rsidRPr="00515A4C">
        <w:t>n</w:t>
      </w:r>
      <w:r w:rsidRPr="00515A4C">
        <w:t xml:space="preserve">stranter missbrukar demonstrations- och yttrandefriheten </w:t>
      </w:r>
      <w:r w:rsidRPr="00515A4C">
        <w:t xml:space="preserve">på det sätt som skedde i Göteborg 2001 är det inte bara ett angrepp mot dem som drabbades av vandaliseringen utan det är också en attack mot demokratin. Det odlas en våldsromantik och en tro på att utomparlamentariska aktioner är överlägsna den representativa demokratin som får legitimera direkt antidemokratiska handlingar. Vi menar att det är alla demokraters uppgift att reagera kraftfullt när den extrema högern och den yttersta vänstern gör gemensam sak. </w:t>
      </w:r>
    </w:p>
    <w:p w:rsidR="00322A77" w:rsidRPr="00515A4C" w:rsidRDefault="00322A77">
      <w:r w:rsidRPr="00515A4C">
        <w:br w:type="page"/>
      </w:r>
    </w:p>
    <w:p w:rsidR="00322A77" w:rsidRPr="00515A4C" w:rsidRDefault="00322A77">
      <w:pPr>
        <w:pStyle w:val="Reservationspunkt"/>
        <w:spacing w:before="110"/>
        <w:outlineLvl w:val="0"/>
        <w:rPr>
          <w:noProof w:val="0"/>
        </w:rPr>
      </w:pPr>
      <w:bookmarkStart w:id="132" w:name="_Toc34039228"/>
      <w:r w:rsidRPr="00515A4C">
        <w:rPr>
          <w:noProof w:val="0"/>
        </w:rPr>
        <w:t>6.</w:t>
      </w:r>
      <w:r w:rsidRPr="00515A4C">
        <w:rPr>
          <w:noProof w:val="0"/>
        </w:rPr>
        <w:tab/>
        <w:t>Negativ föreningsfrihet (punkt 8)</w:t>
      </w:r>
      <w:bookmarkEnd w:id="132"/>
    </w:p>
    <w:p w:rsidR="00322A77" w:rsidRPr="00515A4C" w:rsidRDefault="00322A77">
      <w:pPr>
        <w:pStyle w:val="Reservanter"/>
      </w:pPr>
      <w:r w:rsidRPr="00515A4C">
        <w:t>av Gunnar Hökmark (m), Helena Bargholtz (fp), Ingvar Svensson (kd), Henrik S Järrel (m), Tobias Krantz (fp), Kerstin Lundgren (c) och Nils Fredrik Aurelius (m).</w:t>
      </w:r>
    </w:p>
    <w:p w:rsidR="00322A77" w:rsidRPr="00515A4C" w:rsidRDefault="00322A77">
      <w:pPr>
        <w:pStyle w:val="R4"/>
      </w:pPr>
      <w:r w:rsidRPr="00515A4C">
        <w:t>Förslag till riksdagsbeslut</w:t>
      </w:r>
    </w:p>
    <w:p w:rsidR="00322A77" w:rsidRPr="00515A4C" w:rsidRDefault="00322A77">
      <w:r w:rsidRPr="00515A4C">
        <w:t>Vi anser att utskottets förslag under punkt 8 borde ha följande lydelse:</w:t>
      </w:r>
    </w:p>
    <w:p w:rsidR="00322A77" w:rsidRPr="00515A4C" w:rsidRDefault="00322A77">
      <w:pPr>
        <w:pStyle w:val="Reservantfrslag"/>
      </w:pPr>
      <w:r w:rsidRPr="00515A4C">
        <w:t>Riksdagen ger som sin mening regeringen till känna vad som anförs i rese</w:t>
      </w:r>
      <w:r w:rsidRPr="00515A4C">
        <w:t>r</w:t>
      </w:r>
      <w:r w:rsidRPr="00515A4C">
        <w:t>vation 6. Därmed bifaller riksdagen motion 2002/03:K379 yrkande 13.</w:t>
      </w:r>
    </w:p>
    <w:p w:rsidR="00322A77" w:rsidRPr="00515A4C" w:rsidRDefault="00322A77">
      <w:pPr>
        <w:pStyle w:val="R4"/>
      </w:pPr>
      <w:r w:rsidRPr="00515A4C">
        <w:t>Ställningstagande</w:t>
      </w:r>
    </w:p>
    <w:p w:rsidR="00322A77" w:rsidRPr="00515A4C" w:rsidRDefault="00322A77">
      <w:r w:rsidRPr="00515A4C">
        <w:t>Med rätten att ansluta sig till en förening borde rimligen också följa en rätt att utan sanktion utträda ur en förening. Enligt den tolkning som Europarådets organ i Strasbourg gett Europakonventionen är också den negativa förening</w:t>
      </w:r>
      <w:r w:rsidRPr="00515A4C">
        <w:t>s</w:t>
      </w:r>
      <w:r w:rsidRPr="00515A4C">
        <w:t xml:space="preserve">friheten skyddad på svensk arbetsmarknad. Trots att Arbetsdomstolen vid flera tillfällen klargjort att en medlem i en facklig organisation har rätt att lämna organisationen på egen begäran förekommer det emellertid fortfarande att fackliga organisationer nekar eller ställer upp hinder då en medlem önskar utträda eller skapar svårigheter för arbetsgivare som vill anställa någon som inte är fackligt ansluten. På samma sätt kan det uppstå svårigheter för en arbetssökande i de fall arbetsgivaren förbundit sig </w:t>
      </w:r>
      <w:r w:rsidRPr="00515A4C">
        <w:t>att endast anställa dem med viss facklig tillhörighet och den arbetssökande tillhör en annan organisation eller inte tillhör någon facklig organisation alls. Det förekommer även p</w:t>
      </w:r>
      <w:r w:rsidRPr="00515A4C">
        <w:t>å</w:t>
      </w:r>
      <w:r w:rsidRPr="00515A4C">
        <w:t>tryckningar på arbetsgivare att acceptera kollektivavtal. Rätten att stå utanför en förening är alltså inte någon självklarhet i Sverige. Någon uttrycklig b</w:t>
      </w:r>
      <w:r w:rsidRPr="00515A4C">
        <w:t>e</w:t>
      </w:r>
      <w:r w:rsidRPr="00515A4C">
        <w:t>stämmelse om skydd för den enskildes rätt att stå utanför en organisation finns inte i regeringsformens fri- och rättighetskatalog. Regeringen bör lägga fram ett sådant försla</w:t>
      </w:r>
      <w:r w:rsidRPr="00515A4C">
        <w:t xml:space="preserve">g. </w:t>
      </w:r>
    </w:p>
    <w:p w:rsidR="00322A77" w:rsidRPr="00515A4C" w:rsidRDefault="00322A77">
      <w:pPr>
        <w:pStyle w:val="Reservationspunkt"/>
        <w:outlineLvl w:val="0"/>
        <w:rPr>
          <w:noProof w:val="0"/>
        </w:rPr>
      </w:pPr>
      <w:bookmarkStart w:id="133" w:name="_Toc34039229"/>
      <w:r w:rsidRPr="00515A4C">
        <w:rPr>
          <w:noProof w:val="0"/>
        </w:rPr>
        <w:t>7.</w:t>
      </w:r>
      <w:r w:rsidRPr="00515A4C">
        <w:rPr>
          <w:noProof w:val="0"/>
        </w:rPr>
        <w:tab/>
        <w:t>Retroaktivitetsförbud (punkt 9)</w:t>
      </w:r>
      <w:bookmarkEnd w:id="133"/>
    </w:p>
    <w:p w:rsidR="00322A77" w:rsidRPr="00515A4C" w:rsidRDefault="00322A77">
      <w:pPr>
        <w:pStyle w:val="Reservanter"/>
      </w:pPr>
      <w:r w:rsidRPr="00515A4C">
        <w:t>av Gunnar Hökmark (m), Ingvar Svensson (kd), Henrik S Järrel (m), Kerstin Lundgren (c) och Nils Fredrik Aurelius (m).</w:t>
      </w:r>
    </w:p>
    <w:p w:rsidR="00322A77" w:rsidRPr="00515A4C" w:rsidRDefault="00322A77">
      <w:pPr>
        <w:pStyle w:val="R4"/>
      </w:pPr>
      <w:r w:rsidRPr="00515A4C">
        <w:t>Förslag till riksdagsbeslut</w:t>
      </w:r>
    </w:p>
    <w:p w:rsidR="00322A77" w:rsidRPr="00515A4C" w:rsidRDefault="00322A77">
      <w:r w:rsidRPr="00515A4C">
        <w:t>Vi anser att utskottets förslag under punkt 9 borde ha följande lydelse:</w:t>
      </w:r>
    </w:p>
    <w:p w:rsidR="00322A77" w:rsidRPr="00515A4C" w:rsidRDefault="00322A77">
      <w:pPr>
        <w:pStyle w:val="Reservantfrslag"/>
      </w:pPr>
      <w:r w:rsidRPr="00515A4C">
        <w:t>Riksdagen ger som sin mening regeringen till känna vad som anförs i rese</w:t>
      </w:r>
      <w:r w:rsidRPr="00515A4C">
        <w:t>r</w:t>
      </w:r>
      <w:r w:rsidRPr="00515A4C">
        <w:t>vation 7. Därmed bifaller riksdagen motionerna 2002/03:K237 och 2002/03:K241 yrkande 35.</w:t>
      </w:r>
    </w:p>
    <w:p w:rsidR="00322A77" w:rsidRPr="00515A4C" w:rsidRDefault="00322A77">
      <w:pPr>
        <w:pStyle w:val="R4"/>
      </w:pPr>
      <w:r w:rsidRPr="00515A4C">
        <w:t>Ställningstagande</w:t>
      </w:r>
    </w:p>
    <w:p w:rsidR="00322A77" w:rsidRPr="00515A4C" w:rsidRDefault="00322A77">
      <w:r w:rsidRPr="00515A4C">
        <w:t>Regeringen föreslår då och då lagstiftning med retroaktiv tillämpning på skatteområdet. Syftet kan vara att eliminera en skatteflyktsmöjlighet, att fö</w:t>
      </w:r>
      <w:r w:rsidRPr="00515A4C">
        <w:t>r</w:t>
      </w:r>
      <w:r w:rsidRPr="00515A4C">
        <w:t>hindra ett överutnyttjande av någon skattefördel innan nya skärpta regler träder i kraft eller att över huvud taget täppa till något oavsiktligt skatteläck</w:t>
      </w:r>
      <w:r w:rsidRPr="00515A4C">
        <w:t>a</w:t>
      </w:r>
      <w:r w:rsidRPr="00515A4C">
        <w:t>ge. Användningen av den i lagstiftningen tänkta begränsade möjligheten att lagstifta med retroaktiv verkan på skatteområdet leder till stor rättsosäkerhet för enskilda individer och för näringslivet. Det visar sig dessutom att tiden mellan en skrivelse och en proposition tenderar att bli allt längre. Under de senaste tio åren har sådan retroaktiv skatte</w:t>
      </w:r>
      <w:r w:rsidRPr="00515A4C">
        <w:t xml:space="preserve">lagstiftning beslutats en eller par gånger om året. Det är uppenbart att det utrymme för retroaktiv lagstiftning som av lagstiftaren var tänkt att vid särskilda skäl möjliggöra begränsade undantag används allt oftare. De är därför nödvändigt att regeringsformens principiella förbud mot retroaktiv skattelagstiftning skärps. </w:t>
      </w:r>
    </w:p>
    <w:p w:rsidR="00322A77" w:rsidRPr="00515A4C" w:rsidRDefault="00322A77">
      <w:pPr>
        <w:pStyle w:val="Normaltindrag"/>
      </w:pPr>
      <w:r w:rsidRPr="00515A4C">
        <w:t>Ett annat problem gäller retroaktiv ändring av andra regler. Det är uppe</w:t>
      </w:r>
      <w:r w:rsidRPr="00515A4C">
        <w:t>n</w:t>
      </w:r>
      <w:r w:rsidRPr="00515A4C">
        <w:t xml:space="preserve">bart att förändringar av t.ex. bidrag kan ha nog så stor betydelse för företags och enskildas möjligheter att planera långsiktigt. Det är därför önskvärt att se över retroaktivitetsskyddet för att göra det mer allmänt tillämpligt i fråga om all lagstiftning med retroaktiv verkan som missgynnar medborgare eller en grupp av medborgare.  </w:t>
      </w:r>
    </w:p>
    <w:p w:rsidR="00322A77" w:rsidRPr="00515A4C" w:rsidRDefault="00322A77">
      <w:pPr>
        <w:pStyle w:val="Normaltindrag"/>
      </w:pPr>
      <w:r w:rsidRPr="00515A4C">
        <w:t>Regeringen bör därför återkomma till riksdagen med förslag till ytterligare begränsningar av möjligheten att besluta lagar med retroaktiv verkan.</w:t>
      </w:r>
    </w:p>
    <w:p w:rsidR="00322A77" w:rsidRPr="00515A4C" w:rsidRDefault="00322A77">
      <w:pPr>
        <w:pStyle w:val="Reservationspunkt"/>
        <w:outlineLvl w:val="0"/>
        <w:rPr>
          <w:noProof w:val="0"/>
        </w:rPr>
      </w:pPr>
      <w:bookmarkStart w:id="134" w:name="_Toc34039230"/>
      <w:r w:rsidRPr="00515A4C">
        <w:rPr>
          <w:noProof w:val="0"/>
        </w:rPr>
        <w:t>8.</w:t>
      </w:r>
      <w:r w:rsidRPr="00515A4C">
        <w:rPr>
          <w:noProof w:val="0"/>
        </w:rPr>
        <w:tab/>
        <w:t>Skyddet mot diskriminering i 2 kap. 15 § regeringsformen (punkt 10)</w:t>
      </w:r>
      <w:bookmarkEnd w:id="134"/>
    </w:p>
    <w:p w:rsidR="00322A77" w:rsidRPr="00515A4C" w:rsidRDefault="00322A77">
      <w:pPr>
        <w:pStyle w:val="Reservanter"/>
      </w:pPr>
      <w:r w:rsidRPr="00515A4C">
        <w:t>av Mats Einarsson (v) och Gustav Fridolin (mp).</w:t>
      </w:r>
    </w:p>
    <w:p w:rsidR="00322A77" w:rsidRPr="00515A4C" w:rsidRDefault="00322A77">
      <w:pPr>
        <w:pStyle w:val="R4"/>
      </w:pPr>
      <w:r w:rsidRPr="00515A4C">
        <w:t>Förslag till riksdagsbeslut</w:t>
      </w:r>
    </w:p>
    <w:p w:rsidR="00322A77" w:rsidRPr="00515A4C" w:rsidRDefault="00322A77">
      <w:r w:rsidRPr="00515A4C">
        <w:t>Vi anser att utskottets förslag under punkt 10 borde ha följande lydelse:</w:t>
      </w:r>
    </w:p>
    <w:p w:rsidR="00322A77" w:rsidRPr="00515A4C" w:rsidRDefault="00322A77">
      <w:pPr>
        <w:pStyle w:val="Reservantfrslag"/>
      </w:pPr>
      <w:r w:rsidRPr="00515A4C">
        <w:t>Riksdagen beslutar att som vilande anta bifogat förslag till lag om ändring i regeringsformen. Därmed bifaller riksdagen motion 2002/3:K275 samt delvis motionerna 2002/03:L249 yrkande 8 och 2002/03:K310 yrkande 2.</w:t>
      </w:r>
    </w:p>
    <w:p w:rsidR="00322A77" w:rsidRPr="00515A4C" w:rsidRDefault="00322A77">
      <w:pPr>
        <w:pStyle w:val="R4"/>
      </w:pPr>
      <w:r w:rsidRPr="00515A4C">
        <w:t>Ställningstagande</w:t>
      </w:r>
    </w:p>
    <w:p w:rsidR="00322A77" w:rsidRPr="00515A4C" w:rsidRDefault="00322A77">
      <w:r w:rsidRPr="00515A4C">
        <w:t>Rätten till likabehandling oavsett sexuell läggning är en grundläggande mänsklig rättighet, skyddad bl.a. enligt den europeiska konventionen av den 4 november 1950 angående skydd för de mänskliga rättigheterna och 1966 års internationella konvention om medborgerliga och mänskliga rättigheter. E</w:t>
      </w:r>
      <w:r w:rsidRPr="00515A4C">
        <w:t>n</w:t>
      </w:r>
      <w:r w:rsidRPr="00515A4C">
        <w:t>ligt båda dessa människorättsinstrument, som Sverige är folkrättsligt bundet av, åligger det statsmakterna att säkerställa att denna rätt till likabehandling förverkligas. Ett av många sätt att bidra till det vore att införa ett skydd mot antagande av lagar och andra föreskrifter som missgynnar någon av skäl som har samband med sexuell läggning. Vi välkomnar det skydd mot diskrimin</w:t>
      </w:r>
      <w:r w:rsidRPr="00515A4C">
        <w:t>e</w:t>
      </w:r>
      <w:r w:rsidRPr="00515A4C">
        <w:t>ring på grund av sexuell läggning som nu införts i målsättningsbestämmelse</w:t>
      </w:r>
      <w:r w:rsidRPr="00515A4C">
        <w:t>r</w:t>
      </w:r>
      <w:r w:rsidRPr="00515A4C">
        <w:t xml:space="preserve">na i 1 kap. 2 § regeringsformen, men anser att den </w:t>
      </w:r>
      <w:r w:rsidRPr="00515A4C">
        <w:t>inte räcker för att motverka diskriminering av någon av skäl som har samband med sexuell läggning. Att diskriminerande lagstiftning förekommer har inte minst Samboendekommi</w:t>
      </w:r>
      <w:r w:rsidRPr="00515A4C">
        <w:t>t</w:t>
      </w:r>
      <w:r w:rsidRPr="00515A4C">
        <w:t>tén påvisat i sitt betänkande Nya samboregler (SOU 1999:104). Det är således inte endast principiella skäl som talar för att införa ett förbud i grundlag. Även rent praktiskt skulle en sådan ordning kunna förebygga att diskrimin</w:t>
      </w:r>
      <w:r w:rsidRPr="00515A4C">
        <w:t>e</w:t>
      </w:r>
      <w:r w:rsidRPr="00515A4C">
        <w:t xml:space="preserve">rande regler antas eller tillåts fortleva. Mot bakgrund av vad vi här redovisat yrkar vi därför att riksdagen </w:t>
      </w:r>
      <w:r w:rsidRPr="00515A4C">
        <w:t>beslutar att 2 kap. 15 § regeringsformen ges följande lydelse: ”Lag eller annan föreskrift får ej innebära att någon mis</w:t>
      </w:r>
      <w:r w:rsidRPr="00515A4C">
        <w:t>s</w:t>
      </w:r>
      <w:r w:rsidRPr="00515A4C">
        <w:t>gynnas därför att han eller hon med hänsyn till ras, hudfärg, etniskt ursprung eller sexuell läggning til</w:t>
      </w:r>
      <w:r w:rsidRPr="00515A4C">
        <w:t>l</w:t>
      </w:r>
      <w:r w:rsidRPr="00515A4C">
        <w:t xml:space="preserve">hör en minoritet.” </w:t>
      </w:r>
    </w:p>
    <w:p w:rsidR="00322A77" w:rsidRPr="00515A4C" w:rsidRDefault="00322A77">
      <w:pPr>
        <w:pStyle w:val="Reservationspunkt"/>
        <w:outlineLvl w:val="0"/>
        <w:rPr>
          <w:noProof w:val="0"/>
        </w:rPr>
      </w:pPr>
      <w:bookmarkStart w:id="135" w:name="_Toc34039231"/>
      <w:r w:rsidRPr="00515A4C">
        <w:rPr>
          <w:noProof w:val="0"/>
        </w:rPr>
        <w:t>9.</w:t>
      </w:r>
      <w:r w:rsidRPr="00515A4C">
        <w:rPr>
          <w:noProof w:val="0"/>
        </w:rPr>
        <w:tab/>
        <w:t>Skyddet mot diskriminering i 2 kap. 15 § regeringsformen (punkt 10)</w:t>
      </w:r>
      <w:bookmarkEnd w:id="135"/>
    </w:p>
    <w:p w:rsidR="00322A77" w:rsidRPr="00515A4C" w:rsidRDefault="00322A77">
      <w:pPr>
        <w:pStyle w:val="Reservanter"/>
      </w:pPr>
      <w:r w:rsidRPr="00515A4C">
        <w:t>av Helena Bargholtz (fp) och Tobias Krantz (fp).</w:t>
      </w:r>
    </w:p>
    <w:p w:rsidR="00322A77" w:rsidRPr="00515A4C" w:rsidRDefault="00322A77">
      <w:pPr>
        <w:pStyle w:val="R4"/>
      </w:pPr>
      <w:r w:rsidRPr="00515A4C">
        <w:t>Förslag till riksdagsbeslut</w:t>
      </w:r>
    </w:p>
    <w:p w:rsidR="00322A77" w:rsidRPr="00515A4C" w:rsidRDefault="00322A77">
      <w:r w:rsidRPr="00515A4C">
        <w:t>Vi anser att utskottets förslag under punkt 10 borde ha följande lydelse:</w:t>
      </w:r>
    </w:p>
    <w:p w:rsidR="00322A77" w:rsidRPr="00515A4C" w:rsidRDefault="00322A77">
      <w:pPr>
        <w:pStyle w:val="Reservantfrslag"/>
      </w:pPr>
      <w:r w:rsidRPr="00515A4C">
        <w:t>Riksdagen ger som sin mening regeringen till känna vad som anförs i rese</w:t>
      </w:r>
      <w:r w:rsidRPr="00515A4C">
        <w:t>r</w:t>
      </w:r>
      <w:r w:rsidRPr="00515A4C">
        <w:t>vation 9. Därmed bifaller riksdagen motionerna 2000/03:K310 yrkande 2 och 2002/03:L249 yrkande 8 samt delvis motion 2002/03:K275.</w:t>
      </w:r>
    </w:p>
    <w:p w:rsidR="00322A77" w:rsidRPr="00515A4C" w:rsidRDefault="00322A77">
      <w:pPr>
        <w:pStyle w:val="R4"/>
      </w:pPr>
      <w:r w:rsidRPr="00515A4C">
        <w:t>Ställningstagande</w:t>
      </w:r>
    </w:p>
    <w:p w:rsidR="00322A77" w:rsidRPr="00515A4C" w:rsidRDefault="00322A77">
      <w:r w:rsidRPr="00515A4C">
        <w:t>Vi anser att den nyligen beslutade ändringen i 1 kap. 2 § regeringsformen, som ålägger det allmänna att motverka diskriminering på grund av bl.a. sex</w:t>
      </w:r>
      <w:r w:rsidRPr="00515A4C">
        <w:t>u</w:t>
      </w:r>
      <w:r w:rsidRPr="00515A4C">
        <w:t>ell läggning, inte är tillräcklig. Inte bara principiella skäl utan även vikten av att förebygga att diskriminerande lagstiftning antas eller får fortleva talar för att förbudet i 2 kap. 15 regeringsformen mot diskriminerande lagstiftning på grund av ras, hudfärg och etniskt ursprung utvidgas till att även omfatta sex</w:t>
      </w:r>
      <w:r w:rsidRPr="00515A4C">
        <w:t>u</w:t>
      </w:r>
      <w:r w:rsidRPr="00515A4C">
        <w:t xml:space="preserve">ell läggning. </w:t>
      </w:r>
    </w:p>
    <w:p w:rsidR="00322A77" w:rsidRPr="00515A4C" w:rsidRDefault="00322A77">
      <w:pPr>
        <w:pStyle w:val="Normaltindrag"/>
      </w:pPr>
    </w:p>
    <w:p w:rsidR="00322A77" w:rsidRPr="00515A4C" w:rsidRDefault="00322A77">
      <w:pPr>
        <w:pStyle w:val="Reservationspunkt"/>
        <w:outlineLvl w:val="0"/>
        <w:rPr>
          <w:noProof w:val="0"/>
        </w:rPr>
      </w:pPr>
      <w:bookmarkStart w:id="136" w:name="_Toc34039232"/>
      <w:r w:rsidRPr="00515A4C">
        <w:rPr>
          <w:noProof w:val="0"/>
        </w:rPr>
        <w:t>10.</w:t>
      </w:r>
      <w:r w:rsidRPr="00515A4C">
        <w:rPr>
          <w:noProof w:val="0"/>
        </w:rPr>
        <w:tab/>
        <w:t>Skyddet mot diskriminering i 2 kap. 15 § regeringsformen (punkt 10 – villkorad)</w:t>
      </w:r>
      <w:bookmarkEnd w:id="136"/>
    </w:p>
    <w:p w:rsidR="00322A77" w:rsidRPr="00515A4C" w:rsidRDefault="00322A77">
      <w:pPr>
        <w:pStyle w:val="Reservanter"/>
      </w:pPr>
      <w:r w:rsidRPr="00515A4C">
        <w:t>av Ingvar Svensson (kd).</w:t>
      </w:r>
    </w:p>
    <w:p w:rsidR="00322A77" w:rsidRPr="00515A4C" w:rsidRDefault="00322A77">
      <w:pPr>
        <w:pStyle w:val="R4"/>
      </w:pPr>
      <w:r w:rsidRPr="00515A4C">
        <w:t>Förslag till riksdagsbeslut</w:t>
      </w:r>
    </w:p>
    <w:p w:rsidR="00322A77" w:rsidRPr="00515A4C" w:rsidRDefault="00322A77">
      <w:r w:rsidRPr="00515A4C">
        <w:t>Jag anser, såvida riksdagen inte beslutar i enlighet med reservation 2, att utskottets förslag under punkt 10 borde ha följande lyde</w:t>
      </w:r>
      <w:r w:rsidRPr="00515A4C">
        <w:t>l</w:t>
      </w:r>
      <w:r w:rsidRPr="00515A4C">
        <w:t>se:</w:t>
      </w:r>
    </w:p>
    <w:p w:rsidR="00322A77" w:rsidRPr="00515A4C" w:rsidRDefault="00322A77">
      <w:pPr>
        <w:pStyle w:val="Reservantfrslag"/>
      </w:pPr>
      <w:r w:rsidRPr="00515A4C">
        <w:t>Riksdagen ger som sin mening regeringen till känna vad som anförs i rese</w:t>
      </w:r>
      <w:r w:rsidRPr="00515A4C">
        <w:t>r</w:t>
      </w:r>
      <w:r w:rsidRPr="00515A4C">
        <w:t>vation 10. Därmed bifaller riksdagen delvis motionerna 2000/03:K310 yrka</w:t>
      </w:r>
      <w:r w:rsidRPr="00515A4C">
        <w:t>n</w:t>
      </w:r>
      <w:r w:rsidRPr="00515A4C">
        <w:t>de 2, 2002/03:L249 yrkande 8 och 2002/03:K275.</w:t>
      </w:r>
    </w:p>
    <w:p w:rsidR="00322A77" w:rsidRPr="00515A4C" w:rsidRDefault="00322A77">
      <w:pPr>
        <w:pStyle w:val="R4"/>
      </w:pPr>
      <w:bookmarkStart w:id="137" w:name="_Toc34039233"/>
      <w:r w:rsidRPr="00515A4C">
        <w:t>Ställningstagande</w:t>
      </w:r>
      <w:bookmarkEnd w:id="137"/>
    </w:p>
    <w:p w:rsidR="00322A77" w:rsidRPr="00515A4C" w:rsidRDefault="00322A77">
      <w:r w:rsidRPr="00515A4C">
        <w:t>Grundlagens, dvs. närmast regeringsformens, grundläggande synsätt måste ändras så att det ges ett tydligt diskrimineringsskydd för människans integritet oberoende av religion, ålder, ras, hudfärg, kön, språk, sexuell identitet, gen</w:t>
      </w:r>
      <w:r w:rsidRPr="00515A4C">
        <w:t>e</w:t>
      </w:r>
      <w:r w:rsidRPr="00515A4C">
        <w:t>tiska särdrag, börd, ekonomisk eller social ställning, funktionshinder etnisk tillhörighet eller politisk tillhörighet. Detta bör utredas genom regeringens försorg.</w:t>
      </w:r>
    </w:p>
    <w:p w:rsidR="00322A77" w:rsidRPr="00515A4C" w:rsidRDefault="00322A77">
      <w:pPr>
        <w:pStyle w:val="Reservationspunkt"/>
        <w:outlineLvl w:val="0"/>
        <w:rPr>
          <w:noProof w:val="0"/>
        </w:rPr>
      </w:pPr>
      <w:bookmarkStart w:id="138" w:name="_Toc34039234"/>
      <w:r w:rsidRPr="00515A4C">
        <w:rPr>
          <w:noProof w:val="0"/>
        </w:rPr>
        <w:t>11.</w:t>
      </w:r>
      <w:r w:rsidRPr="00515A4C">
        <w:rPr>
          <w:noProof w:val="0"/>
        </w:rPr>
        <w:tab/>
        <w:t>Begreppet sexuell läggning i 1 kap. 2 § regeringsformen (punkt 11)</w:t>
      </w:r>
      <w:bookmarkEnd w:id="138"/>
    </w:p>
    <w:p w:rsidR="00322A77" w:rsidRPr="00515A4C" w:rsidRDefault="00322A77">
      <w:pPr>
        <w:pStyle w:val="Reservanter"/>
      </w:pPr>
      <w:r w:rsidRPr="00515A4C">
        <w:t>av Helena Bargholtz (fp), Tobias Krantz (fp) och Gustav Fridolin (mp).</w:t>
      </w:r>
    </w:p>
    <w:p w:rsidR="00322A77" w:rsidRPr="00515A4C" w:rsidRDefault="00322A77">
      <w:pPr>
        <w:pStyle w:val="R4"/>
      </w:pPr>
      <w:r w:rsidRPr="00515A4C">
        <w:t>Förslag till riksdagsbeslut</w:t>
      </w:r>
    </w:p>
    <w:p w:rsidR="00322A77" w:rsidRPr="00515A4C" w:rsidRDefault="00322A77">
      <w:r w:rsidRPr="00515A4C">
        <w:t>Vi anser att utskottets förslag under punkt 11 borde ha följande lydelse:</w:t>
      </w:r>
    </w:p>
    <w:p w:rsidR="00322A77" w:rsidRPr="00515A4C" w:rsidRDefault="00322A77">
      <w:pPr>
        <w:pStyle w:val="Reservantfrslag"/>
      </w:pPr>
      <w:r w:rsidRPr="00515A4C">
        <w:t>Riksdagen ger som sin mening regeringen till känna vad som anförs i rese</w:t>
      </w:r>
      <w:r w:rsidRPr="00515A4C">
        <w:t>r</w:t>
      </w:r>
      <w:r w:rsidRPr="00515A4C">
        <w:t>vation 11. Därmed bifaller riksdagen motion 2002/03:K310 yrkande 1.</w:t>
      </w:r>
    </w:p>
    <w:p w:rsidR="00322A77" w:rsidRPr="00515A4C" w:rsidRDefault="00322A77">
      <w:pPr>
        <w:pStyle w:val="R4"/>
      </w:pPr>
      <w:r w:rsidRPr="00515A4C">
        <w:t>Ställningstagande</w:t>
      </w:r>
    </w:p>
    <w:p w:rsidR="00322A77" w:rsidRPr="00515A4C" w:rsidRDefault="00322A77">
      <w:r w:rsidRPr="00515A4C">
        <w:t>En grundläggande mänsklig rättighet är att inte utsättas för diskriminerande lagstiftning på grund av sin sexuella läggning eller könstillhörighet. De facto finns det många exempel på diskriminerande lagstiftning (se SOU 1999:104). Därför vill vi att regeringsformens portalparagraf skall ange vilka grunder för diskriminering eller särbehandling i samhället som är otillåtna. Vi anser sål</w:t>
      </w:r>
      <w:r w:rsidRPr="00515A4C">
        <w:t>e</w:t>
      </w:r>
      <w:r w:rsidRPr="00515A4C">
        <w:t>des att riksdagen skall fullfölja den påbörjade förändringen av skrivningarna om diskriminering i regeringsformens 1 kap. 2 § men att denna utvidgas till att också nämna diskriminering på grund av könsidentitet.</w:t>
      </w:r>
    </w:p>
    <w:p w:rsidR="00322A77" w:rsidRPr="00515A4C" w:rsidRDefault="00322A77">
      <w:pPr>
        <w:pStyle w:val="Reservationspunkt"/>
        <w:outlineLvl w:val="0"/>
        <w:rPr>
          <w:noProof w:val="0"/>
        </w:rPr>
      </w:pPr>
      <w:bookmarkStart w:id="139" w:name="_Toc34039235"/>
      <w:r w:rsidRPr="00515A4C">
        <w:rPr>
          <w:noProof w:val="0"/>
        </w:rPr>
        <w:t>12.</w:t>
      </w:r>
      <w:r w:rsidRPr="00515A4C">
        <w:rPr>
          <w:noProof w:val="0"/>
        </w:rPr>
        <w:tab/>
        <w:t>Samordning av ombudsmän m.m. (punkt 12)</w:t>
      </w:r>
      <w:bookmarkEnd w:id="139"/>
    </w:p>
    <w:p w:rsidR="00322A77" w:rsidRPr="00515A4C" w:rsidRDefault="00322A77">
      <w:pPr>
        <w:pStyle w:val="Reservanter"/>
      </w:pPr>
      <w:r w:rsidRPr="00515A4C">
        <w:t>av Helena Bargholtz (fp) och Tobias Krantz (fp).</w:t>
      </w:r>
    </w:p>
    <w:p w:rsidR="00322A77" w:rsidRPr="00515A4C" w:rsidRDefault="00322A77">
      <w:pPr>
        <w:pStyle w:val="R4"/>
      </w:pPr>
      <w:r w:rsidRPr="00515A4C">
        <w:t>Förslag till riksdagsbeslut</w:t>
      </w:r>
    </w:p>
    <w:p w:rsidR="00322A77" w:rsidRPr="00515A4C" w:rsidRDefault="00322A77">
      <w:r w:rsidRPr="00515A4C">
        <w:t>Vi anser att utskottets förslag under punkt 12 borde ha följande lydelse:</w:t>
      </w:r>
    </w:p>
    <w:p w:rsidR="00322A77" w:rsidRPr="00515A4C" w:rsidRDefault="00322A77">
      <w:pPr>
        <w:pStyle w:val="Reservantfrslag"/>
      </w:pPr>
      <w:r w:rsidRPr="00515A4C">
        <w:t>Riksdagen ger som sin mening regeringen till känna vad som anförs i rese</w:t>
      </w:r>
      <w:r w:rsidRPr="00515A4C">
        <w:t>r</w:t>
      </w:r>
      <w:r w:rsidRPr="00515A4C">
        <w:t>vation 12. Därmed bifaller riksdagen motion 2002/03:Ju364 yrkande 23 och avslår motionerna 2002/03:K241 yrkande 37, 2002/03:K280, 2002/03:K395, 2002/03:So444 yrkande 3, 2002/03:Sf289 yrkande 6, 2002/03:Sf334 yrkande 43 och 2002/03:A213 yrkande 2.</w:t>
      </w:r>
    </w:p>
    <w:p w:rsidR="00322A77" w:rsidRPr="00515A4C" w:rsidRDefault="00322A77">
      <w:pPr>
        <w:pStyle w:val="R4"/>
      </w:pPr>
      <w:r w:rsidRPr="00515A4C">
        <w:t>Ställningstagande</w:t>
      </w:r>
    </w:p>
    <w:p w:rsidR="00322A77" w:rsidRPr="00515A4C" w:rsidRDefault="00322A77">
      <w:r w:rsidRPr="00515A4C">
        <w:t>När Sverige genom 1809 års författning fick sin första justitieombudsman, var detta en världsnyhet. JO skulle vara den valda folkförsamlingens ombud för att tillse att vad riksdagen hade beslutat genom lagar och författningar verkligen efterlevdes av domare och ämbetsmän. Under senare år har vi fått en hel flora av ombudsmän: Jämställdhetsombudsmannen 1980, Ombud</w:t>
      </w:r>
      <w:r w:rsidRPr="00515A4C">
        <w:t>s</w:t>
      </w:r>
      <w:r w:rsidRPr="00515A4C">
        <w:t>mannen mot etnisk diskriminering 1986, Barnombudsmannen 1993, Hand</w:t>
      </w:r>
      <w:r w:rsidRPr="00515A4C">
        <w:t>i</w:t>
      </w:r>
      <w:r w:rsidRPr="00515A4C">
        <w:t>kappombudsmannen 1994 och Ombudsmannen mot diskriminering på grund av sexuell läggning 1999. Med ämbetsansvarets avskaffande minskade JO:s makt och med införandet av en rad nya ombudsmän har ombudsmannafun</w:t>
      </w:r>
      <w:r w:rsidRPr="00515A4C">
        <w:t>k</w:t>
      </w:r>
      <w:r w:rsidRPr="00515A4C">
        <w:t>tionen sjunkit ned till att bli ett ämbetsverk bland andra. Ombudsmannaidén har försvagats och tunnats ut. I många fall har det dessutom blivit en effek</w:t>
      </w:r>
      <w:r w:rsidRPr="00515A4C">
        <w:t>t</w:t>
      </w:r>
      <w:r w:rsidRPr="00515A4C">
        <w:t>full åtgärd för politiker att peka på, när egentligen svårare och mera kostnad</w:t>
      </w:r>
      <w:r w:rsidRPr="00515A4C">
        <w:t>s</w:t>
      </w:r>
      <w:r w:rsidRPr="00515A4C">
        <w:t>krävan</w:t>
      </w:r>
      <w:r w:rsidRPr="00515A4C">
        <w:t>de insatser varit av nöden. Ombudsmannainstitutionen bör nu tydligg</w:t>
      </w:r>
      <w:r w:rsidRPr="00515A4C">
        <w:t>ö</w:t>
      </w:r>
      <w:r w:rsidRPr="00515A4C">
        <w:t>ras och förenklas. Ingripanden mot statliga och kommunala ämbetsmän och myndigheter bör samordnas under JO-ämbetet. Övriga ombudsmän bör slås samman till ett ombudsmannaämbete. Hit kan då föras eventuella nya o</w:t>
      </w:r>
      <w:r w:rsidRPr="00515A4C">
        <w:t>m</w:t>
      </w:r>
      <w:r w:rsidRPr="00515A4C">
        <w:t>budsmannauppgifter. Stor återhållsamhet bör dock iakttas när det gäller att införa sådana. Med sådana åtgärder skulle de enskilda medborgarnas möjli</w:t>
      </w:r>
      <w:r w:rsidRPr="00515A4C">
        <w:t>g</w:t>
      </w:r>
      <w:r w:rsidRPr="00515A4C">
        <w:t>heter öka och JO kanske återfå något av sin forna status. Det sammanslagna ombudsman</w:t>
      </w:r>
      <w:r w:rsidRPr="00515A4C">
        <w:t>naämbetet skulle få större kraft.</w:t>
      </w:r>
    </w:p>
    <w:p w:rsidR="00322A77" w:rsidRPr="00515A4C" w:rsidRDefault="00322A77">
      <w:pPr>
        <w:pStyle w:val="Reservationspunkt"/>
        <w:outlineLvl w:val="0"/>
        <w:rPr>
          <w:noProof w:val="0"/>
        </w:rPr>
      </w:pPr>
      <w:bookmarkStart w:id="140" w:name="_Toc34039236"/>
      <w:r w:rsidRPr="00515A4C">
        <w:rPr>
          <w:noProof w:val="0"/>
        </w:rPr>
        <w:t>13.</w:t>
      </w:r>
      <w:r w:rsidRPr="00515A4C">
        <w:rPr>
          <w:noProof w:val="0"/>
        </w:rPr>
        <w:tab/>
        <w:t>Samordning av ombudsmän m.m. (punkt 12)</w:t>
      </w:r>
      <w:bookmarkEnd w:id="140"/>
    </w:p>
    <w:p w:rsidR="00322A77" w:rsidRPr="00515A4C" w:rsidRDefault="00322A77">
      <w:pPr>
        <w:pStyle w:val="Reservanter"/>
      </w:pPr>
      <w:r w:rsidRPr="00515A4C">
        <w:t>av Gustav Fridolin (mp).</w:t>
      </w:r>
    </w:p>
    <w:p w:rsidR="00322A77" w:rsidRPr="00515A4C" w:rsidRDefault="00322A77">
      <w:pPr>
        <w:pStyle w:val="R4"/>
      </w:pPr>
      <w:r w:rsidRPr="00515A4C">
        <w:t>Förslag till riksdagsbeslut</w:t>
      </w:r>
    </w:p>
    <w:p w:rsidR="00322A77" w:rsidRPr="00515A4C" w:rsidRDefault="00322A77">
      <w:r w:rsidRPr="00515A4C">
        <w:t>Jag anser att utskottets förslag under punkt 12 borde ha följande lydelse:</w:t>
      </w:r>
    </w:p>
    <w:p w:rsidR="00322A77" w:rsidRPr="00515A4C" w:rsidRDefault="00322A77">
      <w:pPr>
        <w:pStyle w:val="Reservantfrslag"/>
      </w:pPr>
      <w:r w:rsidRPr="00515A4C">
        <w:t>Riksdagen ger som sin mening regeringen till känna vad som anförs i rese</w:t>
      </w:r>
      <w:r w:rsidRPr="00515A4C">
        <w:t>r</w:t>
      </w:r>
      <w:r w:rsidRPr="00515A4C">
        <w:t>vation 13. Därmed bifaller riksdagen motion 2000/03:Sf289 yrkande 6 och avslår motionerna 2002/03:K241 yrkande 37, 2002/03:K280, 2002/03:K395, 2002/03:Ju364 yrkande 23, 2002/03:So444 yrkande 3, 2002/03:Sf334 yrka</w:t>
      </w:r>
      <w:r w:rsidRPr="00515A4C">
        <w:t>n</w:t>
      </w:r>
      <w:r w:rsidRPr="00515A4C">
        <w:t>de 43 och 2002/03:A213 yrkande 2.</w:t>
      </w:r>
    </w:p>
    <w:p w:rsidR="00322A77" w:rsidRPr="00515A4C" w:rsidRDefault="00322A77">
      <w:pPr>
        <w:pStyle w:val="R4"/>
      </w:pPr>
      <w:r w:rsidRPr="00515A4C">
        <w:t>Ställningstagande</w:t>
      </w:r>
    </w:p>
    <w:p w:rsidR="00322A77" w:rsidRPr="00515A4C" w:rsidRDefault="00322A77">
      <w:r w:rsidRPr="00515A4C">
        <w:t>Diskriminering måste förebyggas och motverkas inom alla områden och på olika nivåer i samhället. Det är en mänsklig rättighet att slippa diskriminering på grund av ovidkommande faktorer. Det är väsentligt att detta sker genom en samordnad och samlad syn på diskrimineringsfrågorna till skillnad från d</w:t>
      </w:r>
      <w:r w:rsidRPr="00515A4C">
        <w:t>a</w:t>
      </w:r>
      <w:r w:rsidRPr="00515A4C">
        <w:t>gens spretiga rättssystem med helt skilda lagar för olika diskriminerade gru</w:t>
      </w:r>
      <w:r w:rsidRPr="00515A4C">
        <w:t>p</w:t>
      </w:r>
      <w:r w:rsidRPr="00515A4C">
        <w:t>per och skilda lagar för arbetslivet och utanför. Dessa olika lagar bör samlas i en lag mot alla former av diskriminering – en antidiskrimineringslag baserad på mänskliga rättigheter. Jämställdhets- och mångfaldsplaner skall ingå som en naturlig del av lagen. Detta bör ges regeringen till känna.</w:t>
      </w:r>
    </w:p>
    <w:p w:rsidR="00322A77" w:rsidRPr="00515A4C" w:rsidRDefault="00322A77">
      <w:pPr>
        <w:pStyle w:val="Reservationspunkt"/>
        <w:rPr>
          <w:noProof w:val="0"/>
        </w:rPr>
      </w:pPr>
      <w:r w:rsidRPr="00515A4C">
        <w:rPr>
          <w:noProof w:val="0"/>
        </w:rPr>
        <w:br w:type="page"/>
      </w:r>
      <w:bookmarkStart w:id="141" w:name="_Toc34039237"/>
      <w:r w:rsidRPr="00515A4C">
        <w:rPr>
          <w:noProof w:val="0"/>
        </w:rPr>
        <w:t>14.</w:t>
      </w:r>
      <w:r w:rsidRPr="00515A4C">
        <w:rPr>
          <w:noProof w:val="0"/>
        </w:rPr>
        <w:tab/>
        <w:t>Översyn av lagstiftningen (punkt 14)</w:t>
      </w:r>
      <w:bookmarkEnd w:id="141"/>
    </w:p>
    <w:p w:rsidR="00322A77" w:rsidRPr="00515A4C" w:rsidRDefault="00322A77">
      <w:pPr>
        <w:pStyle w:val="Reservanter"/>
      </w:pPr>
      <w:r w:rsidRPr="00515A4C">
        <w:t>av Helena Bargholtz (fp), Tobias Krantz (fp) och Gustav Fridolin (mp).</w:t>
      </w:r>
    </w:p>
    <w:p w:rsidR="00322A77" w:rsidRPr="00515A4C" w:rsidRDefault="00322A77">
      <w:pPr>
        <w:pStyle w:val="R4"/>
      </w:pPr>
      <w:r w:rsidRPr="00515A4C">
        <w:t>Förslag till riksdagsbeslut</w:t>
      </w:r>
    </w:p>
    <w:p w:rsidR="00322A77" w:rsidRPr="00515A4C" w:rsidRDefault="00322A77">
      <w:r w:rsidRPr="00515A4C">
        <w:t>Vi anser att utskottets förslag under punkt 14 borde ha följande lydelse:</w:t>
      </w:r>
    </w:p>
    <w:p w:rsidR="00322A77" w:rsidRPr="00515A4C" w:rsidRDefault="00322A77">
      <w:pPr>
        <w:pStyle w:val="Reservantfrslag"/>
      </w:pPr>
      <w:r w:rsidRPr="00515A4C">
        <w:t>Riksdagen ger som sin mening regeringen till känna vad som anförs i rese</w:t>
      </w:r>
      <w:r w:rsidRPr="00515A4C">
        <w:t>r</w:t>
      </w:r>
      <w:r w:rsidRPr="00515A4C">
        <w:t>vation 14. Därmed bifaller riksdagen motion 2002/03:So512 yrkande 5.</w:t>
      </w:r>
    </w:p>
    <w:p w:rsidR="00322A77" w:rsidRPr="00515A4C" w:rsidRDefault="00322A77">
      <w:pPr>
        <w:pStyle w:val="R4"/>
      </w:pPr>
      <w:r w:rsidRPr="00515A4C">
        <w:t>Ställningstagande</w:t>
      </w:r>
    </w:p>
    <w:p w:rsidR="00322A77" w:rsidRPr="00515A4C" w:rsidRDefault="00322A77">
      <w:r w:rsidRPr="00515A4C">
        <w:t>Någon samlad genomgång av homosexuellas situation inom olika lagstif</w:t>
      </w:r>
      <w:r w:rsidRPr="00515A4C">
        <w:t>t</w:t>
      </w:r>
      <w:r w:rsidRPr="00515A4C">
        <w:t>ningsområden har inte gjorts sedan 1984. Bisexuellas och transpersoners rättsliga situation har aldrig varit föremål för någon samlad genomgång. Det är dags att nu göra en samlad översyn av förekomsten av återstående diskr</w:t>
      </w:r>
      <w:r w:rsidRPr="00515A4C">
        <w:t>i</w:t>
      </w:r>
      <w:r w:rsidRPr="00515A4C">
        <w:t>minering i lagstiftningen mot homosexuella, bisexuella och transpersoner för att få fram förslag på lagreformer som kan eliminera all återstående juridisk diskr</w:t>
      </w:r>
      <w:r w:rsidRPr="00515A4C">
        <w:t>i</w:t>
      </w:r>
      <w:r w:rsidRPr="00515A4C">
        <w:t>minering.</w:t>
      </w:r>
    </w:p>
    <w:p w:rsidR="00322A77" w:rsidRPr="00515A4C" w:rsidRDefault="00322A77">
      <w:pPr>
        <w:pStyle w:val="Reservationspunkt"/>
        <w:outlineLvl w:val="0"/>
        <w:rPr>
          <w:noProof w:val="0"/>
        </w:rPr>
      </w:pPr>
      <w:bookmarkStart w:id="142" w:name="_Toc34039238"/>
      <w:r w:rsidRPr="00515A4C">
        <w:rPr>
          <w:noProof w:val="0"/>
        </w:rPr>
        <w:t>15.</w:t>
      </w:r>
      <w:r w:rsidRPr="00515A4C">
        <w:rPr>
          <w:noProof w:val="0"/>
        </w:rPr>
        <w:tab/>
        <w:t>ILO-konventionen nr 169 (punkt 21)</w:t>
      </w:r>
      <w:bookmarkEnd w:id="142"/>
    </w:p>
    <w:p w:rsidR="00322A77" w:rsidRPr="00515A4C" w:rsidRDefault="00322A77">
      <w:pPr>
        <w:pStyle w:val="Reservanter"/>
      </w:pPr>
      <w:r w:rsidRPr="00515A4C">
        <w:t>av Helena Bargholtz (fp), Tobias Krantz (fp) och Gustav Fridolin (mp).</w:t>
      </w:r>
    </w:p>
    <w:p w:rsidR="00322A77" w:rsidRPr="00515A4C" w:rsidRDefault="00322A77">
      <w:pPr>
        <w:pStyle w:val="R4"/>
      </w:pPr>
      <w:r w:rsidRPr="00515A4C">
        <w:t>Förslag till riksdagsbeslut</w:t>
      </w:r>
    </w:p>
    <w:p w:rsidR="00322A77" w:rsidRPr="00515A4C" w:rsidRDefault="00322A77">
      <w:r w:rsidRPr="00515A4C">
        <w:t>Vi anser att utskottets förslag under punkt 21 borde ha följande lydelse:</w:t>
      </w:r>
    </w:p>
    <w:p w:rsidR="00322A77" w:rsidRPr="00515A4C" w:rsidRDefault="00322A77">
      <w:pPr>
        <w:pStyle w:val="Reservantfrslag"/>
      </w:pPr>
      <w:r w:rsidRPr="00515A4C">
        <w:t>Riksdagen ger som sin mening regeringen till känna vad som anförs i rese</w:t>
      </w:r>
      <w:r w:rsidRPr="00515A4C">
        <w:t>r</w:t>
      </w:r>
      <w:r w:rsidRPr="00515A4C">
        <w:t>vation 15. Därmed bifaller riksdagen motion 2002/03:K394.</w:t>
      </w:r>
    </w:p>
    <w:p w:rsidR="00322A77" w:rsidRPr="00515A4C" w:rsidRDefault="00322A77">
      <w:pPr>
        <w:pStyle w:val="R4"/>
      </w:pPr>
      <w:r w:rsidRPr="00515A4C">
        <w:t>Ställningstagande</w:t>
      </w:r>
    </w:p>
    <w:p w:rsidR="00322A77" w:rsidRPr="00515A4C" w:rsidRDefault="00322A77">
      <w:r w:rsidRPr="00515A4C">
        <w:t>De steg som nu tagits är tillfyllest för att Sverige nu skall kunna ansluta sig till ILO-konventionen nr 169 om ursprungsfolks rättigheter. Det finns inte någon anledning att invänta pågående och eventuellt tillkommande utrednin</w:t>
      </w:r>
      <w:r w:rsidRPr="00515A4C">
        <w:t>g</w:t>
      </w:r>
      <w:r w:rsidRPr="00515A4C">
        <w:t>ar med den tid det tar att därefter upprätta ett lagförslag efter remissbehan</w:t>
      </w:r>
      <w:r w:rsidRPr="00515A4C">
        <w:t>d</w:t>
      </w:r>
      <w:r w:rsidRPr="00515A4C">
        <w:t>ling. Tidsperspektivet med en sådan ordning är åtta till tio år innan en svensk anslutning kan komma i fråga, dvs. tjugo år efter det att konventionen trädde i kraft.</w:t>
      </w:r>
    </w:p>
    <w:p w:rsidR="00322A77" w:rsidRPr="00515A4C" w:rsidRDefault="00322A77">
      <w:pPr>
        <w:pStyle w:val="Normaltindrag"/>
      </w:pPr>
      <w:r w:rsidRPr="00515A4C">
        <w:t>Det är genant att Sverige, som är ett demokratiskt samhälle som värnar om minoriteter och ursprungsfolk, inte ansluter sig till en konvention som har stor betydelse för det egna landets ursprungsfolk, samerna. Sverige bör genast ratificera konventionen. Det går inte</w:t>
      </w:r>
      <w:r w:rsidRPr="00515A4C">
        <w:t xml:space="preserve"> att avvakta att Sverige uppfyller varje liten del. Det bör räcka med den viljeinriktning som Sverige visat när det gäller att lösa återstående frågor. ILO-konventionen nr 169 bör genast ratif</w:t>
      </w:r>
      <w:r w:rsidRPr="00515A4C">
        <w:t>i</w:t>
      </w:r>
      <w:r w:rsidRPr="00515A4C">
        <w:t>ceras.</w:t>
      </w:r>
    </w:p>
    <w:p w:rsidR="00322A77" w:rsidRPr="00515A4C" w:rsidRDefault="00322A77">
      <w:pPr>
        <w:pStyle w:val="Reservationspunkt"/>
        <w:outlineLvl w:val="0"/>
        <w:rPr>
          <w:noProof w:val="0"/>
        </w:rPr>
      </w:pPr>
      <w:bookmarkStart w:id="143" w:name="_Toc34039239"/>
      <w:r w:rsidRPr="00515A4C">
        <w:rPr>
          <w:noProof w:val="0"/>
        </w:rPr>
        <w:t>16.</w:t>
      </w:r>
      <w:r w:rsidRPr="00515A4C">
        <w:rPr>
          <w:noProof w:val="0"/>
        </w:rPr>
        <w:tab/>
        <w:t>Svenskt medborgarskap (punkt 23)</w:t>
      </w:r>
      <w:bookmarkEnd w:id="143"/>
    </w:p>
    <w:p w:rsidR="00322A77" w:rsidRPr="00515A4C" w:rsidRDefault="00322A77">
      <w:pPr>
        <w:pStyle w:val="Reservanter"/>
      </w:pPr>
      <w:r w:rsidRPr="00515A4C">
        <w:t>av Gunnar Hökmark (m), Henrik S Järrel (m) och Nils Fredrik Aurelius (m).</w:t>
      </w:r>
    </w:p>
    <w:p w:rsidR="00322A77" w:rsidRPr="00515A4C" w:rsidRDefault="00322A77">
      <w:pPr>
        <w:pStyle w:val="R4"/>
      </w:pPr>
      <w:r w:rsidRPr="00515A4C">
        <w:t>Förslag till riksdagsbeslut</w:t>
      </w:r>
    </w:p>
    <w:p w:rsidR="00322A77" w:rsidRPr="00515A4C" w:rsidRDefault="00322A77">
      <w:r w:rsidRPr="00515A4C">
        <w:t>Vi anser att utskottets förslag under punkt 23 borde ha följande lydelse:</w:t>
      </w:r>
    </w:p>
    <w:p w:rsidR="00322A77" w:rsidRPr="00515A4C" w:rsidRDefault="00322A77">
      <w:pPr>
        <w:pStyle w:val="Reservantfrslag"/>
      </w:pPr>
      <w:r w:rsidRPr="00515A4C">
        <w:t>Riksdagen ger som sin mening regeringen till känna vad som anförs i rese</w:t>
      </w:r>
      <w:r w:rsidRPr="00515A4C">
        <w:t>r</w:t>
      </w:r>
      <w:r w:rsidRPr="00515A4C">
        <w:t>vation 16. Därmed bifaller riksdagen motion 2002/03:K408.</w:t>
      </w:r>
    </w:p>
    <w:p w:rsidR="00322A77" w:rsidRPr="00515A4C" w:rsidRDefault="00322A77">
      <w:pPr>
        <w:pStyle w:val="R4"/>
      </w:pPr>
      <w:r w:rsidRPr="00515A4C">
        <w:t>Ställningstagande</w:t>
      </w:r>
    </w:p>
    <w:p w:rsidR="00322A77" w:rsidRPr="00515A4C" w:rsidRDefault="00322A77">
      <w:r w:rsidRPr="00515A4C">
        <w:t>Regeringsformens regler om undantag från förbudet att beröva svenska me</w:t>
      </w:r>
      <w:r w:rsidRPr="00515A4C">
        <w:t>d</w:t>
      </w:r>
      <w:r w:rsidRPr="00515A4C">
        <w:t>borgare medborgarskapet bör kompletteras. Regeringen bör låta utreda mö</w:t>
      </w:r>
      <w:r w:rsidRPr="00515A4C">
        <w:t>j</w:t>
      </w:r>
      <w:r w:rsidRPr="00515A4C">
        <w:t>ligheten att genom lag göra ytterligare undantag för dem som förvärvat me</w:t>
      </w:r>
      <w:r w:rsidRPr="00515A4C">
        <w:t>d</w:t>
      </w:r>
      <w:r w:rsidRPr="00515A4C">
        <w:t>borgarskapet genom naturalisation. Det är stötande för den allmänna rätt</w:t>
      </w:r>
      <w:r w:rsidRPr="00515A4C">
        <w:t>s</w:t>
      </w:r>
      <w:r w:rsidRPr="00515A4C">
        <w:t>känslan att t.ex. en grov narkotikabrottsling, eller en annan person belastad med grovt brottsregister, som förvärvat det svenska medborgarskapet genom falska uppgifter eller bestickning inte skall kunna fråntas detta. En person med dubbelt medborgarskap bör i sådana fall kunna fråntas det s</w:t>
      </w:r>
      <w:r w:rsidRPr="00515A4C">
        <w:t>venska me</w:t>
      </w:r>
      <w:r w:rsidRPr="00515A4C">
        <w:t>d</w:t>
      </w:r>
      <w:r w:rsidRPr="00515A4C">
        <w:t>borgarskapet.</w:t>
      </w:r>
    </w:p>
    <w:p w:rsidR="00322A77" w:rsidRPr="00515A4C" w:rsidRDefault="00322A77">
      <w:pPr>
        <w:pStyle w:val="Reservationspunkt"/>
        <w:outlineLvl w:val="0"/>
        <w:rPr>
          <w:noProof w:val="0"/>
        </w:rPr>
      </w:pPr>
      <w:bookmarkStart w:id="144" w:name="_Toc34039240"/>
      <w:r w:rsidRPr="00515A4C">
        <w:rPr>
          <w:noProof w:val="0"/>
        </w:rPr>
        <w:t>17.</w:t>
      </w:r>
      <w:r w:rsidRPr="00515A4C">
        <w:rPr>
          <w:noProof w:val="0"/>
        </w:rPr>
        <w:tab/>
        <w:t>Äganderätt (punkt 24)</w:t>
      </w:r>
      <w:bookmarkEnd w:id="144"/>
    </w:p>
    <w:p w:rsidR="00322A77" w:rsidRPr="00515A4C" w:rsidRDefault="00322A77">
      <w:pPr>
        <w:pStyle w:val="Reservanter"/>
      </w:pPr>
      <w:r w:rsidRPr="00515A4C">
        <w:t>av Gunnar Hökmark (m), Helena Bargholtz (fp), Ingvar Svensson (kd), Henrik S Järrel (m), Tobias Krantz (fp), Kerstin Lundgren (c) och Nils Fredrik Aurelius (m).</w:t>
      </w:r>
    </w:p>
    <w:p w:rsidR="00322A77" w:rsidRPr="00515A4C" w:rsidRDefault="00322A77">
      <w:pPr>
        <w:pStyle w:val="R4"/>
      </w:pPr>
      <w:r w:rsidRPr="00515A4C">
        <w:t>Förslag till riksdagsbeslut</w:t>
      </w:r>
    </w:p>
    <w:p w:rsidR="00322A77" w:rsidRPr="00515A4C" w:rsidRDefault="00322A77">
      <w:r w:rsidRPr="00515A4C">
        <w:t>Vi anser att utskottets förslag under punkt 24 borde ha följande lydelse:</w:t>
      </w:r>
    </w:p>
    <w:p w:rsidR="00322A77" w:rsidRPr="00515A4C" w:rsidRDefault="00322A77">
      <w:pPr>
        <w:pStyle w:val="Reservantfrslag"/>
      </w:pPr>
      <w:r w:rsidRPr="00515A4C">
        <w:t>Riksdagen ger som sin mening regeringen till känna vad som anförs i rese</w:t>
      </w:r>
      <w:r w:rsidRPr="00515A4C">
        <w:t>r</w:t>
      </w:r>
      <w:r w:rsidRPr="00515A4C">
        <w:t>vation 17. Därmed bifaller riksdagen motionerna 2002/03:K216 yrkande 2, 2002/03:K323 och 2002/03:K379 yrkande 12 samt delvis motion 2002/03:</w:t>
      </w:r>
      <w:r w:rsidRPr="00515A4C">
        <w:br/>
        <w:t>K216 yrkande 1.</w:t>
      </w:r>
    </w:p>
    <w:p w:rsidR="00322A77" w:rsidRPr="00515A4C" w:rsidRDefault="00322A77">
      <w:pPr>
        <w:pStyle w:val="R4"/>
      </w:pPr>
      <w:r w:rsidRPr="00515A4C">
        <w:t>Ställningstagande</w:t>
      </w:r>
    </w:p>
    <w:p w:rsidR="00322A77" w:rsidRPr="00515A4C" w:rsidRDefault="00322A77">
      <w:r w:rsidRPr="00515A4C">
        <w:t>Regeringen bör lägga fram förslag om stärkt grundlagsskydd för äganderätten och för immateriella rättigheter. Den privata äganderättens betydelse kan inte underskattas. Den privata äganderätten är av grundläggande betydelse för hela samhällssystemet. En författning som inte ger ett starkt och stabilt skydd för den privata äganderätten riskerar att ge en kraftigt dämpande effekt på föret</w:t>
      </w:r>
      <w:r w:rsidRPr="00515A4C">
        <w:t>a</w:t>
      </w:r>
      <w:r w:rsidRPr="00515A4C">
        <w:t>gande och ekonomisk tillväxt. Det är på sikt ett stort hot mot välståndsu</w:t>
      </w:r>
      <w:r w:rsidRPr="00515A4C">
        <w:t>t</w:t>
      </w:r>
      <w:r w:rsidRPr="00515A4C">
        <w:t>vecklingen. Ett starkt skydd för egendom i författningen liksom i den unde</w:t>
      </w:r>
      <w:r w:rsidRPr="00515A4C">
        <w:t>r</w:t>
      </w:r>
      <w:r w:rsidRPr="00515A4C">
        <w:t>liggande lagstiftningen är grundförutsättningen för ekonomisk utveckling. Det finns en fara i att ensidigt hävda de gemensamma intressena framför den enskildes äganderätt. Inte minst riskerar det att leda till ökad misstro mot  rättsstaten och till att människor i allt mindre utsträckning känner det perso</w:t>
      </w:r>
      <w:r w:rsidRPr="00515A4C">
        <w:t>n</w:t>
      </w:r>
      <w:r w:rsidRPr="00515A4C">
        <w:t>liga ansvaret för sin egendom och den egna miljöpåverka</w:t>
      </w:r>
      <w:r w:rsidRPr="00515A4C">
        <w:t>n. Sådana inskrän</w:t>
      </w:r>
      <w:r w:rsidRPr="00515A4C">
        <w:t>k</w:t>
      </w:r>
      <w:r w:rsidRPr="00515A4C">
        <w:t xml:space="preserve">ningar som inte drabbar generellt utan inom ett bestämt geografiskt område eller enskilda individer skall som huvudregel medföra rätt till ersättning. </w:t>
      </w:r>
    </w:p>
    <w:p w:rsidR="00322A77" w:rsidRPr="00515A4C" w:rsidRDefault="00322A77">
      <w:pPr>
        <w:pStyle w:val="Normaltindrag"/>
      </w:pPr>
      <w:r w:rsidRPr="00515A4C">
        <w:t>Den enskilda äganderätten skyddas förutom av bestämmelserna i 2 kap. 18  § regeringsformen även i Europakonventionen. Med egendom avses i konventionen inte bara äganderätt till fast och lös egendom utan även rätti</w:t>
      </w:r>
      <w:r w:rsidRPr="00515A4C">
        <w:t>g</w:t>
      </w:r>
      <w:r w:rsidRPr="00515A4C">
        <w:t>heter som fordringar och immateriella rättigheter. Något sådant skydd för immateriella rättigheter ges emellertid inte i regeringsformen. Det är angel</w:t>
      </w:r>
      <w:r w:rsidRPr="00515A4C">
        <w:t>ä</w:t>
      </w:r>
      <w:r w:rsidRPr="00515A4C">
        <w:t>get att regeringsformen innehåller en regel som står i full samklang med Europakonventionen, som slår fast att den enskilda äganderätten i princip är okränkbar och att inskränkningar i äganderätten endast får ske i klart angivna fall och då med full ersättning till den enskilde. I sammanhanget måste också hänsyn tas till att samhällsutvecklingen i stort, som</w:t>
      </w:r>
      <w:r w:rsidRPr="00515A4C">
        <w:t xml:space="preserve"> bl.a. lett till att en ökande andel av samhällets totala förmögenhetsmassa består av immateriella til</w:t>
      </w:r>
      <w:r w:rsidRPr="00515A4C">
        <w:t>l</w:t>
      </w:r>
      <w:r w:rsidRPr="00515A4C">
        <w:t>gångar. Mot den bakgrunden framstår det som angeläget att grundlagsskyddet för den enskilda äganderätten anpassas till samhällsutvecklingen och att skyddet utökas till att uttryckligen omfatta annan egendom än mark och byggnader. Äganderätten behöver stärkas med tydliga ersättningsregler vid inskränkning i nyt</w:t>
      </w:r>
      <w:r w:rsidRPr="00515A4C">
        <w:t>t</w:t>
      </w:r>
      <w:r w:rsidRPr="00515A4C">
        <w:t xml:space="preserve">janderätten. </w:t>
      </w:r>
    </w:p>
    <w:p w:rsidR="00322A77" w:rsidRPr="00515A4C" w:rsidRDefault="00322A77">
      <w:pPr>
        <w:pStyle w:val="Normaltindrag"/>
      </w:pPr>
      <w:r w:rsidRPr="00515A4C">
        <w:t>Regeringen bör således efter utredning lägga fram ett förslag om ändring av regerin</w:t>
      </w:r>
      <w:r w:rsidRPr="00515A4C">
        <w:t>gsformens skydd för äganderätten så att detta förstärks och står i samklang med Europakonventionen och så att det finns tydliga ersättning</w:t>
      </w:r>
      <w:r w:rsidRPr="00515A4C">
        <w:t>s</w:t>
      </w:r>
      <w:r w:rsidRPr="00515A4C">
        <w:t xml:space="preserve">regler vid inskränkning av nyttjanderätten. Skyddet för äganderätten bör också förstärkas genom annan lagstiftning. </w:t>
      </w:r>
    </w:p>
    <w:p w:rsidR="00322A77" w:rsidRPr="00515A4C" w:rsidRDefault="00322A77">
      <w:pPr>
        <w:pStyle w:val="Reservationspunkt"/>
        <w:outlineLvl w:val="0"/>
        <w:rPr>
          <w:noProof w:val="0"/>
        </w:rPr>
      </w:pPr>
      <w:bookmarkStart w:id="145" w:name="_Toc34039241"/>
      <w:r w:rsidRPr="00515A4C">
        <w:rPr>
          <w:noProof w:val="0"/>
        </w:rPr>
        <w:t>18.</w:t>
      </w:r>
      <w:r w:rsidRPr="00515A4C">
        <w:rPr>
          <w:noProof w:val="0"/>
        </w:rPr>
        <w:tab/>
        <w:t>Internationella kvinnodagen (punkt 25)</w:t>
      </w:r>
      <w:bookmarkEnd w:id="145"/>
    </w:p>
    <w:p w:rsidR="00322A77" w:rsidRPr="00515A4C" w:rsidRDefault="00322A77">
      <w:pPr>
        <w:pStyle w:val="Reservanter"/>
      </w:pPr>
      <w:r w:rsidRPr="00515A4C">
        <w:t>av Mats Einarsson (v).</w:t>
      </w:r>
    </w:p>
    <w:p w:rsidR="00322A77" w:rsidRPr="00515A4C" w:rsidRDefault="00322A77">
      <w:pPr>
        <w:pStyle w:val="R4"/>
      </w:pPr>
      <w:r w:rsidRPr="00515A4C">
        <w:t>Förslag till riksdagsbeslut</w:t>
      </w:r>
    </w:p>
    <w:p w:rsidR="00322A77" w:rsidRPr="00515A4C" w:rsidRDefault="00322A77">
      <w:r w:rsidRPr="00515A4C">
        <w:t>Jag anser att utskottets förslag under punkt 25 borde ha följande lydelse:</w:t>
      </w:r>
    </w:p>
    <w:p w:rsidR="00322A77" w:rsidRPr="00515A4C" w:rsidRDefault="00322A77">
      <w:pPr>
        <w:pStyle w:val="Reservantfrslag"/>
      </w:pPr>
      <w:r w:rsidRPr="00515A4C">
        <w:t>Riksdagen ger som sin mening regeringen till känna vad som anförs i rese</w:t>
      </w:r>
      <w:r w:rsidRPr="00515A4C">
        <w:t>r</w:t>
      </w:r>
      <w:r w:rsidRPr="00515A4C">
        <w:t>vation 18. Därmed bifaller riksdagen motion 2002/03:K272.</w:t>
      </w:r>
    </w:p>
    <w:p w:rsidR="00322A77" w:rsidRPr="00515A4C" w:rsidRDefault="00322A77">
      <w:pPr>
        <w:pStyle w:val="R4"/>
      </w:pPr>
      <w:r w:rsidRPr="00515A4C">
        <w:t xml:space="preserve">Ställningstagande </w:t>
      </w:r>
    </w:p>
    <w:p w:rsidR="00322A77" w:rsidRPr="00515A4C" w:rsidRDefault="00322A77">
      <w:r w:rsidRPr="00515A4C">
        <w:t>Regeringen bör lägga fram ett förslag till lag om ändring i lagen (1989:253) om allmänna helgdagar som innebär att den 8 mars blir allmän helgdag. År 1980 proklamerade FN den 8 mars som internationell kvinnodag. Femton länder har redan beslutat att göra den 8 mars till helgdag. Ett sådant beslut för Sveriges del skulle också vara en viktig markering att Sverige som land str</w:t>
      </w:r>
      <w:r w:rsidRPr="00515A4C">
        <w:t>ä</w:t>
      </w:r>
      <w:r w:rsidRPr="00515A4C">
        <w:t>var efter jämställdhet. Innan frågan avgörs bör regeringen utreda de samhäll</w:t>
      </w:r>
      <w:r w:rsidRPr="00515A4C">
        <w:t>s</w:t>
      </w:r>
      <w:r w:rsidRPr="00515A4C">
        <w:t>ekonomiska kostnaderna och bedöma om dessa bör anses inrymmas i det totala samhällsekonomiska utrymmet eller om det bör ske en växling mot en annan helgdag.</w:t>
      </w:r>
    </w:p>
    <w:p w:rsidR="00322A77" w:rsidRPr="00515A4C" w:rsidRDefault="00322A77">
      <w:pPr>
        <w:pStyle w:val="Reservationspunkt"/>
        <w:outlineLvl w:val="0"/>
        <w:rPr>
          <w:noProof w:val="0"/>
        </w:rPr>
      </w:pPr>
      <w:bookmarkStart w:id="146" w:name="_Toc34039242"/>
      <w:r w:rsidRPr="00515A4C">
        <w:rPr>
          <w:noProof w:val="0"/>
        </w:rPr>
        <w:t>19.</w:t>
      </w:r>
      <w:r w:rsidRPr="00515A4C">
        <w:rPr>
          <w:noProof w:val="0"/>
        </w:rPr>
        <w:tab/>
        <w:t>Upprättelse för personer som placerades i interneringsläger (punkt 26)</w:t>
      </w:r>
      <w:bookmarkEnd w:id="146"/>
    </w:p>
    <w:p w:rsidR="00322A77" w:rsidRPr="00515A4C" w:rsidRDefault="00322A77">
      <w:pPr>
        <w:pStyle w:val="Reservanter"/>
      </w:pPr>
      <w:r w:rsidRPr="00515A4C">
        <w:t>av Mats Einarsson (v) och Gustav Fridolin (mp).</w:t>
      </w:r>
    </w:p>
    <w:p w:rsidR="00322A77" w:rsidRPr="00515A4C" w:rsidRDefault="00322A77">
      <w:pPr>
        <w:pStyle w:val="R4"/>
        <w:outlineLvl w:val="0"/>
      </w:pPr>
      <w:r w:rsidRPr="00515A4C">
        <w:t>Förslag till riksdagsbeslut</w:t>
      </w:r>
    </w:p>
    <w:p w:rsidR="00322A77" w:rsidRPr="00515A4C" w:rsidRDefault="00322A77">
      <w:r w:rsidRPr="00515A4C">
        <w:t>Vi anser att utskottets förslag under punkt 26 borde ha följande lydelse:</w:t>
      </w:r>
    </w:p>
    <w:p w:rsidR="00322A77" w:rsidRPr="00515A4C" w:rsidRDefault="00322A77">
      <w:pPr>
        <w:pStyle w:val="Reservantfrslag"/>
      </w:pPr>
      <w:r w:rsidRPr="00515A4C">
        <w:t>Riksdagen ger som sin mening regeringen till känna vad som anförs i rese</w:t>
      </w:r>
      <w:r w:rsidRPr="00515A4C">
        <w:t>r</w:t>
      </w:r>
      <w:r w:rsidRPr="00515A4C">
        <w:t xml:space="preserve">vation 19. Därmed bifaller riksdagen motionerna 2002/03:K339 yrkandena 1 och 2. </w:t>
      </w:r>
    </w:p>
    <w:p w:rsidR="00322A77" w:rsidRPr="00515A4C" w:rsidRDefault="00322A77">
      <w:pPr>
        <w:pStyle w:val="R4"/>
        <w:outlineLvl w:val="0"/>
      </w:pPr>
      <w:r w:rsidRPr="00515A4C">
        <w:t>Ställningstagande</w:t>
      </w:r>
    </w:p>
    <w:p w:rsidR="00322A77" w:rsidRPr="00515A4C" w:rsidRDefault="00322A77">
      <w:r w:rsidRPr="00515A4C">
        <w:t>Under andra världskriget internerades ett stort antal värnpliktiga, det överv</w:t>
      </w:r>
      <w:r w:rsidRPr="00515A4C">
        <w:t>ä</w:t>
      </w:r>
      <w:r w:rsidRPr="00515A4C">
        <w:t>gande flertalet kommunister. Motiven för att flytta vissa av de värnpliktiga till interneringsläger har aldrig delgetts de som flyttades vare sig före eller efter lägrens existens. Ingen dokumentation över deras påstått orosskapande ver</w:t>
      </w:r>
      <w:r w:rsidRPr="00515A4C">
        <w:t>k</w:t>
      </w:r>
      <w:r w:rsidRPr="00515A4C">
        <w:t>samhet har presenterats. Ingen av de internerade har fått officiella anmär</w:t>
      </w:r>
      <w:r w:rsidRPr="00515A4C">
        <w:t>k</w:t>
      </w:r>
      <w:r w:rsidRPr="00515A4C">
        <w:t>ningar över sitt uppträdande som värnpliktiga. Flera av dem hade förtroend</w:t>
      </w:r>
      <w:r w:rsidRPr="00515A4C">
        <w:t>e</w:t>
      </w:r>
      <w:r w:rsidRPr="00515A4C">
        <w:t>uppdrag, t.ex. i form av valt batteriombud. Eftersom de berörda aldrig fick någon officiell förklaring till varför de placer</w:t>
      </w:r>
      <w:r w:rsidRPr="00515A4C">
        <w:t>ades i interneringsläger, hade de ingen möjlighet att försvara sig eller överklaga beslutet. Därför är det rimligt med en ursäkt till dem som ännu är i livet och till anhöriga till dem som har avlidit. Att lång tid har förflutit var inget hinder för att frambringa en ursäkt till dem som tvångssteriliserades eller till samer för maktövergrepp och borde följaktligen inte vara något hinder beträffande dem som placerades i läger under andra världskriget. För att förhindra tillväxten av nazistiska rörelser och m</w:t>
      </w:r>
      <w:r w:rsidRPr="00515A4C">
        <w:t xml:space="preserve">inska risken för att individers rättssäkerhet blir satt på undantag, måste det enligt vår mening vara högst meningsfullt att granska förhållandena under början av 1940-talet. Ännu lever några få av dem som blev internerade i svenska läger utan att få reda på varför. De har vid ett flertal tillfällen krävt upprättelse. För de anhöriga till de f.d. lägerfångar som avlidit är kravet på upprättelse lika rimligt. Detta bör riksdagen som sin mening ge regeringen till känna. För att en granskning skall komma till </w:t>
      </w:r>
      <w:r w:rsidRPr="00515A4C">
        <w:t>stånd är det nödvändigt att regeringen helt häver sekretessen kring de handlingar som är aktuella i sa</w:t>
      </w:r>
      <w:r w:rsidRPr="00515A4C">
        <w:t>m</w:t>
      </w:r>
      <w:r w:rsidRPr="00515A4C">
        <w:t>manhanget. Behovet är stort av ett fullt klargörande kring interneringslägren under andra världskriget, om vilket motivet var för deras upprättande, på vems initiativ de tillkom samt vilka kriterier som avgjorde vem som placer</w:t>
      </w:r>
      <w:r w:rsidRPr="00515A4C">
        <w:t>a</w:t>
      </w:r>
      <w:r w:rsidRPr="00515A4C">
        <w:t>des där. Detta bör ges regeringen till känna.</w:t>
      </w:r>
    </w:p>
    <w:p w:rsidR="00322A77" w:rsidRPr="00515A4C" w:rsidRDefault="00322A77">
      <w:pPr>
        <w:pStyle w:val="Normaltindrag"/>
      </w:pPr>
      <w:r w:rsidRPr="00515A4C">
        <w:br w:type="page"/>
      </w:r>
    </w:p>
    <w:p w:rsidR="00322A77" w:rsidRPr="00515A4C" w:rsidRDefault="00322A77">
      <w:pPr>
        <w:pStyle w:val="Reservationspunkt"/>
        <w:spacing w:before="110"/>
        <w:rPr>
          <w:noProof w:val="0"/>
        </w:rPr>
      </w:pPr>
      <w:bookmarkStart w:id="147" w:name="_Toc34039243"/>
      <w:r w:rsidRPr="00515A4C">
        <w:rPr>
          <w:noProof w:val="0"/>
        </w:rPr>
        <w:t>20.</w:t>
      </w:r>
      <w:r w:rsidRPr="00515A4C">
        <w:rPr>
          <w:noProof w:val="0"/>
        </w:rPr>
        <w:tab/>
        <w:t>Partibidrag från fackligt anslutna personer (punkt 28)</w:t>
      </w:r>
      <w:bookmarkEnd w:id="147"/>
    </w:p>
    <w:p w:rsidR="00322A77" w:rsidRPr="00515A4C" w:rsidRDefault="00322A77">
      <w:pPr>
        <w:pStyle w:val="Reservanter"/>
      </w:pPr>
      <w:r w:rsidRPr="00515A4C">
        <w:t>av Gunnar Hökmark (m), Helena Bargholtz (fp), Ingvar Svensson (kd), Henrik S Järrel (m), Tobias Krantz (fp), Kerstin Lundgren (c), Nils Fre</w:t>
      </w:r>
      <w:r w:rsidRPr="00515A4C">
        <w:t>d</w:t>
      </w:r>
      <w:r w:rsidRPr="00515A4C">
        <w:t>rik Aur</w:t>
      </w:r>
      <w:r w:rsidRPr="00515A4C">
        <w:t>e</w:t>
      </w:r>
      <w:r w:rsidRPr="00515A4C">
        <w:t>lius (m) och Gustav Fridolin (mp).</w:t>
      </w:r>
    </w:p>
    <w:p w:rsidR="00322A77" w:rsidRPr="00515A4C" w:rsidRDefault="00322A77">
      <w:pPr>
        <w:pStyle w:val="R4"/>
        <w:rPr>
          <w:snapToGrid w:val="0"/>
          <w:lang w:eastAsia="sv-SE"/>
        </w:rPr>
      </w:pPr>
      <w:r w:rsidRPr="00515A4C">
        <w:rPr>
          <w:snapToGrid w:val="0"/>
          <w:lang w:eastAsia="sv-SE"/>
        </w:rPr>
        <w:t>Förslag till riksdagsbeslut</w:t>
      </w:r>
    </w:p>
    <w:p w:rsidR="00322A77" w:rsidRPr="00515A4C" w:rsidRDefault="00322A77">
      <w:r w:rsidRPr="00515A4C">
        <w:t>Vi anser att utskottets förslag under punkt 28 borde ha följande lydelse:</w:t>
      </w:r>
    </w:p>
    <w:p w:rsidR="00322A77" w:rsidRPr="00515A4C" w:rsidRDefault="00322A77">
      <w:pPr>
        <w:pStyle w:val="Reservantfrslag"/>
      </w:pPr>
      <w:r w:rsidRPr="00515A4C">
        <w:t>Riksdagen ger som sin mening regeringen till känna vad som anförs i rese</w:t>
      </w:r>
      <w:r w:rsidRPr="00515A4C">
        <w:t>r</w:t>
      </w:r>
      <w:r w:rsidRPr="00515A4C">
        <w:t xml:space="preserve">vation 20 om tilläggsdirektiv till </w:t>
      </w:r>
      <w:r w:rsidRPr="00515A4C">
        <w:rPr>
          <w:snapToGrid w:val="0"/>
          <w:lang w:eastAsia="sv-SE"/>
        </w:rPr>
        <w:t>Utredningen om offentlighet för partiers och valkandidaters intäkter</w:t>
      </w:r>
      <w:r w:rsidRPr="00515A4C">
        <w:t>. Därmed bifaller riksdagen delvis motion 2002/03: K384 yrkandena 1–4.</w:t>
      </w:r>
    </w:p>
    <w:p w:rsidR="00322A77" w:rsidRPr="00515A4C" w:rsidRDefault="00322A77">
      <w:pPr>
        <w:pStyle w:val="Rubrik4"/>
        <w:rPr>
          <w:noProof w:val="0"/>
          <w:snapToGrid w:val="0"/>
          <w:lang w:eastAsia="sv-SE"/>
        </w:rPr>
      </w:pPr>
      <w:bookmarkStart w:id="148" w:name="_Toc34039244"/>
      <w:r w:rsidRPr="00515A4C">
        <w:rPr>
          <w:noProof w:val="0"/>
          <w:snapToGrid w:val="0"/>
          <w:lang w:eastAsia="sv-SE"/>
        </w:rPr>
        <w:t>Ställningstagande</w:t>
      </w:r>
      <w:bookmarkEnd w:id="148"/>
    </w:p>
    <w:p w:rsidR="00322A77" w:rsidRPr="00515A4C" w:rsidRDefault="00322A77">
      <w:pPr>
        <w:rPr>
          <w:snapToGrid w:val="0"/>
          <w:lang w:eastAsia="sv-SE"/>
        </w:rPr>
      </w:pPr>
      <w:r w:rsidRPr="00515A4C">
        <w:rPr>
          <w:snapToGrid w:val="0"/>
          <w:lang w:eastAsia="sv-SE"/>
        </w:rPr>
        <w:t>Penningbidrag och andra former av stöd till de politiska partierna har varit en omdebatterad fråga under senare år. I juni förra året beslöt regeringen att tillkalla en särskild utredare med uppgift att överväga hur man kan öka al</w:t>
      </w:r>
      <w:r w:rsidRPr="00515A4C">
        <w:rPr>
          <w:snapToGrid w:val="0"/>
          <w:lang w:eastAsia="sv-SE"/>
        </w:rPr>
        <w:t>l</w:t>
      </w:r>
      <w:r w:rsidRPr="00515A4C">
        <w:rPr>
          <w:snapToGrid w:val="0"/>
          <w:lang w:eastAsia="sv-SE"/>
        </w:rPr>
        <w:t>mänhetens insyn i hur de politiska partierna finansierar sin politiska verksa</w:t>
      </w:r>
      <w:r w:rsidRPr="00515A4C">
        <w:rPr>
          <w:snapToGrid w:val="0"/>
          <w:lang w:eastAsia="sv-SE"/>
        </w:rPr>
        <w:t>m</w:t>
      </w:r>
      <w:r w:rsidRPr="00515A4C">
        <w:rPr>
          <w:snapToGrid w:val="0"/>
          <w:lang w:eastAsia="sv-SE"/>
        </w:rPr>
        <w:t>het och hur de personer som driver en s.k. personvalskampanj finansierar den. I ett internationellt perspektiv kan man konstatera att det är vanligt med någon form av rättslig reglering av partiernas och valkandidaternas intäkter. En sådan lagstiftning finns t.ex. i Finland, Danmark och Norge.</w:t>
      </w:r>
    </w:p>
    <w:p w:rsidR="00322A77" w:rsidRPr="00515A4C" w:rsidRDefault="00322A77">
      <w:pPr>
        <w:pStyle w:val="Normaltindrag"/>
        <w:rPr>
          <w:snapToGrid w:val="0"/>
          <w:lang w:eastAsia="sv-SE"/>
        </w:rPr>
      </w:pPr>
      <w:r w:rsidRPr="00515A4C">
        <w:rPr>
          <w:snapToGrid w:val="0"/>
          <w:lang w:eastAsia="sv-SE"/>
        </w:rPr>
        <w:t xml:space="preserve">Direktiven till utredningen tar främst sikte dels på frågan om finansiering av personvalskampanjer, dels användningen av offentliga medel </w:t>
      </w:r>
      <w:r w:rsidRPr="00515A4C">
        <w:rPr>
          <w:snapToGrid w:val="0"/>
          <w:lang w:eastAsia="sv-SE"/>
        </w:rPr>
        <w:t>(partistöd på olika nivåer). För bedömningen av partistödssystemets utformning och e</w:t>
      </w:r>
      <w:r w:rsidRPr="00515A4C">
        <w:rPr>
          <w:snapToGrid w:val="0"/>
          <w:lang w:eastAsia="sv-SE"/>
        </w:rPr>
        <w:t>f</w:t>
      </w:r>
      <w:r w:rsidRPr="00515A4C">
        <w:rPr>
          <w:snapToGrid w:val="0"/>
          <w:lang w:eastAsia="sv-SE"/>
        </w:rPr>
        <w:t>fekter har det också betydelse att få reda på de övriga finansieringskällor och stödformer partierna och kandidaterna har. Det måste i detta sammanhang göras klart att även socialdemokraternas stöd från fackföreningsrörelsen behöver bli synligt. År 2002 uppgick det sammanlagda stödet till någonstans mellan 75 och 85 miljoner kronor, enligt uppgifter lämnade till riksdagens utredningstjänst (dnr 2002:144). Stödets exakta sto</w:t>
      </w:r>
      <w:r w:rsidRPr="00515A4C">
        <w:rPr>
          <w:snapToGrid w:val="0"/>
          <w:lang w:eastAsia="sv-SE"/>
        </w:rPr>
        <w:t>rlek har varit svårt att fastställa. I flera fall är bidragen hemliga också för LO:s egna me</w:t>
      </w:r>
      <w:r w:rsidRPr="00515A4C">
        <w:rPr>
          <w:snapToGrid w:val="0"/>
          <w:lang w:eastAsia="sv-SE"/>
        </w:rPr>
        <w:t>d</w:t>
      </w:r>
      <w:r w:rsidRPr="00515A4C">
        <w:rPr>
          <w:snapToGrid w:val="0"/>
          <w:lang w:eastAsia="sv-SE"/>
        </w:rPr>
        <w:t>lemmar.</w:t>
      </w:r>
    </w:p>
    <w:p w:rsidR="00322A77" w:rsidRPr="00515A4C" w:rsidRDefault="00322A77">
      <w:pPr>
        <w:pStyle w:val="Normaltindrag"/>
        <w:rPr>
          <w:snapToGrid w:val="0"/>
          <w:lang w:eastAsia="sv-SE"/>
        </w:rPr>
      </w:pPr>
      <w:r w:rsidRPr="00515A4C">
        <w:rPr>
          <w:snapToGrid w:val="0"/>
          <w:lang w:eastAsia="sv-SE"/>
        </w:rPr>
        <w:t>Det är angeläget att öppenhet och insyn präglar stöd och finansiering av de politiska partierna. Detta måste gälla oavsett arten och graden av stödform. Enligt vår mening bör därför redovisning av de politiska partiernas stöd från fackliga organisationer också belysas av utredningen. Utredningen bör ges tilläggsdirektiv med sådan innebörd. Detta bör riksdagen som sin mening ge regerin</w:t>
      </w:r>
      <w:r w:rsidRPr="00515A4C">
        <w:rPr>
          <w:snapToGrid w:val="0"/>
          <w:lang w:eastAsia="sv-SE"/>
        </w:rPr>
        <w:t>g</w:t>
      </w:r>
      <w:r w:rsidRPr="00515A4C">
        <w:rPr>
          <w:snapToGrid w:val="0"/>
          <w:lang w:eastAsia="sv-SE"/>
        </w:rPr>
        <w:t>en till känna.</w:t>
      </w:r>
    </w:p>
    <w:p w:rsidR="00322A77" w:rsidRPr="00515A4C" w:rsidRDefault="00322A77">
      <w:pPr>
        <w:pStyle w:val="R4"/>
      </w:pPr>
    </w:p>
    <w:p w:rsidR="00322A77" w:rsidRPr="00515A4C" w:rsidRDefault="00322A77">
      <w:pPr>
        <w:pStyle w:val="Normaltindrag"/>
        <w:sectPr w:rsidR="00000000" w:rsidRPr="00515A4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22A77" w:rsidRPr="00515A4C" w:rsidRDefault="00322A77">
      <w:pPr>
        <w:pStyle w:val="Rubrik1"/>
        <w:spacing w:after="480"/>
        <w:rPr>
          <w:noProof w:val="0"/>
        </w:rPr>
      </w:pPr>
      <w:bookmarkStart w:id="149" w:name="_Toc34039245"/>
      <w:r w:rsidRPr="00515A4C">
        <w:rPr>
          <w:noProof w:val="0"/>
        </w:rPr>
        <w:t>Särskilda yttranden</w:t>
      </w:r>
      <w:bookmarkEnd w:id="149"/>
    </w:p>
    <w:p w:rsidR="00322A77" w:rsidRPr="00515A4C" w:rsidRDefault="00322A77">
      <w:pPr>
        <w:spacing w:before="0"/>
      </w:pPr>
      <w:r w:rsidRPr="00515A4C">
        <w:t>Utskottets beredning av ärendet har föranlett följande särskilda yttranden. I rubriken anges inom parentes vilken punkt i utskottets förslag till riksdagsb</w:t>
      </w:r>
      <w:r w:rsidRPr="00515A4C">
        <w:t>e</w:t>
      </w:r>
      <w:r w:rsidRPr="00515A4C">
        <w:t>slut som behandlas i avsnittet.</w:t>
      </w:r>
    </w:p>
    <w:p w:rsidR="00322A77" w:rsidRPr="00515A4C" w:rsidRDefault="00322A77">
      <w:pPr>
        <w:pStyle w:val="Yttrandepunkt"/>
        <w:rPr>
          <w:noProof w:val="0"/>
        </w:rPr>
      </w:pPr>
      <w:bookmarkStart w:id="150" w:name="_Toc34039246"/>
      <w:r w:rsidRPr="00515A4C">
        <w:rPr>
          <w:noProof w:val="0"/>
        </w:rPr>
        <w:t>1. Förbud mot rasistiska organisationer (punkt 6)</w:t>
      </w:r>
      <w:bookmarkEnd w:id="150"/>
    </w:p>
    <w:p w:rsidR="00322A77" w:rsidRPr="00515A4C" w:rsidRDefault="00322A77">
      <w:pPr>
        <w:pStyle w:val="Normaltindrag"/>
      </w:pPr>
      <w:r w:rsidRPr="00515A4C">
        <w:t>av Ingvar Svensson (kd).</w:t>
      </w:r>
    </w:p>
    <w:p w:rsidR="00322A77" w:rsidRPr="00515A4C" w:rsidRDefault="00322A77">
      <w:pPr>
        <w:rPr>
          <w:snapToGrid w:val="0"/>
        </w:rPr>
      </w:pPr>
      <w:r w:rsidRPr="00515A4C">
        <w:t>De senaste årens händelser påvisar behovet av förändringar när det gäller åtgärder mot rasistiska och kriminella organisationer. Eftersom Sverige sa</w:t>
      </w:r>
      <w:r w:rsidRPr="00515A4C">
        <w:t>k</w:t>
      </w:r>
      <w:r w:rsidRPr="00515A4C">
        <w:t>nar en generell organisationslagstiftning är det svårt – för att inte säga m</w:t>
      </w:r>
      <w:r w:rsidRPr="00515A4C">
        <w:t>e</w:t>
      </w:r>
      <w:r w:rsidRPr="00515A4C">
        <w:t>ningslöst – att direkt förbjuda rasistiska eller likvärdiga organisationer. Den förening som förbjuds i dag, kan snabbt återuppstå under annat namn i mo</w:t>
      </w:r>
      <w:r w:rsidRPr="00515A4C">
        <w:t>r</w:t>
      </w:r>
      <w:r w:rsidRPr="00515A4C">
        <w:t>gon. Därför är det mycket effektivare att kriminalisera det enskilda deltaga</w:t>
      </w:r>
      <w:r w:rsidRPr="00515A4C">
        <w:t>n</w:t>
      </w:r>
      <w:r w:rsidRPr="00515A4C">
        <w:t xml:space="preserve">det i den typen av organiserad </w:t>
      </w:r>
      <w:r w:rsidRPr="00515A4C">
        <w:rPr>
          <w:snapToGrid w:val="0"/>
        </w:rPr>
        <w:t xml:space="preserve">rasism. </w:t>
      </w:r>
    </w:p>
    <w:p w:rsidR="00322A77" w:rsidRPr="00515A4C" w:rsidRDefault="00322A77">
      <w:pPr>
        <w:pStyle w:val="Normaltindrag"/>
        <w:rPr>
          <w:snapToGrid w:val="0"/>
        </w:rPr>
      </w:pPr>
      <w:r w:rsidRPr="00515A4C">
        <w:rPr>
          <w:snapToGrid w:val="0"/>
        </w:rPr>
        <w:t>Kristdemokraterna har tidigare aktualiserat frågeställningen om kriminal</w:t>
      </w:r>
      <w:r w:rsidRPr="00515A4C">
        <w:rPr>
          <w:snapToGrid w:val="0"/>
        </w:rPr>
        <w:t>i</w:t>
      </w:r>
      <w:r w:rsidRPr="00515A4C">
        <w:rPr>
          <w:snapToGrid w:val="0"/>
        </w:rPr>
        <w:t>sering av enskilds stöd eller deltagande i kriminella organisationer. Denna framställan behandlas i annat sammanhang.</w:t>
      </w:r>
    </w:p>
    <w:p w:rsidR="00322A77" w:rsidRPr="00515A4C" w:rsidRDefault="00322A77">
      <w:pPr>
        <w:pStyle w:val="Yttrandepunkt"/>
        <w:rPr>
          <w:noProof w:val="0"/>
        </w:rPr>
      </w:pPr>
      <w:bookmarkStart w:id="151" w:name="_Toc34039247"/>
      <w:r w:rsidRPr="00515A4C">
        <w:rPr>
          <w:noProof w:val="0"/>
        </w:rPr>
        <w:t>2. Samordning av ombudsmän m.m. (punkt 12)</w:t>
      </w:r>
      <w:bookmarkEnd w:id="151"/>
    </w:p>
    <w:p w:rsidR="00322A77" w:rsidRPr="00515A4C" w:rsidRDefault="00322A77">
      <w:pPr>
        <w:pStyle w:val="Reservanter"/>
      </w:pPr>
      <w:r w:rsidRPr="00515A4C">
        <w:t>av Kerstin Lundgren (c).</w:t>
      </w:r>
    </w:p>
    <w:p w:rsidR="00322A77" w:rsidRPr="00515A4C" w:rsidRDefault="00322A77">
      <w:r w:rsidRPr="00515A4C">
        <w:t>Det behövs en samlad diskrimineringslagstiftning som kan vara ett kraftfullt verktyg för Diskrimineringsombudsmannen, DO. I dag har vi skilda lagstif</w:t>
      </w:r>
      <w:r w:rsidRPr="00515A4C">
        <w:t>t</w:t>
      </w:r>
      <w:r w:rsidRPr="00515A4C">
        <w:t>ningar för att skydda mot diskriminering i arbetslivet beroende på om det är diskriminering av kön, etnicitet eller homosexualitet. Med en sammanhållen lagstiftning som också gäller utanför arbetslivet är det möjligt att ställa krav på en större del av samhällslivet, vilket även omfattar åldersdiskriminering. Med en sammanhållen lagstiftning kan även de fem ombudsmannafunkti</w:t>
      </w:r>
      <w:r w:rsidRPr="00515A4C">
        <w:t>o</w:t>
      </w:r>
      <w:r w:rsidRPr="00515A4C">
        <w:t>nerna DO, JämO, HomO, HO och BO samordnas under riksdagen. Jag föru</w:t>
      </w:r>
      <w:r w:rsidRPr="00515A4C">
        <w:t>t</w:t>
      </w:r>
      <w:r w:rsidRPr="00515A4C">
        <w:t>sätter att Diskrimineringsutredningens arbete kommer att leda til</w:t>
      </w:r>
      <w:r w:rsidRPr="00515A4C">
        <w:t xml:space="preserve">l en sådan ordning. </w:t>
      </w:r>
    </w:p>
    <w:p w:rsidR="00322A77" w:rsidRPr="00515A4C" w:rsidRDefault="00322A77">
      <w:pPr>
        <w:pStyle w:val="Yttrandepunkt"/>
        <w:rPr>
          <w:noProof w:val="0"/>
        </w:rPr>
      </w:pPr>
      <w:bookmarkStart w:id="152" w:name="_Toc34039248"/>
      <w:r w:rsidRPr="00515A4C">
        <w:rPr>
          <w:noProof w:val="0"/>
        </w:rPr>
        <w:t>3. Utvidgning av det samiska förvaltningsområdet (punkt 17)</w:t>
      </w:r>
      <w:bookmarkEnd w:id="152"/>
    </w:p>
    <w:p w:rsidR="00322A77" w:rsidRPr="00515A4C" w:rsidRDefault="00322A77">
      <w:pPr>
        <w:pStyle w:val="Reservanter"/>
      </w:pPr>
      <w:r w:rsidRPr="00515A4C">
        <w:t>av Helena Bargholtz (fp), Mats Einarsson (v), Tobias Krantz (fp) Kerstin Lundgren (c) och Gustav Fridolin (mp).</w:t>
      </w:r>
    </w:p>
    <w:p w:rsidR="00322A77" w:rsidRPr="00515A4C" w:rsidRDefault="00322A77">
      <w:r w:rsidRPr="00515A4C">
        <w:t>Regeringen har gett Länsstyrelsen i Norrbotten i uppdrag att inom ramen för befintliga resurser förutsättningslöst utreda konsekvenserna av en eventuell utvidgning av förvaltningsområdet för samiska till några kommuner i det sydsamiska området. Vi förutsätter att regeringen sedan konsekvenserna utretts och efter samråd med berörda kommuner, länsstyrelser och frivilligo</w:t>
      </w:r>
      <w:r w:rsidRPr="00515A4C">
        <w:t>r</w:t>
      </w:r>
      <w:r w:rsidRPr="00515A4C">
        <w:t>ganisationer lägger fram de lagförslag som behövs för en utvidgning av det samiska förvaltningsområdet till några kommuner i det sydsamiska området.</w:t>
      </w:r>
    </w:p>
    <w:p w:rsidR="00322A77" w:rsidRPr="00515A4C" w:rsidRDefault="00322A77">
      <w:pPr>
        <w:pStyle w:val="Yttrandepunkt"/>
        <w:rPr>
          <w:noProof w:val="0"/>
        </w:rPr>
      </w:pPr>
      <w:bookmarkStart w:id="153" w:name="_Toc34039249"/>
      <w:r w:rsidRPr="00515A4C">
        <w:rPr>
          <w:noProof w:val="0"/>
        </w:rPr>
        <w:t>4. Omfattningen av det finskspråkiga förvaltningsområdet (punkt 18)</w:t>
      </w:r>
      <w:bookmarkEnd w:id="153"/>
    </w:p>
    <w:p w:rsidR="00322A77" w:rsidRPr="00515A4C" w:rsidRDefault="00322A77">
      <w:pPr>
        <w:ind w:left="340"/>
      </w:pPr>
      <w:r w:rsidRPr="00515A4C">
        <w:t>av Helena Bargholtz (fp), Ingvar Svensson (kd), Mats Einarsson (v), T</w:t>
      </w:r>
      <w:r w:rsidRPr="00515A4C">
        <w:t>o</w:t>
      </w:r>
      <w:r w:rsidRPr="00515A4C">
        <w:t>b</w:t>
      </w:r>
      <w:r w:rsidRPr="00515A4C">
        <w:t>i</w:t>
      </w:r>
      <w:r w:rsidRPr="00515A4C">
        <w:t>as Krantz (fp), Kerstin Lundgren (c) och Gustav Fridolin (mp).</w:t>
      </w:r>
    </w:p>
    <w:p w:rsidR="00322A77" w:rsidRPr="00515A4C" w:rsidRDefault="00322A77">
      <w:r w:rsidRPr="00515A4C">
        <w:t>Den största gruppen av nationella minoriteter är sverigefinnarna, av vilka ca 95 % bor utanför förvaltningsområdena, t.ex. i Mälardalen och runt Göteborg.</w:t>
      </w:r>
    </w:p>
    <w:p w:rsidR="00322A77" w:rsidRPr="00515A4C" w:rsidRDefault="00322A77">
      <w:pPr>
        <w:pStyle w:val="Normaltindrag"/>
      </w:pPr>
      <w:r w:rsidRPr="00515A4C">
        <w:t>Minoritetspolitiken är ett nytt politikområde som behöver utvärderas och förbättras. Redan från början har det funnits ett missnöje bland den sverig</w:t>
      </w:r>
      <w:r w:rsidRPr="00515A4C">
        <w:t>e</w:t>
      </w:r>
      <w:r w:rsidRPr="00515A4C">
        <w:t>finländska befolkningen mot avgränsningen av förvaltningsområdet till de fem nordliga kommunerna. Det inte kan bortses från den månghundraåriga kontinuerliga närvaron av en finskspråkig befolkning och finskspråkig kultur i Stockholm. Att inkludera bl.a. huvudstadsregionen i det finskspråkiga fö</w:t>
      </w:r>
      <w:r w:rsidRPr="00515A4C">
        <w:t>r</w:t>
      </w:r>
      <w:r w:rsidRPr="00515A4C">
        <w:t>valtningsområdet ser vi därför som ett angeläget första steg. Enligt uppgift övervägs en sådan ordning i Regeringskansliet. Vi förutsätter att regeringen återkommer till riksdagen med erforderliga lagfö</w:t>
      </w:r>
      <w:r w:rsidRPr="00515A4C">
        <w:t>r</w:t>
      </w:r>
      <w:r w:rsidRPr="00515A4C">
        <w:t>slag.</w:t>
      </w:r>
    </w:p>
    <w:p w:rsidR="00322A77" w:rsidRPr="00515A4C" w:rsidRDefault="00322A77">
      <w:pPr>
        <w:pStyle w:val="Yttrandepunkt"/>
        <w:rPr>
          <w:noProof w:val="0"/>
        </w:rPr>
      </w:pPr>
      <w:bookmarkStart w:id="154" w:name="_Toc34039250"/>
      <w:r w:rsidRPr="00515A4C">
        <w:rPr>
          <w:noProof w:val="0"/>
        </w:rPr>
        <w:t>5. Min</w:t>
      </w:r>
      <w:r w:rsidRPr="00515A4C">
        <w:rPr>
          <w:noProof w:val="0"/>
        </w:rPr>
        <w:t>oritetsfrågor (punkt 19)</w:t>
      </w:r>
      <w:bookmarkEnd w:id="154"/>
    </w:p>
    <w:p w:rsidR="00322A77" w:rsidRPr="00515A4C" w:rsidRDefault="00322A77">
      <w:pPr>
        <w:pStyle w:val="Reservanter"/>
      </w:pPr>
      <w:r w:rsidRPr="00515A4C">
        <w:t>av Helena Bargholtz (fp), Ingvar Svensson (kd), Mats Einarsson (v), T</w:t>
      </w:r>
      <w:r w:rsidRPr="00515A4C">
        <w:t>o</w:t>
      </w:r>
      <w:r w:rsidRPr="00515A4C">
        <w:t>bias Krantz (fp), Kerstin Lundgren (c) och Gustav Fridolin (mp).</w:t>
      </w:r>
    </w:p>
    <w:p w:rsidR="00322A77" w:rsidRPr="00515A4C" w:rsidRDefault="00322A77">
      <w:r w:rsidRPr="00515A4C">
        <w:t>Vi anser att kriterierna i Europarådets ramkonvention om skydd för nationella minoriteter, i motsats till den europeiska stadgan om landsdels- eller minor</w:t>
      </w:r>
      <w:r w:rsidRPr="00515A4C">
        <w:t>i</w:t>
      </w:r>
      <w:r w:rsidRPr="00515A4C">
        <w:t>tetsspråk, är tillämplig på alla sverigefinländare, inklusive finlandssvenskar. Gruppen finlandssvenskar uppfyller konventionens kriterier att ha en uttalad samhörighet, inte ha en med hänsyn till antalet dominerande ställning och att ha en religiös, språklig, traditionell och/eller kulturell särart. Den har histori</w:t>
      </w:r>
      <w:r w:rsidRPr="00515A4C">
        <w:t>s</w:t>
      </w:r>
      <w:r w:rsidRPr="00515A4C">
        <w:t>ka och långvariga band med Sverige och det finns en självidentifikation där den enskilda individen såväl som gruppen har en vilja och strävan att behålla sin identitet.</w:t>
      </w:r>
    </w:p>
    <w:p w:rsidR="00322A77" w:rsidRPr="00515A4C" w:rsidRDefault="00322A77">
      <w:pPr>
        <w:pStyle w:val="Yttrandepunkt"/>
        <w:rPr>
          <w:noProof w:val="0"/>
        </w:rPr>
      </w:pPr>
      <w:bookmarkStart w:id="155" w:name="_Toc34039251"/>
      <w:r w:rsidRPr="00515A4C">
        <w:rPr>
          <w:noProof w:val="0"/>
        </w:rPr>
        <w:t>6. Internationella kvinn</w:t>
      </w:r>
      <w:r w:rsidRPr="00515A4C">
        <w:rPr>
          <w:noProof w:val="0"/>
        </w:rPr>
        <w:t>odagen (punkt 23)</w:t>
      </w:r>
      <w:bookmarkEnd w:id="155"/>
    </w:p>
    <w:p w:rsidR="00322A77" w:rsidRPr="00515A4C" w:rsidRDefault="00322A77">
      <w:pPr>
        <w:pStyle w:val="Reservanter"/>
      </w:pPr>
      <w:r w:rsidRPr="00515A4C">
        <w:t>av Gustav Fridolin (mp).</w:t>
      </w:r>
    </w:p>
    <w:p w:rsidR="00322A77" w:rsidRPr="00515A4C" w:rsidRDefault="00322A77">
      <w:pPr>
        <w:rPr>
          <w:snapToGrid w:val="0"/>
          <w:lang w:eastAsia="sv-SE"/>
        </w:rPr>
      </w:pPr>
      <w:r w:rsidRPr="00515A4C">
        <w:rPr>
          <w:snapToGrid w:val="0"/>
          <w:lang w:eastAsia="sv-SE"/>
        </w:rPr>
        <w:t>Femton länder har beslutat att göra den av FN proklamerade internationella kvinnodagen, den 8 mars, till nationell helgdag. För Sveriges del vore ett sådant beslut ett möjligt sätt att markera jämställdhetssträvan, därför skulle jag inte ha några principiella invändningar mot att regeringen gör en sa</w:t>
      </w:r>
      <w:r w:rsidRPr="00515A4C">
        <w:rPr>
          <w:snapToGrid w:val="0"/>
          <w:lang w:eastAsia="sv-SE"/>
        </w:rPr>
        <w:t>m</w:t>
      </w:r>
      <w:r w:rsidRPr="00515A4C">
        <w:rPr>
          <w:snapToGrid w:val="0"/>
          <w:lang w:eastAsia="sv-SE"/>
        </w:rPr>
        <w:t>hällsekonomisk bedömning om möjligheterna att göra 8 mars till nationell helgdag. Jag är dock i grunden kritisk till hela det stelbenta systemet med nationella helgdagar som gäller lika för alla, oavsett religion, livsåskådning och personliga prioriteringar och har motionerat till förmån för en total öve</w:t>
      </w:r>
      <w:r w:rsidRPr="00515A4C">
        <w:rPr>
          <w:snapToGrid w:val="0"/>
          <w:lang w:eastAsia="sv-SE"/>
        </w:rPr>
        <w:t>r</w:t>
      </w:r>
      <w:r w:rsidRPr="00515A4C">
        <w:rPr>
          <w:snapToGrid w:val="0"/>
          <w:lang w:eastAsia="sv-SE"/>
        </w:rPr>
        <w:t>syn med sikte på att införa individuella ”helgkonton” eller förlängd semester. Mot bakgrund av detta har jag valt att inte reservera mig till förmån för m</w:t>
      </w:r>
      <w:r w:rsidRPr="00515A4C">
        <w:rPr>
          <w:snapToGrid w:val="0"/>
          <w:lang w:eastAsia="sv-SE"/>
        </w:rPr>
        <w:t>o</w:t>
      </w:r>
      <w:r w:rsidRPr="00515A4C">
        <w:rPr>
          <w:snapToGrid w:val="0"/>
          <w:lang w:eastAsia="sv-SE"/>
        </w:rPr>
        <w:t>tion 2002/03:K272.</w:t>
      </w:r>
    </w:p>
    <w:p w:rsidR="00322A77" w:rsidRPr="00515A4C" w:rsidRDefault="00322A77"/>
    <w:p w:rsidR="00322A77" w:rsidRPr="00515A4C" w:rsidRDefault="00322A77">
      <w:pPr>
        <w:pStyle w:val="Normaltindrag"/>
        <w:sectPr w:rsidR="00000000" w:rsidRPr="00515A4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22A77" w:rsidRPr="00515A4C" w:rsidRDefault="00322A77">
      <w:pPr>
        <w:pStyle w:val="Bilaga"/>
        <w:outlineLvl w:val="0"/>
      </w:pPr>
      <w:r w:rsidRPr="00515A4C">
        <w:t>Bilaga 1</w:t>
      </w:r>
    </w:p>
    <w:p w:rsidR="00322A77" w:rsidRPr="00515A4C" w:rsidRDefault="00322A77">
      <w:pPr>
        <w:pStyle w:val="Rubrik1"/>
        <w:rPr>
          <w:noProof w:val="0"/>
        </w:rPr>
      </w:pPr>
      <w:bookmarkStart w:id="156" w:name="_Toc34039252"/>
      <w:r w:rsidRPr="00515A4C">
        <w:rPr>
          <w:noProof w:val="0"/>
        </w:rPr>
        <w:t>Förteckning över behandlade förslag</w:t>
      </w:r>
      <w:bookmarkEnd w:id="156"/>
    </w:p>
    <w:p w:rsidR="00322A77" w:rsidRPr="00515A4C" w:rsidRDefault="00322A77">
      <w:pPr>
        <w:pStyle w:val="Rubrik2"/>
        <w:spacing w:before="0"/>
      </w:pPr>
      <w:bookmarkStart w:id="157" w:name="_Toc34039253"/>
      <w:r w:rsidRPr="00515A4C">
        <w:t>Motioner från allmänna motionstiden</w:t>
      </w:r>
      <w:bookmarkEnd w:id="157"/>
    </w:p>
    <w:p w:rsidR="00322A77" w:rsidRPr="00515A4C" w:rsidRDefault="00322A77">
      <w:pPr>
        <w:pStyle w:val="Motioner"/>
      </w:pPr>
      <w:r w:rsidRPr="00515A4C">
        <w:t>2002/03:K216 av Kenneth Johansson och Eskil Erlandsson (c):</w:t>
      </w:r>
    </w:p>
    <w:p w:rsidR="00322A77" w:rsidRPr="00515A4C" w:rsidRDefault="00322A77">
      <w:r w:rsidRPr="00515A4C">
        <w:t>1. Riksdagen begär att regeringen tillsätter en kommission med uppgift att belysa den privata ägand</w:t>
      </w:r>
      <w:r w:rsidRPr="00515A4C">
        <w:t>e</w:t>
      </w:r>
      <w:r w:rsidRPr="00515A4C">
        <w:t>rättens betydelse för ekonomisk utveckling.</w:t>
      </w:r>
    </w:p>
    <w:p w:rsidR="00322A77" w:rsidRPr="00515A4C" w:rsidRDefault="00322A77">
      <w:pPr>
        <w:pStyle w:val="Normaltindrag"/>
        <w:ind w:firstLine="0"/>
      </w:pPr>
      <w:r w:rsidRPr="00515A4C">
        <w:t>2. Riksdagen begär att regeringen lägger fram förslag till ändring om stärkt skydd av äganderätten i både grundlagen och den vanliga la</w:t>
      </w:r>
      <w:r w:rsidRPr="00515A4C">
        <w:t>g</w:t>
      </w:r>
      <w:r w:rsidRPr="00515A4C">
        <w:t>stiftningen.</w:t>
      </w:r>
    </w:p>
    <w:p w:rsidR="00322A77" w:rsidRPr="00515A4C" w:rsidRDefault="00322A77">
      <w:pPr>
        <w:pStyle w:val="Motioner"/>
      </w:pPr>
      <w:r w:rsidRPr="00515A4C">
        <w:t>2002/03:K220 av Sofia Larsen och Birgitta Sellén (c):</w:t>
      </w:r>
    </w:p>
    <w:p w:rsidR="00322A77" w:rsidRPr="00515A4C" w:rsidRDefault="00322A77">
      <w:r w:rsidRPr="00515A4C">
        <w:t>Riksdagen tillkännager för regeringen som sin mening vad i motionen anförs om att teckenspråket blir ett minoritetsspråk.</w:t>
      </w:r>
    </w:p>
    <w:p w:rsidR="00322A77" w:rsidRPr="00515A4C" w:rsidRDefault="00322A77">
      <w:pPr>
        <w:pStyle w:val="Motioner"/>
      </w:pPr>
      <w:r w:rsidRPr="00515A4C">
        <w:t>2002/03:K237 av Marietta de Pourbaix-Lundin (m):</w:t>
      </w:r>
    </w:p>
    <w:p w:rsidR="00322A77" w:rsidRPr="00515A4C" w:rsidRDefault="00322A77">
      <w:r w:rsidRPr="00515A4C">
        <w:t>Riksdagen begär att regeringen lägger fram förslag till sådana ändringar i regeringsformen att det införs ytterligare begränsningar av möjligheterna för riksdagen att med hänvisning till särskilda skäl fatta beslut om skatter och avgifter med retroaktiv ve</w:t>
      </w:r>
      <w:r w:rsidRPr="00515A4C">
        <w:t>r</w:t>
      </w:r>
      <w:r w:rsidRPr="00515A4C">
        <w:t>kan.</w:t>
      </w:r>
    </w:p>
    <w:p w:rsidR="00322A77" w:rsidRPr="00515A4C" w:rsidRDefault="00322A77">
      <w:pPr>
        <w:pStyle w:val="Motioner"/>
      </w:pPr>
      <w:r w:rsidRPr="00515A4C">
        <w:t>2002/03:241 av Maud Olofsson m.fl. (c):</w:t>
      </w:r>
    </w:p>
    <w:p w:rsidR="00322A77" w:rsidRPr="00515A4C" w:rsidRDefault="00322A77">
      <w:r w:rsidRPr="00515A4C">
        <w:t>35. Riksdagen tillkännager för regeringen som sin mening vad i motionen anförs om en översyn av retroaktivitetsförbudet i 2 kap. 10 § RF.</w:t>
      </w:r>
    </w:p>
    <w:p w:rsidR="00322A77" w:rsidRPr="00515A4C" w:rsidRDefault="00322A77">
      <w:r w:rsidRPr="00515A4C">
        <w:t>37. Riksdagen tillkännager för regeringen som sin mening vad i motionen anförs om en samlad diskrimineringslagstiftning och en samordning av o</w:t>
      </w:r>
      <w:r w:rsidRPr="00515A4C">
        <w:t>m</w:t>
      </w:r>
      <w:r w:rsidRPr="00515A4C">
        <w:t>budsmannafunkti</w:t>
      </w:r>
      <w:r w:rsidRPr="00515A4C">
        <w:t>o</w:t>
      </w:r>
      <w:r w:rsidRPr="00515A4C">
        <w:t>nerna.</w:t>
      </w:r>
    </w:p>
    <w:p w:rsidR="00322A77" w:rsidRPr="00515A4C" w:rsidRDefault="00322A77">
      <w:pPr>
        <w:pStyle w:val="Motioner"/>
      </w:pPr>
      <w:r w:rsidRPr="00515A4C">
        <w:t>2002/03:K264</w:t>
      </w:r>
      <w:r w:rsidRPr="00515A4C">
        <w:rPr>
          <w:b/>
        </w:rPr>
        <w:t xml:space="preserve"> </w:t>
      </w:r>
      <w:r w:rsidRPr="00515A4C">
        <w:t>av Åsa Torstensson (c):</w:t>
      </w:r>
    </w:p>
    <w:p w:rsidR="00322A77" w:rsidRPr="00515A4C" w:rsidRDefault="00322A77">
      <w:r w:rsidRPr="00515A4C">
        <w:t>1. Riksdagen tillkännager för regeringen som sin mening vad i motionen anförs om minoriteters delaktighet i demokratin.</w:t>
      </w:r>
    </w:p>
    <w:p w:rsidR="00322A77" w:rsidRPr="00515A4C" w:rsidRDefault="00322A77">
      <w:r w:rsidRPr="00515A4C">
        <w:t>2. Riksdagen tillkännager för regeringen som sin mening vad i motionen anförs om minoritetsgruppers möjlighet att utöva sitt självbestämmande e</w:t>
      </w:r>
      <w:r w:rsidRPr="00515A4C">
        <w:t>x</w:t>
      </w:r>
      <w:r w:rsidRPr="00515A4C">
        <w:t>empelvis genom att ta över fördelningen av kulturmedel till de egna instit</w:t>
      </w:r>
      <w:r w:rsidRPr="00515A4C">
        <w:t>u</w:t>
      </w:r>
      <w:r w:rsidRPr="00515A4C">
        <w:t>tionerna.</w:t>
      </w:r>
    </w:p>
    <w:p w:rsidR="00322A77" w:rsidRPr="00515A4C" w:rsidRDefault="00322A77">
      <w:r w:rsidRPr="00515A4C">
        <w:t>3. Riksdagen tillkännager för regeringen som sin mening vad i motionen anförs om att de nationella minoriteterna och ursprungsbefolkningen bör nämnas i rege</w:t>
      </w:r>
      <w:r w:rsidRPr="00515A4C">
        <w:t>r</w:t>
      </w:r>
      <w:r w:rsidRPr="00515A4C">
        <w:t>ingsformen.</w:t>
      </w:r>
    </w:p>
    <w:p w:rsidR="00322A77" w:rsidRPr="00515A4C" w:rsidRDefault="00322A77">
      <w:r w:rsidRPr="00515A4C">
        <w:t>4. Riksdagen tillkännager för regeringen som sin mening vad i motionen anförs om att offentliga institutioner bör utnyttja samrådsförfarande med minoriteter.</w:t>
      </w:r>
    </w:p>
    <w:p w:rsidR="00322A77" w:rsidRPr="00515A4C" w:rsidRDefault="00322A77">
      <w:pPr>
        <w:pStyle w:val="Motioner"/>
      </w:pPr>
      <w:r w:rsidRPr="00515A4C">
        <w:t>2002/03:K272 av Mats Einarsson m.fl. (v):</w:t>
      </w:r>
    </w:p>
    <w:p w:rsidR="00322A77" w:rsidRPr="00515A4C" w:rsidRDefault="00322A77">
      <w:r w:rsidRPr="00515A4C">
        <w:t>Riksdagen begär att regeringen lägger fram förslag till ändring i lagen (1989:253) om allmänna helgdagar som innebär att den 8 mars blir allmän helgdag.</w:t>
      </w:r>
    </w:p>
    <w:p w:rsidR="00322A77" w:rsidRPr="00515A4C" w:rsidRDefault="00322A77">
      <w:pPr>
        <w:pStyle w:val="Motioner"/>
      </w:pPr>
      <w:r w:rsidRPr="00515A4C">
        <w:t>2002/03:K275 av Mats Einarsson m.fl. (v):</w:t>
      </w:r>
    </w:p>
    <w:p w:rsidR="00322A77" w:rsidRPr="00515A4C" w:rsidRDefault="00322A77">
      <w:r w:rsidRPr="00515A4C">
        <w:t>Riksdagen beslutar att 2 kap. 15 § RF ges följande lydelse: ”Lag eller annan föreskrift får ej innebära att någon missgynnas därför att han eller hon med hänsyn till ras, hudfärg, etniskt ursprung eller sexuell läggning tillhör en minoritet.”</w:t>
      </w:r>
    </w:p>
    <w:p w:rsidR="00322A77" w:rsidRPr="00515A4C" w:rsidRDefault="00322A77">
      <w:pPr>
        <w:pStyle w:val="Motioner"/>
      </w:pPr>
      <w:r w:rsidRPr="00515A4C">
        <w:t>2002/03:K277 av Martin Andreasson (fp):</w:t>
      </w:r>
    </w:p>
    <w:p w:rsidR="00322A77" w:rsidRPr="00515A4C" w:rsidRDefault="00322A77">
      <w:pPr>
        <w:pStyle w:val="Motioner"/>
        <w:spacing w:before="63"/>
        <w:jc w:val="both"/>
        <w:rPr>
          <w:i w:val="0"/>
        </w:rPr>
      </w:pPr>
      <w:r w:rsidRPr="00515A4C">
        <w:rPr>
          <w:i w:val="0"/>
        </w:rPr>
        <w:t>1. Riksdagen tillkännager för regeringen som sin mening vad i motionen anförs om förvaltningsområdet för samiska.</w:t>
      </w:r>
    </w:p>
    <w:p w:rsidR="00322A77" w:rsidRPr="00515A4C" w:rsidRDefault="00322A77">
      <w:r w:rsidRPr="00515A4C">
        <w:t>2. Riksdagen tillkännager för regeringen som sin mening vad i motionen anförs om förvaltning</w:t>
      </w:r>
      <w:r w:rsidRPr="00515A4C">
        <w:t>s</w:t>
      </w:r>
      <w:r w:rsidRPr="00515A4C">
        <w:t>området för finska.</w:t>
      </w:r>
    </w:p>
    <w:p w:rsidR="00322A77" w:rsidRPr="00515A4C" w:rsidRDefault="00322A77">
      <w:r w:rsidRPr="00515A4C">
        <w:t>3. Riksdagen tillkännager för regeringen som sin mening vad i motionen anförs om sverigefinlä</w:t>
      </w:r>
      <w:r w:rsidRPr="00515A4C">
        <w:t>n</w:t>
      </w:r>
      <w:r w:rsidRPr="00515A4C">
        <w:t>dare som nationell minoritet.</w:t>
      </w:r>
    </w:p>
    <w:p w:rsidR="00322A77" w:rsidRPr="00515A4C" w:rsidRDefault="00322A77">
      <w:pPr>
        <w:pStyle w:val="Motioner"/>
      </w:pPr>
      <w:r w:rsidRPr="00515A4C">
        <w:t>2002/03:280 av Henrik S Järrel (m):</w:t>
      </w:r>
    </w:p>
    <w:p w:rsidR="00322A77" w:rsidRPr="00515A4C" w:rsidRDefault="00322A77">
      <w:r w:rsidRPr="00515A4C">
        <w:t>Riksdagen tillkännager för regeringen som sin mening vad i motionen anförs om inrättande av ett MR-ämbete, som bl.a. skulle överta de nuvarande o</w:t>
      </w:r>
      <w:r w:rsidRPr="00515A4C">
        <w:t>m</w:t>
      </w:r>
      <w:r w:rsidRPr="00515A4C">
        <w:t>budsmann</w:t>
      </w:r>
      <w:r w:rsidRPr="00515A4C">
        <w:t>a</w:t>
      </w:r>
      <w:r w:rsidRPr="00515A4C">
        <w:t>myndigheternas roll och uppgifter samt sortera under riksdagen.</w:t>
      </w:r>
    </w:p>
    <w:p w:rsidR="00322A77" w:rsidRPr="00515A4C" w:rsidRDefault="00322A77">
      <w:pPr>
        <w:pStyle w:val="Motioner"/>
      </w:pPr>
      <w:r w:rsidRPr="00515A4C">
        <w:t>2002/03: K294 av Erling Wälivaara (kd):</w:t>
      </w:r>
    </w:p>
    <w:p w:rsidR="00322A77" w:rsidRPr="00515A4C" w:rsidRDefault="00322A77">
      <w:r w:rsidRPr="00515A4C">
        <w:t>Riksdagen tillkännager för regeringen som sin mening vad i motionen anförs om att stegvis fortsätta reformarbetet med att stärka minoritetsspråkens stäl</w:t>
      </w:r>
      <w:r w:rsidRPr="00515A4C">
        <w:t>l</w:t>
      </w:r>
      <w:r w:rsidRPr="00515A4C">
        <w:t>ning i hela la</w:t>
      </w:r>
      <w:r w:rsidRPr="00515A4C">
        <w:t>n</w:t>
      </w:r>
      <w:r w:rsidRPr="00515A4C">
        <w:t>det.</w:t>
      </w:r>
    </w:p>
    <w:p w:rsidR="00322A77" w:rsidRPr="00515A4C" w:rsidRDefault="00322A77">
      <w:pPr>
        <w:pStyle w:val="Motioner"/>
      </w:pPr>
      <w:r w:rsidRPr="00515A4C">
        <w:t>2002/03:K307 av Hillevi Larsson (s):</w:t>
      </w:r>
    </w:p>
    <w:p w:rsidR="00322A77" w:rsidRPr="00515A4C" w:rsidRDefault="00322A77">
      <w:r w:rsidRPr="00515A4C">
        <w:t>1. Riksdagen tillkännager för regeringen som sin mening vad i motionen anförs om att lagrummet i grundlagen som förbjuder diskriminering på grund av trosuppfattning bör ses över så att även sekulära livsåskådningar innefa</w:t>
      </w:r>
      <w:r w:rsidRPr="00515A4C">
        <w:t>t</w:t>
      </w:r>
      <w:r w:rsidRPr="00515A4C">
        <w:t>tas, exempelvis veganism.</w:t>
      </w:r>
    </w:p>
    <w:p w:rsidR="00322A77" w:rsidRPr="00515A4C" w:rsidRDefault="00322A77">
      <w:pPr>
        <w:pStyle w:val="Motioner"/>
      </w:pPr>
      <w:r w:rsidRPr="00515A4C">
        <w:t>2002/03:K310 av Gabriel Romanus m.fl. (fp, s, v, c, mp):</w:t>
      </w:r>
    </w:p>
    <w:p w:rsidR="00322A77" w:rsidRPr="00515A4C" w:rsidRDefault="00322A77">
      <w:r w:rsidRPr="00515A4C">
        <w:t>1. Riksdagen tillkännager för regeringen som sin mening vad i motionen anförs om att sexuell läggning skall omfattas av 1 kap. 2 § regeringsformen om statsskickets gru</w:t>
      </w:r>
      <w:r w:rsidRPr="00515A4C">
        <w:t>n</w:t>
      </w:r>
      <w:r w:rsidRPr="00515A4C">
        <w:t>der.</w:t>
      </w:r>
    </w:p>
    <w:p w:rsidR="00322A77" w:rsidRPr="00515A4C" w:rsidRDefault="00322A77">
      <w:r w:rsidRPr="00515A4C">
        <w:t>2. Riksdagen tillkännager för regeringen som sin mening vad i motionen anförs om att föra in sexuell läggning i 2 kap. 15 § regeringsformen.</w:t>
      </w:r>
    </w:p>
    <w:p w:rsidR="00322A77" w:rsidRPr="00515A4C" w:rsidRDefault="00322A77">
      <w:pPr>
        <w:pStyle w:val="Motioner"/>
        <w:spacing w:before="63"/>
      </w:pPr>
      <w:r w:rsidRPr="00515A4C">
        <w:br w:type="page"/>
        <w:t>2002/03:K322 av Gustav Fridolin och Helena Hillar Rosenqvist (mp):</w:t>
      </w:r>
    </w:p>
    <w:p w:rsidR="00322A77" w:rsidRPr="00515A4C" w:rsidRDefault="00322A77">
      <w:r w:rsidRPr="00515A4C">
        <w:t>Riksdagen tillkännager för regeringen som sin mening vad som i motionen anförs om ett förbud mot rasistiska organisationer.</w:t>
      </w:r>
    </w:p>
    <w:p w:rsidR="00322A77" w:rsidRPr="00515A4C" w:rsidRDefault="00322A77">
      <w:pPr>
        <w:pStyle w:val="Motioner"/>
      </w:pPr>
      <w:r w:rsidRPr="00515A4C">
        <w:t>2002/03:K323 av Åsa Torstensson och Eskil E</w:t>
      </w:r>
      <w:r w:rsidRPr="00515A4C">
        <w:t>r</w:t>
      </w:r>
      <w:r w:rsidRPr="00515A4C">
        <w:t>landsson (c):</w:t>
      </w:r>
    </w:p>
    <w:p w:rsidR="00322A77" w:rsidRPr="00515A4C" w:rsidRDefault="00322A77">
      <w:r w:rsidRPr="00515A4C">
        <w:t>Riksdagen tillkännager för regeringen som sin mening vad i motionen anförs om att stärka äganderätten med tydliga ersättningsregler vid inskränkning av nyttjanderätten.</w:t>
      </w:r>
    </w:p>
    <w:p w:rsidR="00322A77" w:rsidRPr="00515A4C" w:rsidRDefault="00322A77">
      <w:pPr>
        <w:pStyle w:val="Motioner"/>
      </w:pPr>
      <w:r w:rsidRPr="00515A4C">
        <w:t>2002/03:K324 Paavo Vallius (s):</w:t>
      </w:r>
    </w:p>
    <w:p w:rsidR="00322A77" w:rsidRPr="00515A4C" w:rsidRDefault="00322A77">
      <w:r w:rsidRPr="00515A4C">
        <w:t>Riksdagen tillkännager för regeringen som sin mening vad i motionen anförs om att se över förvaltningsområdet för finska språket.</w:t>
      </w:r>
    </w:p>
    <w:p w:rsidR="00322A77" w:rsidRPr="00515A4C" w:rsidRDefault="00322A77">
      <w:pPr>
        <w:pStyle w:val="Motioner"/>
      </w:pPr>
      <w:r w:rsidRPr="00515A4C">
        <w:t>2002/03:K339 av Karin Svensson Smith m.fl. (v):</w:t>
      </w:r>
    </w:p>
    <w:p w:rsidR="00322A77" w:rsidRPr="00515A4C" w:rsidRDefault="00322A77">
      <w:r w:rsidRPr="00515A4C">
        <w:t>1. Riksdagen tillkännager för regeringen som sin mening vad i motionen anförs om upprättelse för dem som under andra världskriget placerades i interne</w:t>
      </w:r>
      <w:r w:rsidRPr="00515A4C">
        <w:t>r</w:t>
      </w:r>
      <w:r w:rsidRPr="00515A4C">
        <w:t>ingsläger.</w:t>
      </w:r>
    </w:p>
    <w:p w:rsidR="00322A77" w:rsidRPr="00515A4C" w:rsidRDefault="00322A77">
      <w:r w:rsidRPr="00515A4C">
        <w:t>2. Riksdagen tillkännager för regeringen som sin mening vad i motionen anförs om behovet av ett fullt klargörande kring interneringslägren under andra världskriget, vilket motivet var för deras upprättande, på vems initiativ de tillkom samt om de kriterier som avgjorde vem som placerades där.</w:t>
      </w:r>
    </w:p>
    <w:p w:rsidR="00322A77" w:rsidRPr="00515A4C" w:rsidRDefault="00322A77">
      <w:pPr>
        <w:pStyle w:val="Motioner"/>
      </w:pPr>
      <w:r w:rsidRPr="00515A4C">
        <w:t>2002/03:K342 av Sven-Erik Sjöstrand och Kjell-Erik Karlsson (v):</w:t>
      </w:r>
    </w:p>
    <w:p w:rsidR="00322A77" w:rsidRPr="00515A4C" w:rsidRDefault="00322A77">
      <w:r w:rsidRPr="00515A4C">
        <w:t>Riksdagen tillkännager för regeringen som sin mening vad i motionen anförs om att människoapor skall ges vissa grundläggande rättigheter som hittills endast varit rese</w:t>
      </w:r>
      <w:r w:rsidRPr="00515A4C">
        <w:t>r</w:t>
      </w:r>
      <w:r w:rsidRPr="00515A4C">
        <w:t>verade för människor.</w:t>
      </w:r>
    </w:p>
    <w:p w:rsidR="00322A77" w:rsidRPr="00515A4C" w:rsidRDefault="00322A77">
      <w:pPr>
        <w:pStyle w:val="Motioner"/>
      </w:pPr>
      <w:r w:rsidRPr="00515A4C">
        <w:t>2002/03:K361 av Ingvar Svensson m.fl. (kd):</w:t>
      </w:r>
    </w:p>
    <w:p w:rsidR="00322A77" w:rsidRPr="00515A4C" w:rsidRDefault="00322A77">
      <w:r w:rsidRPr="00515A4C">
        <w:t>Riksdagen tillkännager för regeringen som sin mening vad i motionen anförs om behovet av en värdekommission för att stimulera en bred offentlig debatt om männ</w:t>
      </w:r>
      <w:r w:rsidRPr="00515A4C">
        <w:t>i</w:t>
      </w:r>
      <w:r w:rsidRPr="00515A4C">
        <w:t>skovärdet och de mänskliga fri- och rättigheterna.</w:t>
      </w:r>
    </w:p>
    <w:p w:rsidR="00322A77" w:rsidRPr="00515A4C" w:rsidRDefault="00322A77">
      <w:pPr>
        <w:pStyle w:val="Motioner"/>
      </w:pPr>
      <w:r w:rsidRPr="00515A4C">
        <w:t>2002/03:K366 av Paavo Vallius (s):</w:t>
      </w:r>
    </w:p>
    <w:p w:rsidR="00322A77" w:rsidRPr="00515A4C" w:rsidRDefault="00322A77">
      <w:r w:rsidRPr="00515A4C">
        <w:t>Riksdagen tillkännager för regeringen som sin mening vad i motionen anförs om en minoritetsombudsman.</w:t>
      </w:r>
    </w:p>
    <w:p w:rsidR="00322A77" w:rsidRPr="00515A4C" w:rsidRDefault="00322A77">
      <w:pPr>
        <w:pStyle w:val="Motioner"/>
      </w:pPr>
      <w:r w:rsidRPr="00515A4C">
        <w:t>2002/03:K375 av Ingvar Svensson m.fl. (kd):</w:t>
      </w:r>
    </w:p>
    <w:p w:rsidR="00322A77" w:rsidRPr="00515A4C" w:rsidRDefault="00322A77">
      <w:r w:rsidRPr="00515A4C">
        <w:t>Riksdagen begär att regeringen tillsätter en utredning med anledning av vad i moti</w:t>
      </w:r>
      <w:r w:rsidRPr="00515A4C">
        <w:t>o</w:t>
      </w:r>
      <w:r w:rsidRPr="00515A4C">
        <w:t>nen anförs om förstärkta mänskliga fri- och rättigheter.</w:t>
      </w:r>
    </w:p>
    <w:p w:rsidR="00322A77" w:rsidRPr="00515A4C" w:rsidRDefault="00322A77">
      <w:pPr>
        <w:pStyle w:val="Motioner"/>
      </w:pPr>
      <w:r w:rsidRPr="00515A4C">
        <w:t>2002/03:K379 av Bo Lundgren m.fl. (m):</w:t>
      </w:r>
    </w:p>
    <w:p w:rsidR="00322A77" w:rsidRPr="00515A4C" w:rsidRDefault="00322A77">
      <w:r w:rsidRPr="00515A4C">
        <w:t>7. Riksdagen tillkännager för regeringen som sin mening vad i motionen anförs om grundlagens skydd mot rättighetsinskränkande lagstiftning.</w:t>
      </w:r>
    </w:p>
    <w:p w:rsidR="00322A77" w:rsidRPr="00515A4C" w:rsidRDefault="00322A77">
      <w:r w:rsidRPr="00515A4C">
        <w:t>8. Riksdagen tillkännager för regeringen som sin mening vad i motionen anförs om minoritetsskyddet.</w:t>
      </w:r>
    </w:p>
    <w:p w:rsidR="00322A77" w:rsidRPr="00515A4C" w:rsidRDefault="00322A77">
      <w:r w:rsidRPr="00515A4C">
        <w:t>10. Riksdagen tillkännager för regeringen som sin mening vad i motionen anförs om förhållandet mellan Europakonventionen och regeringsformen.</w:t>
      </w:r>
    </w:p>
    <w:p w:rsidR="00322A77" w:rsidRPr="00515A4C" w:rsidRDefault="00322A77">
      <w:r w:rsidRPr="00515A4C">
        <w:t>12. Riksdagen begär att regeringen lägger fram förslag om ändring av rege</w:t>
      </w:r>
      <w:r w:rsidRPr="00515A4C">
        <w:t>r</w:t>
      </w:r>
      <w:r w:rsidRPr="00515A4C">
        <w:t>ingsformens skydd för äganderätten så att detta står i samklang med Europ</w:t>
      </w:r>
      <w:r w:rsidRPr="00515A4C">
        <w:t>a</w:t>
      </w:r>
      <w:r w:rsidRPr="00515A4C">
        <w:t>konventionen i enlighet med vad som anförs i motionen.</w:t>
      </w:r>
    </w:p>
    <w:p w:rsidR="00322A77" w:rsidRPr="00515A4C" w:rsidRDefault="00322A77">
      <w:r w:rsidRPr="00515A4C">
        <w:t>13. Riksdagen begär att regeringen lägger fram förslag om ändring av rege</w:t>
      </w:r>
      <w:r w:rsidRPr="00515A4C">
        <w:t>r</w:t>
      </w:r>
      <w:r w:rsidRPr="00515A4C">
        <w:t>ingsformen vad gäller den negativa föreningsfriheten i enlighet med vad som anförs i moti</w:t>
      </w:r>
      <w:r w:rsidRPr="00515A4C">
        <w:t>o</w:t>
      </w:r>
      <w:r w:rsidRPr="00515A4C">
        <w:t>nen.</w:t>
      </w:r>
    </w:p>
    <w:p w:rsidR="00322A77" w:rsidRPr="00515A4C" w:rsidRDefault="00322A77">
      <w:pPr>
        <w:pStyle w:val="Motioner"/>
      </w:pPr>
      <w:r w:rsidRPr="00515A4C">
        <w:t>2002/03:K384 av Carl B Hamilton m.fl. (fp, mp):</w:t>
      </w:r>
    </w:p>
    <w:p w:rsidR="00322A77" w:rsidRPr="00515A4C" w:rsidRDefault="00322A77">
      <w:r w:rsidRPr="00515A4C">
        <w:t>1. Riksdagen beslutar i enlighet med vad i motionen anförs om en lag mot att fackligt anslutna, direkt eller indirekt, mot sin vilja skall behöva bidra till politiska partier.</w:t>
      </w:r>
    </w:p>
    <w:p w:rsidR="00322A77" w:rsidRPr="00515A4C" w:rsidRDefault="00322A77">
      <w:r w:rsidRPr="00515A4C">
        <w:t>2. Riksdagen beslutar i enlighet med vad i motionen anförs om lag som sky</w:t>
      </w:r>
      <w:r w:rsidRPr="00515A4C">
        <w:t>d</w:t>
      </w:r>
      <w:r w:rsidRPr="00515A4C">
        <w:t>dar särskilt fackligt anslutnas rätt att inte behöva avslöja sin partisympati för att undgå att ge bidrag till politiskt parti.</w:t>
      </w:r>
    </w:p>
    <w:p w:rsidR="00322A77" w:rsidRPr="00515A4C" w:rsidRDefault="00322A77">
      <w:r w:rsidRPr="00515A4C">
        <w:t>3. Riksdagen tillkännager för regeringen som sin mening vad som i motionen anförs om fackligt anslutnas rätt att slippa ge partibidrag utan aktiv handling.</w:t>
      </w:r>
    </w:p>
    <w:p w:rsidR="00322A77" w:rsidRPr="00515A4C" w:rsidRDefault="00322A77">
      <w:r w:rsidRPr="00515A4C">
        <w:t>4. Riksdagen tillkännager för regeringen som sin mening vad som i motionen anförs om fackligt anslutnas rätt att inte behöva avslöja sin partisympati för att undgå att genom sin fackliga organisation ge bidrag till politiskt parti.</w:t>
      </w:r>
    </w:p>
    <w:p w:rsidR="00322A77" w:rsidRPr="00515A4C" w:rsidRDefault="00322A77">
      <w:pPr>
        <w:pStyle w:val="Motioner"/>
      </w:pPr>
      <w:r w:rsidRPr="00515A4C">
        <w:t>2002/03:K385 av Helena Bargholtz m.fl. (fp):</w:t>
      </w:r>
    </w:p>
    <w:p w:rsidR="00322A77" w:rsidRPr="00515A4C" w:rsidRDefault="00322A77">
      <w:r w:rsidRPr="00515A4C">
        <w:t>10. Riksdagen tillkännager för regeringen som sin mening vad i motionen anförs om att ta itu med det politiska våldet.</w:t>
      </w:r>
    </w:p>
    <w:p w:rsidR="00322A77" w:rsidRPr="00515A4C" w:rsidRDefault="00322A77">
      <w:pPr>
        <w:pStyle w:val="Motioner"/>
      </w:pPr>
      <w:r w:rsidRPr="00515A4C">
        <w:t>2002/03:K386 av Henrik von Sydow (m):</w:t>
      </w:r>
    </w:p>
    <w:p w:rsidR="00322A77" w:rsidRPr="00515A4C" w:rsidRDefault="00322A77">
      <w:r w:rsidRPr="00515A4C">
        <w:t>Riksdagen tillkännager för regeringen som sin mening vad i motionen anförs om att stärka de mänskliga rättigheternas genomslag i Sverige.</w:t>
      </w:r>
    </w:p>
    <w:p w:rsidR="00322A77" w:rsidRPr="00515A4C" w:rsidRDefault="00322A77">
      <w:pPr>
        <w:pStyle w:val="Motioner"/>
      </w:pPr>
      <w:r w:rsidRPr="00515A4C">
        <w:t>2002/03:K391 av Elina Linna m.fl. (v, kd):</w:t>
      </w:r>
    </w:p>
    <w:p w:rsidR="00322A77" w:rsidRPr="00515A4C" w:rsidRDefault="00322A77">
      <w:r w:rsidRPr="00515A4C">
        <w:t>Riksdagen tillkännager för regeringen som sin mening att det i uppföljningen av lagen (1999:1175/1176) om rätt att använda samiska, finska och meänkieli hos förvaltningsmyndigheter och domstolar görs en översyn av begränsnin</w:t>
      </w:r>
      <w:r w:rsidRPr="00515A4C">
        <w:t>g</w:t>
      </w:r>
      <w:r w:rsidRPr="00515A4C">
        <w:t>arna i förvaltning</w:t>
      </w:r>
      <w:r w:rsidRPr="00515A4C">
        <w:t>s</w:t>
      </w:r>
      <w:r w:rsidRPr="00515A4C">
        <w:t>områdena enligt vad i motionen anförs.</w:t>
      </w:r>
    </w:p>
    <w:p w:rsidR="00322A77" w:rsidRPr="00515A4C" w:rsidRDefault="00322A77">
      <w:pPr>
        <w:pStyle w:val="Motioner"/>
      </w:pPr>
      <w:r w:rsidRPr="00515A4C">
        <w:t>2002/03:K394 av Åsa Domeij (mp):</w:t>
      </w:r>
    </w:p>
    <w:p w:rsidR="00322A77" w:rsidRPr="00515A4C" w:rsidRDefault="00322A77">
      <w:r w:rsidRPr="00515A4C">
        <w:t>Riksdagen tillkännager för regeringen som sin mening vad i motionen anförs om att lägga fram förslag till en svensk anslutning till ILO:s konvention 169 om ursprung</w:t>
      </w:r>
      <w:r w:rsidRPr="00515A4C">
        <w:t>s</w:t>
      </w:r>
      <w:r w:rsidRPr="00515A4C">
        <w:t>folks rättigheter.</w:t>
      </w:r>
    </w:p>
    <w:p w:rsidR="00322A77" w:rsidRPr="00515A4C" w:rsidRDefault="00322A77">
      <w:pPr>
        <w:pStyle w:val="Motioner"/>
      </w:pPr>
      <w:r w:rsidRPr="00515A4C">
        <w:t>2002/03:K395 av Gustav Fridolin (mp):</w:t>
      </w:r>
    </w:p>
    <w:p w:rsidR="00322A77" w:rsidRPr="00515A4C" w:rsidRDefault="00322A77">
      <w:r w:rsidRPr="00515A4C">
        <w:t>Riksdagen begär att regeringen lämnar förslag på lagstiftning för att förbjuda ålder</w:t>
      </w:r>
      <w:r w:rsidRPr="00515A4C">
        <w:t>s</w:t>
      </w:r>
      <w:r w:rsidRPr="00515A4C">
        <w:t>diskriminering.</w:t>
      </w:r>
    </w:p>
    <w:p w:rsidR="00322A77" w:rsidRPr="00515A4C" w:rsidRDefault="00322A77">
      <w:pPr>
        <w:pStyle w:val="Motioner"/>
      </w:pPr>
      <w:r w:rsidRPr="00515A4C">
        <w:t>2002/03:K408 av Krister Örnfjäder (s):</w:t>
      </w:r>
    </w:p>
    <w:p w:rsidR="00322A77" w:rsidRPr="00515A4C" w:rsidRDefault="00322A77">
      <w:r w:rsidRPr="00515A4C">
        <w:t>Riksdagen tillkännager för regeringen som sin mening vad i motionen anförs om lagändring i grundlagen för att kunna återkalla medborgarskap som givits på felaktig grund.</w:t>
      </w:r>
    </w:p>
    <w:p w:rsidR="00322A77" w:rsidRPr="00515A4C" w:rsidRDefault="00322A77">
      <w:pPr>
        <w:pStyle w:val="Motioner"/>
      </w:pPr>
      <w:r w:rsidRPr="00515A4C">
        <w:t>2002/03:K420 av Paavo Vallius m.fl. (s):</w:t>
      </w:r>
    </w:p>
    <w:p w:rsidR="00322A77" w:rsidRPr="00515A4C" w:rsidRDefault="00322A77">
      <w:r w:rsidRPr="00515A4C">
        <w:t>Riksdagen tillkännager för regeringen som sin mening vad i motionen anförs om äldreomsorg för den finsktalande minoritetsgruppen.</w:t>
      </w:r>
    </w:p>
    <w:p w:rsidR="00322A77" w:rsidRPr="00515A4C" w:rsidRDefault="00322A77">
      <w:pPr>
        <w:pStyle w:val="Motioner"/>
      </w:pPr>
      <w:r w:rsidRPr="00515A4C">
        <w:t>2002/03:K421 av Paavo Vallius m.fl. (s):</w:t>
      </w:r>
    </w:p>
    <w:p w:rsidR="00322A77" w:rsidRPr="00515A4C" w:rsidRDefault="00322A77">
      <w:r w:rsidRPr="00515A4C">
        <w:t>Riksdagen tillkännager för regeringen som sin mening vad i motionen anförs om de nationella minoriteternas möjligheter till inflytande och samråd i frågor som berör dem.</w:t>
      </w:r>
    </w:p>
    <w:p w:rsidR="00322A77" w:rsidRPr="00515A4C" w:rsidRDefault="00322A77">
      <w:pPr>
        <w:pStyle w:val="Motioner"/>
      </w:pPr>
      <w:r w:rsidRPr="00515A4C">
        <w:t>2002/03:Ju364 av Lars Leijonborg m.fl. (fp):</w:t>
      </w:r>
    </w:p>
    <w:p w:rsidR="00322A77" w:rsidRPr="00515A4C" w:rsidRDefault="00322A77">
      <w:r w:rsidRPr="00515A4C">
        <w:t>23. Riksdagen tillkännager för regeringen som sin mening vad i motionen anförs om det svenska ombudsmannasystemet.</w:t>
      </w:r>
    </w:p>
    <w:p w:rsidR="00322A77" w:rsidRPr="00515A4C" w:rsidRDefault="00322A77">
      <w:pPr>
        <w:pStyle w:val="Motioner"/>
      </w:pPr>
      <w:r w:rsidRPr="00515A4C">
        <w:t>2002/03:L249 av Lars Leijonborg m.fl. (fp):</w:t>
      </w:r>
    </w:p>
    <w:p w:rsidR="00322A77" w:rsidRPr="00515A4C" w:rsidRDefault="00322A77">
      <w:r w:rsidRPr="00515A4C">
        <w:t>8. Riksdagen tillkännager för regeringen som sin mening vad i motionen anförs om bestämmelsen i regeringsformens 2 kap. om diskriminerande la</w:t>
      </w:r>
      <w:r w:rsidRPr="00515A4C">
        <w:t>g</w:t>
      </w:r>
      <w:r w:rsidRPr="00515A4C">
        <w:t>stiftning.</w:t>
      </w:r>
    </w:p>
    <w:p w:rsidR="00322A77" w:rsidRPr="00515A4C" w:rsidRDefault="00322A77">
      <w:pPr>
        <w:pStyle w:val="Motioner"/>
      </w:pPr>
      <w:r w:rsidRPr="00515A4C">
        <w:t>2002/03:Sf289 av Peter Eriksson m.fl. (mp):</w:t>
      </w:r>
    </w:p>
    <w:p w:rsidR="00322A77" w:rsidRPr="00515A4C" w:rsidRDefault="00322A77">
      <w:r w:rsidRPr="00515A4C">
        <w:t>6. Riksdagen tillkännager för regeringen som sin mening vad i motionen anförs om att slå ihop lagarna om olika former av diskriminering till en gemensam antidiskrimin</w:t>
      </w:r>
      <w:r w:rsidRPr="00515A4C">
        <w:t>e</w:t>
      </w:r>
      <w:r w:rsidRPr="00515A4C">
        <w:t>ringslag baserad på mänskliga rättigheter.</w:t>
      </w:r>
    </w:p>
    <w:p w:rsidR="00322A77" w:rsidRPr="00515A4C" w:rsidRDefault="00322A77">
      <w:pPr>
        <w:pStyle w:val="Motioner"/>
      </w:pPr>
      <w:r w:rsidRPr="00515A4C">
        <w:t>2002/03:Sf334 av Sven Brus m.fl. (kd):</w:t>
      </w:r>
    </w:p>
    <w:p w:rsidR="00322A77" w:rsidRPr="00515A4C" w:rsidRDefault="00322A77">
      <w:r w:rsidRPr="00515A4C">
        <w:t>43. Riksdagen beslutar att Ombudsmannen mot etnisk diskriminering ges särskilt ansvar för opinionsbildning mot diskriminering, främlingsfientlighet och rasism och att DO skall vara en myndighet underställd riksdagen, i enli</w:t>
      </w:r>
      <w:r w:rsidRPr="00515A4C">
        <w:t>g</w:t>
      </w:r>
      <w:r w:rsidRPr="00515A4C">
        <w:t>het med vad som anförs i motionen.</w:t>
      </w:r>
    </w:p>
    <w:p w:rsidR="00322A77" w:rsidRPr="00515A4C" w:rsidRDefault="00322A77">
      <w:pPr>
        <w:pStyle w:val="Motioner"/>
      </w:pPr>
      <w:r w:rsidRPr="00515A4C">
        <w:t>2002/03:So444 av Kenneth Johansson m.fl. (c):</w:t>
      </w:r>
    </w:p>
    <w:p w:rsidR="00322A77" w:rsidRPr="00515A4C" w:rsidRDefault="00322A77">
      <w:r w:rsidRPr="00515A4C">
        <w:t>3. Riksdagen tillkännager för regeringen som sin mening vad i motionen anförs om att vidta åtgärder för att förhindra åldersdiskriminering.</w:t>
      </w:r>
    </w:p>
    <w:p w:rsidR="00322A77" w:rsidRPr="00515A4C" w:rsidRDefault="00322A77">
      <w:pPr>
        <w:pStyle w:val="Motioner"/>
      </w:pPr>
      <w:r w:rsidRPr="00515A4C">
        <w:t>2002/03:So512 av Martin Andreasson m.fl. (fp, s, v, c, mp):</w:t>
      </w:r>
    </w:p>
    <w:p w:rsidR="00322A77" w:rsidRPr="00515A4C" w:rsidRDefault="00322A77">
      <w:r w:rsidRPr="00515A4C">
        <w:t>5. Riksdagen tillkännager för regeringen som sin mening vad i motionen anförs om att göra en översyn av förekomsten av återstående diskriminering i lagstiftningen mot homosexuella, bisexuella och transpersoner.</w:t>
      </w:r>
    </w:p>
    <w:p w:rsidR="00322A77" w:rsidRPr="00515A4C" w:rsidRDefault="00322A77">
      <w:pPr>
        <w:pStyle w:val="Normaltindrag"/>
      </w:pPr>
    </w:p>
    <w:p w:rsidR="00322A77" w:rsidRPr="00515A4C" w:rsidRDefault="00322A77">
      <w:pPr>
        <w:pStyle w:val="Normaltindrag"/>
      </w:pPr>
    </w:p>
    <w:p w:rsidR="00322A77" w:rsidRPr="00515A4C" w:rsidRDefault="00322A77">
      <w:pPr>
        <w:pStyle w:val="Motioner"/>
      </w:pPr>
      <w:r w:rsidRPr="00515A4C">
        <w:t>2002/03:Ub495 av Per Landgren och Tuve Skå</w:t>
      </w:r>
      <w:r w:rsidRPr="00515A4C">
        <w:t>n</w:t>
      </w:r>
      <w:r w:rsidRPr="00515A4C">
        <w:t>berg (kd):</w:t>
      </w:r>
    </w:p>
    <w:p w:rsidR="00322A77" w:rsidRPr="00515A4C" w:rsidRDefault="00322A77">
      <w:r w:rsidRPr="00515A4C">
        <w:t>1. Riksdagen tillkännager för regeringen som sin mening vad i motionen anförs om att införliva samvetsfriheten i rättighetskatalogen i Sveriges grundlag.</w:t>
      </w:r>
    </w:p>
    <w:p w:rsidR="00322A77" w:rsidRPr="00515A4C" w:rsidRDefault="00322A77">
      <w:pPr>
        <w:pStyle w:val="Motioner"/>
      </w:pPr>
      <w:r w:rsidRPr="00515A4C">
        <w:t>2002/03:Ub556 av Tasso Stafilidis (v):</w:t>
      </w:r>
    </w:p>
    <w:p w:rsidR="00322A77" w:rsidRPr="00515A4C" w:rsidRDefault="00322A77">
      <w:r w:rsidRPr="00515A4C">
        <w:t>6. Riksdagen tillkännager för regeringen som sin mening vad i motionen anförs om att vidta åtgärder för att motverka rådande heteronormativitet och att minoriteter utsätts för diskriminering och utanförskap.</w:t>
      </w:r>
    </w:p>
    <w:p w:rsidR="00322A77" w:rsidRPr="00515A4C" w:rsidRDefault="00322A77">
      <w:pPr>
        <w:pStyle w:val="Motioner"/>
      </w:pPr>
      <w:r w:rsidRPr="00515A4C">
        <w:t>2002/03:A213 av Sven Brus och Kenneth Lantz (kd):</w:t>
      </w:r>
    </w:p>
    <w:p w:rsidR="00322A77" w:rsidRPr="00515A4C" w:rsidRDefault="00322A77">
      <w:r w:rsidRPr="00515A4C">
        <w:t>2. Riksdagen tillkännager för regeringen som sin mening vad i motionen anförs om ett samlat ombudsmannaverk.</w:t>
      </w:r>
    </w:p>
    <w:p w:rsidR="00322A77" w:rsidRPr="00515A4C" w:rsidRDefault="00322A77"/>
    <w:p w:rsidR="00322A77" w:rsidRPr="00515A4C" w:rsidRDefault="00322A77">
      <w:pPr>
        <w:pStyle w:val="Normaltindrag"/>
        <w:sectPr w:rsidR="00000000" w:rsidRPr="00515A4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22A77" w:rsidRPr="00515A4C" w:rsidRDefault="00322A77">
      <w:pPr>
        <w:pStyle w:val="Bilaga"/>
        <w:outlineLvl w:val="0"/>
      </w:pPr>
      <w:r w:rsidRPr="00515A4C">
        <w:t>Bilaga 2</w:t>
      </w:r>
    </w:p>
    <w:p w:rsidR="00322A77" w:rsidRPr="00515A4C" w:rsidRDefault="00322A77">
      <w:pPr>
        <w:pStyle w:val="Rubrik1"/>
        <w:rPr>
          <w:noProof w:val="0"/>
        </w:rPr>
      </w:pPr>
      <w:bookmarkStart w:id="158" w:name="_Toc34039254"/>
      <w:r w:rsidRPr="00515A4C">
        <w:rPr>
          <w:noProof w:val="0"/>
        </w:rPr>
        <w:t>Reservanternas lagförslag (reservation 8)</w:t>
      </w:r>
      <w:bookmarkEnd w:id="158"/>
    </w:p>
    <w:p w:rsidR="00322A77" w:rsidRPr="00515A4C" w:rsidRDefault="00322A77">
      <w:pPr>
        <w:pStyle w:val="Rubrik2"/>
        <w:spacing w:before="0"/>
      </w:pPr>
      <w:bookmarkStart w:id="159" w:name="_Toc34039255"/>
      <w:r w:rsidRPr="00515A4C">
        <w:t>Förslag till lag om ändring i regeringsformen</w:t>
      </w:r>
      <w:bookmarkEnd w:id="159"/>
    </w:p>
    <w:p w:rsidR="00322A77" w:rsidRPr="00515A4C" w:rsidRDefault="00322A77">
      <w:pPr>
        <w:pStyle w:val="Normaltindrag"/>
      </w:pPr>
      <w:r w:rsidRPr="00515A4C">
        <w:t>Härmed föreskrivs att 2 kap. 15 § regeringsformen skall ha följande lyde</w:t>
      </w:r>
      <w:r w:rsidRPr="00515A4C">
        <w:t>l</w:t>
      </w:r>
      <w:r w:rsidRPr="00515A4C">
        <w:t>se:</w:t>
      </w:r>
    </w:p>
    <w:p w:rsidR="00322A77" w:rsidRPr="00515A4C" w:rsidRDefault="00322A7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515A4C">
        <w:tblPrEx>
          <w:tblCellMar>
            <w:top w:w="0" w:type="dxa"/>
            <w:bottom w:w="0" w:type="dxa"/>
          </w:tblCellMar>
        </w:tblPrEx>
        <w:trPr>
          <w:tblHeader/>
        </w:trPr>
        <w:tc>
          <w:tcPr>
            <w:tcW w:w="3090" w:type="dxa"/>
          </w:tcPr>
          <w:p w:rsidR="00322A77" w:rsidRPr="00515A4C" w:rsidRDefault="00322A77">
            <w:pPr>
              <w:pStyle w:val="LagtextRubrik"/>
            </w:pPr>
            <w:r w:rsidRPr="00515A4C">
              <w:t>Nuvarande lydelse</w:t>
            </w:r>
          </w:p>
        </w:tc>
        <w:tc>
          <w:tcPr>
            <w:tcW w:w="3090" w:type="dxa"/>
          </w:tcPr>
          <w:p w:rsidR="00322A77" w:rsidRPr="00515A4C" w:rsidRDefault="00322A77">
            <w:pPr>
              <w:pStyle w:val="LagtextRubrik"/>
            </w:pPr>
            <w:r w:rsidRPr="00515A4C">
              <w:t>Föreslagen lydelse</w:t>
            </w:r>
          </w:p>
        </w:tc>
      </w:tr>
      <w:tr w:rsidR="00000000" w:rsidRPr="00515A4C">
        <w:tblPrEx>
          <w:tblCellMar>
            <w:top w:w="0" w:type="dxa"/>
            <w:bottom w:w="0" w:type="dxa"/>
          </w:tblCellMar>
        </w:tblPrEx>
        <w:tc>
          <w:tcPr>
            <w:tcW w:w="6180" w:type="dxa"/>
            <w:gridSpan w:val="2"/>
          </w:tcPr>
          <w:p w:rsidR="00322A77" w:rsidRPr="00515A4C" w:rsidRDefault="00322A77">
            <w:pPr>
              <w:pStyle w:val="LagtextIndrag"/>
              <w:jc w:val="center"/>
              <w:rPr>
                <w:b/>
              </w:rPr>
            </w:pPr>
            <w:r w:rsidRPr="00515A4C">
              <w:rPr>
                <w:b/>
              </w:rPr>
              <w:t>2 kap.</w:t>
            </w:r>
          </w:p>
          <w:p w:rsidR="00322A77" w:rsidRPr="00515A4C" w:rsidRDefault="00322A77">
            <w:pPr>
              <w:pStyle w:val="LagtextIndrag"/>
              <w:jc w:val="center"/>
            </w:pPr>
            <w:r w:rsidRPr="00515A4C">
              <w:t>15 §</w:t>
            </w:r>
          </w:p>
        </w:tc>
      </w:tr>
      <w:tr w:rsidR="00000000" w:rsidRPr="00515A4C">
        <w:tblPrEx>
          <w:tblCellMar>
            <w:top w:w="0" w:type="dxa"/>
            <w:bottom w:w="0" w:type="dxa"/>
          </w:tblCellMar>
        </w:tblPrEx>
        <w:tc>
          <w:tcPr>
            <w:tcW w:w="3090" w:type="dxa"/>
          </w:tcPr>
          <w:p w:rsidR="00322A77" w:rsidRPr="00515A4C" w:rsidRDefault="00322A77">
            <w:pPr>
              <w:pStyle w:val="LagtextIndrag"/>
            </w:pPr>
            <w:r w:rsidRPr="00515A4C">
              <w:t>Lag eller annan föreskrift får ej i</w:t>
            </w:r>
            <w:r w:rsidRPr="00515A4C">
              <w:t>n</w:t>
            </w:r>
            <w:r w:rsidRPr="00515A4C">
              <w:t>nebära att någon medborgare mis</w:t>
            </w:r>
            <w:r w:rsidRPr="00515A4C">
              <w:t>s</w:t>
            </w:r>
            <w:r w:rsidRPr="00515A4C">
              <w:t xml:space="preserve">gynnas därför att han med hänsyn till ras, </w:t>
            </w:r>
            <w:r w:rsidRPr="00515A4C">
              <w:rPr>
                <w:i/>
              </w:rPr>
              <w:t>hudfärg</w:t>
            </w:r>
            <w:r w:rsidRPr="00515A4C">
              <w:t xml:space="preserve"> </w:t>
            </w:r>
            <w:r w:rsidRPr="00515A4C">
              <w:rPr>
                <w:i/>
              </w:rPr>
              <w:t>eller</w:t>
            </w:r>
            <w:r w:rsidRPr="00515A4C">
              <w:t xml:space="preserve"> etniskt ursprun</w:t>
            </w:r>
            <w:r w:rsidRPr="00515A4C">
              <w:rPr>
                <w:i/>
              </w:rPr>
              <w:t>g</w:t>
            </w:r>
            <w:r w:rsidRPr="00515A4C">
              <w:t xml:space="preserve"> tillhör minoritet.</w:t>
            </w:r>
          </w:p>
        </w:tc>
        <w:tc>
          <w:tcPr>
            <w:tcW w:w="3090" w:type="dxa"/>
          </w:tcPr>
          <w:p w:rsidR="00322A77" w:rsidRPr="00515A4C" w:rsidRDefault="00322A77">
            <w:pPr>
              <w:pStyle w:val="LagtextIndrag"/>
            </w:pPr>
            <w:r w:rsidRPr="00515A4C">
              <w:t>Lag eller annan föreskrift får ej i</w:t>
            </w:r>
            <w:r w:rsidRPr="00515A4C">
              <w:t>n</w:t>
            </w:r>
            <w:r w:rsidRPr="00515A4C">
              <w:t>nebära att någon medborgare mis</w:t>
            </w:r>
            <w:r w:rsidRPr="00515A4C">
              <w:t>s</w:t>
            </w:r>
            <w:r w:rsidRPr="00515A4C">
              <w:t xml:space="preserve">gynnas därför att han med hänsyn till ras, </w:t>
            </w:r>
            <w:r w:rsidRPr="00515A4C">
              <w:rPr>
                <w:i/>
              </w:rPr>
              <w:t>hudfärg,</w:t>
            </w:r>
            <w:r w:rsidRPr="00515A4C">
              <w:t xml:space="preserve"> etniskt ursprung</w:t>
            </w:r>
            <w:r w:rsidRPr="00515A4C">
              <w:rPr>
                <w:i/>
              </w:rPr>
              <w:t xml:space="preserve"> eller sexuell läggning</w:t>
            </w:r>
            <w:r w:rsidRPr="00515A4C">
              <w:t xml:space="preserve"> tillhör minoritet.</w:t>
            </w:r>
          </w:p>
        </w:tc>
      </w:tr>
    </w:tbl>
    <w:p w:rsidR="00322A77" w:rsidRPr="00515A4C" w:rsidRDefault="00322A77">
      <w:r w:rsidRPr="00515A4C">
        <w:t>____________</w:t>
      </w:r>
    </w:p>
    <w:p w:rsidR="00322A77" w:rsidRPr="00515A4C" w:rsidRDefault="00322A77">
      <w:pPr>
        <w:pStyle w:val="Normaltindrag"/>
      </w:pPr>
      <w:r w:rsidRPr="00515A4C">
        <w:t>Denna lag träder i kraft den 1 januari 2007.</w:t>
      </w:r>
    </w:p>
    <w:p w:rsidR="00322A77" w:rsidRPr="00515A4C" w:rsidRDefault="00322A77">
      <w:pPr>
        <w:pStyle w:val="Normaltindrag"/>
      </w:pPr>
    </w:p>
    <w:p w:rsidR="00322A77" w:rsidRPr="00515A4C" w:rsidRDefault="00322A77">
      <w:pPr>
        <w:pStyle w:val="Tryckort"/>
        <w:framePr w:wrap="around"/>
      </w:pPr>
      <w:r w:rsidRPr="00515A4C">
        <w:t>Elanders Gotab, Stockholm  2003</w:t>
      </w:r>
    </w:p>
    <w:p w:rsidR="00322A77" w:rsidRPr="00515A4C" w:rsidRDefault="00322A77">
      <w:pPr>
        <w:pStyle w:val="Normaltindrag"/>
      </w:pPr>
    </w:p>
    <w:sectPr w:rsidR="00322A77" w:rsidRPr="00515A4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A77" w:rsidRPr="00515A4C" w:rsidRDefault="00322A77">
      <w:pPr>
        <w:spacing w:before="0" w:line="240" w:lineRule="auto"/>
      </w:pPr>
      <w:r w:rsidRPr="00515A4C">
        <w:separator/>
      </w:r>
    </w:p>
  </w:endnote>
  <w:endnote w:type="continuationSeparator" w:id="0">
    <w:p w:rsidR="00322A77" w:rsidRPr="00515A4C" w:rsidRDefault="00322A77">
      <w:pPr>
        <w:spacing w:before="0" w:line="240" w:lineRule="auto"/>
      </w:pPr>
      <w:r w:rsidRPr="00515A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V"/>
      <w:framePr w:w="8732" w:h="284" w:hRule="exact" w:hSpace="0" w:vSpace="0" w:wrap="around" w:xAlign="inside" w:y="13042" w:anchorLock="0"/>
    </w:pP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t>2</w:t>
    </w:r>
    <w:r w:rsidRPr="00515A4C">
      <w:fldChar w:fldCharType="end"/>
    </w:r>
  </w:p>
  <w:p w:rsidR="00322A77" w:rsidRPr="00515A4C" w:rsidRDefault="00322A7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V"/>
      <w:framePr w:w="8732" w:h="284" w:hRule="exact" w:hSpace="0" w:vSpace="0" w:wrap="around" w:xAlign="inside" w:y="13042" w:anchorLock="0"/>
    </w:pP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t>78</w:t>
    </w:r>
    <w:r w:rsidRPr="00515A4C">
      <w:fldChar w:fldCharType="end"/>
    </w:r>
  </w:p>
  <w:p w:rsidR="00322A77" w:rsidRPr="00515A4C" w:rsidRDefault="00322A7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H"/>
      <w:framePr w:w="8732" w:h="284" w:hRule="exact" w:hSpace="0" w:vSpace="0" w:wrap="around" w:xAlign="inside" w:y="13042" w:anchorLock="0"/>
    </w:pP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t>79</w:t>
    </w:r>
    <w:r w:rsidRPr="00515A4C">
      <w:fldChar w:fldCharType="end"/>
    </w:r>
  </w:p>
  <w:p w:rsidR="00322A77" w:rsidRPr="00515A4C" w:rsidRDefault="00322A7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V"/>
      <w:framePr w:w="8732" w:h="284" w:hRule="exact" w:hSpace="0" w:vSpace="0" w:wrap="around" w:xAlign="inside" w:y="13042" w:anchorLock="0"/>
    </w:pPr>
    <w:r w:rsidRPr="00515A4C">
      <w:fldChar w:fldCharType="begin" w:fldLock="1"/>
    </w:r>
    <w:r w:rsidRPr="00515A4C">
      <w:instrText xml:space="preserve"> if </w:instrText>
    </w:r>
    <w:r w:rsidRPr="00515A4C">
      <w:fldChar w:fldCharType="begin" w:fldLock="1"/>
    </w:r>
    <w:r w:rsidRPr="00515A4C">
      <w:instrText xml:space="preserve"> = </w:instrText>
    </w:r>
    <w:r w:rsidRPr="00515A4C">
      <w:fldChar w:fldCharType="begin" w:fldLock="1"/>
    </w:r>
    <w:r w:rsidRPr="00515A4C">
      <w:instrText xml:space="preserve"> = </w:instrText>
    </w:r>
    <w:r w:rsidRPr="00515A4C">
      <w:fldChar w:fldCharType="begin" w:fldLock="1"/>
    </w:r>
    <w:r w:rsidRPr="00515A4C">
      <w:instrText xml:space="preserve"> page</w:instrText>
    </w:r>
    <w:r w:rsidRPr="00515A4C">
      <w:fldChar w:fldCharType="separate"/>
    </w:r>
    <w:r w:rsidRPr="00515A4C">
      <w:instrText>9</w:instrText>
    </w:r>
    <w:r w:rsidRPr="00515A4C">
      <w:fldChar w:fldCharType="end"/>
    </w:r>
    <w:r w:rsidRPr="00515A4C">
      <w:instrText xml:space="preserve">/2 </w:instrText>
    </w:r>
    <w:r w:rsidRPr="00515A4C">
      <w:fldChar w:fldCharType="separate"/>
    </w:r>
    <w:r w:rsidRPr="00515A4C">
      <w:instrText>4,5</w:instrText>
    </w:r>
    <w:r w:rsidRPr="00515A4C">
      <w:fldChar w:fldCharType="end"/>
    </w:r>
    <w:r w:rsidRPr="00515A4C">
      <w:instrText xml:space="preserve"> - </w:instrText>
    </w:r>
    <w:r w:rsidRPr="00515A4C">
      <w:fldChar w:fldCharType="begin" w:fldLock="1"/>
    </w:r>
    <w:r w:rsidRPr="00515A4C">
      <w:instrText xml:space="preserve"> = int(</w:instrText>
    </w:r>
    <w:r w:rsidRPr="00515A4C">
      <w:fldChar w:fldCharType="begin" w:fldLock="1"/>
    </w:r>
    <w:r w:rsidRPr="00515A4C">
      <w:instrText xml:space="preserve"> page</w:instrText>
    </w:r>
    <w:r w:rsidRPr="00515A4C">
      <w:fldChar w:fldCharType="separate"/>
    </w:r>
    <w:r w:rsidRPr="00515A4C">
      <w:instrText>9</w:instrText>
    </w:r>
    <w:r w:rsidRPr="00515A4C">
      <w:fldChar w:fldCharType="end"/>
    </w:r>
    <w:r w:rsidRPr="00515A4C">
      <w:instrText xml:space="preserve">/2) </w:instrText>
    </w:r>
    <w:r w:rsidRPr="00515A4C">
      <w:fldChar w:fldCharType="separate"/>
    </w:r>
    <w:r w:rsidRPr="00515A4C">
      <w:instrText>4</w:instrText>
    </w:r>
    <w:r w:rsidRPr="00515A4C">
      <w:fldChar w:fldCharType="end"/>
    </w:r>
    <w:r w:rsidRPr="00515A4C">
      <w:fldChar w:fldCharType="separate"/>
    </w:r>
    <w:r w:rsidRPr="00515A4C">
      <w:instrText>0,5</w:instrText>
    </w:r>
    <w:r w:rsidRPr="00515A4C">
      <w:fldChar w:fldCharType="end"/>
    </w:r>
    <w:r w:rsidRPr="00515A4C">
      <w:instrText xml:space="preserve"> = 0 "</w:instrText>
    </w: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instrText>8</w:instrText>
    </w:r>
    <w:r w:rsidRPr="00515A4C">
      <w:fldChar w:fldCharType="end"/>
    </w:r>
  </w:p>
  <w:p w:rsidR="00322A77" w:rsidRPr="00515A4C" w:rsidRDefault="00322A77">
    <w:pPr>
      <w:pStyle w:val="SidfotH"/>
      <w:framePr w:w="8732" w:h="284" w:hRule="exact" w:hSpace="0" w:vSpace="0" w:wrap="around" w:xAlign="inside" w:y="13042" w:anchorLock="0"/>
    </w:pPr>
    <w:r w:rsidRPr="00515A4C">
      <w:instrText>""</w:instrText>
    </w: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instrText>9</w:instrText>
    </w:r>
    <w:r w:rsidRPr="00515A4C">
      <w:fldChar w:fldCharType="end"/>
    </w:r>
    <w:r w:rsidRPr="00515A4C">
      <w:instrText>"</w:instrText>
    </w:r>
    <w:r w:rsidRPr="00515A4C">
      <w:fldChar w:fldCharType="separate"/>
    </w:r>
    <w:r w:rsidRPr="00515A4C">
      <w:t>9</w:t>
    </w:r>
    <w:r w:rsidRPr="00515A4C">
      <w:fldChar w:fldCharType="end"/>
    </w:r>
  </w:p>
  <w:p w:rsidR="00322A77" w:rsidRPr="00515A4C" w:rsidRDefault="00322A7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V"/>
      <w:framePr w:w="8732" w:h="284" w:hRule="exact" w:hSpace="0" w:vSpace="0" w:wrap="around" w:xAlign="inside" w:y="13042" w:anchorLock="0"/>
    </w:pP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t>94</w:t>
    </w:r>
    <w:r w:rsidRPr="00515A4C">
      <w:fldChar w:fldCharType="end"/>
    </w:r>
  </w:p>
  <w:p w:rsidR="00322A77" w:rsidRPr="00515A4C" w:rsidRDefault="00322A7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H"/>
      <w:framePr w:w="8732" w:h="284" w:hRule="exact" w:hSpace="0" w:vSpace="0" w:wrap="around" w:xAlign="inside" w:y="13042" w:anchorLock="0"/>
    </w:pP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t>93</w:t>
    </w:r>
    <w:r w:rsidRPr="00515A4C">
      <w:fldChar w:fldCharType="end"/>
    </w:r>
  </w:p>
  <w:p w:rsidR="00322A77" w:rsidRPr="00515A4C" w:rsidRDefault="00322A7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V"/>
      <w:framePr w:w="8732" w:h="284" w:hRule="exact" w:hSpace="0" w:vSpace="0" w:wrap="around" w:xAlign="inside" w:y="13042" w:anchorLock="0"/>
    </w:pPr>
    <w:r w:rsidRPr="00515A4C">
      <w:fldChar w:fldCharType="begin" w:fldLock="1"/>
    </w:r>
    <w:r w:rsidRPr="00515A4C">
      <w:instrText xml:space="preserve"> if </w:instrText>
    </w:r>
    <w:r w:rsidRPr="00515A4C">
      <w:fldChar w:fldCharType="begin" w:fldLock="1"/>
    </w:r>
    <w:r w:rsidRPr="00515A4C">
      <w:instrText xml:space="preserve"> = </w:instrText>
    </w:r>
    <w:r w:rsidRPr="00515A4C">
      <w:fldChar w:fldCharType="begin" w:fldLock="1"/>
    </w:r>
    <w:r w:rsidRPr="00515A4C">
      <w:instrText xml:space="preserve"> = </w:instrText>
    </w:r>
    <w:r w:rsidRPr="00515A4C">
      <w:fldChar w:fldCharType="begin" w:fldLock="1"/>
    </w:r>
    <w:r w:rsidRPr="00515A4C">
      <w:instrText xml:space="preserve"> page</w:instrText>
    </w:r>
    <w:r w:rsidRPr="00515A4C">
      <w:fldChar w:fldCharType="separate"/>
    </w:r>
    <w:r w:rsidRPr="00515A4C">
      <w:instrText>80</w:instrText>
    </w:r>
    <w:r w:rsidRPr="00515A4C">
      <w:fldChar w:fldCharType="end"/>
    </w:r>
    <w:r w:rsidRPr="00515A4C">
      <w:instrText xml:space="preserve">/2 </w:instrText>
    </w:r>
    <w:r w:rsidRPr="00515A4C">
      <w:fldChar w:fldCharType="separate"/>
    </w:r>
    <w:r w:rsidRPr="00515A4C">
      <w:instrText>40</w:instrText>
    </w:r>
    <w:r w:rsidRPr="00515A4C">
      <w:fldChar w:fldCharType="end"/>
    </w:r>
    <w:r w:rsidRPr="00515A4C">
      <w:instrText xml:space="preserve"> - </w:instrText>
    </w:r>
    <w:r w:rsidRPr="00515A4C">
      <w:fldChar w:fldCharType="begin" w:fldLock="1"/>
    </w:r>
    <w:r w:rsidRPr="00515A4C">
      <w:instrText xml:space="preserve"> = int(</w:instrText>
    </w:r>
    <w:r w:rsidRPr="00515A4C">
      <w:fldChar w:fldCharType="begin" w:fldLock="1"/>
    </w:r>
    <w:r w:rsidRPr="00515A4C">
      <w:instrText xml:space="preserve"> page</w:instrText>
    </w:r>
    <w:r w:rsidRPr="00515A4C">
      <w:fldChar w:fldCharType="separate"/>
    </w:r>
    <w:r w:rsidRPr="00515A4C">
      <w:instrText>80</w:instrText>
    </w:r>
    <w:r w:rsidRPr="00515A4C">
      <w:fldChar w:fldCharType="end"/>
    </w:r>
    <w:r w:rsidRPr="00515A4C">
      <w:instrText xml:space="preserve">/2) </w:instrText>
    </w:r>
    <w:r w:rsidRPr="00515A4C">
      <w:fldChar w:fldCharType="separate"/>
    </w:r>
    <w:r w:rsidRPr="00515A4C">
      <w:instrText>40</w:instrText>
    </w:r>
    <w:r w:rsidRPr="00515A4C">
      <w:fldChar w:fldCharType="end"/>
    </w:r>
    <w:r w:rsidRPr="00515A4C">
      <w:fldChar w:fldCharType="separate"/>
    </w:r>
    <w:r w:rsidRPr="00515A4C">
      <w:instrText>0</w:instrText>
    </w:r>
    <w:r w:rsidRPr="00515A4C">
      <w:fldChar w:fldCharType="end"/>
    </w:r>
    <w:r w:rsidRPr="00515A4C">
      <w:instrText xml:space="preserve"> = 0 "</w:instrText>
    </w: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instrText>80</w:instrText>
    </w:r>
    <w:r w:rsidRPr="00515A4C">
      <w:fldChar w:fldCharType="end"/>
    </w:r>
  </w:p>
  <w:p w:rsidR="00322A77" w:rsidRPr="00515A4C" w:rsidRDefault="00322A77">
    <w:pPr>
      <w:pStyle w:val="SidfotV"/>
      <w:framePr w:w="8732" w:h="284" w:hRule="exact" w:hSpace="0" w:vSpace="0" w:wrap="around" w:xAlign="inside" w:y="13042" w:anchorLock="0"/>
    </w:pPr>
    <w:r w:rsidRPr="00515A4C">
      <w:instrText>""</w:instrText>
    </w: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instrText>103</w:instrText>
    </w:r>
    <w:r w:rsidRPr="00515A4C">
      <w:fldChar w:fldCharType="end"/>
    </w:r>
    <w:r w:rsidRPr="00515A4C">
      <w:instrText>"</w:instrText>
    </w:r>
    <w:r w:rsidRPr="00515A4C">
      <w:fldChar w:fldCharType="separate"/>
    </w: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t>80</w:t>
    </w:r>
    <w:r w:rsidRPr="00515A4C">
      <w:fldChar w:fldCharType="end"/>
    </w:r>
  </w:p>
  <w:p w:rsidR="00322A77" w:rsidRPr="00515A4C" w:rsidRDefault="00322A77">
    <w:pPr>
      <w:pStyle w:val="SidfotH"/>
      <w:framePr w:w="8732" w:h="284" w:hRule="exact" w:hSpace="0" w:vSpace="0" w:wrap="around" w:xAlign="inside" w:y="13042" w:anchorLock="0"/>
    </w:pPr>
    <w:r w:rsidRPr="00515A4C">
      <w:fldChar w:fldCharType="end"/>
    </w:r>
  </w:p>
  <w:p w:rsidR="00322A77" w:rsidRPr="00515A4C" w:rsidRDefault="00322A7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V"/>
      <w:framePr w:w="8732" w:h="284" w:hRule="exact" w:hSpace="0" w:vSpace="0" w:wrap="around" w:xAlign="inside" w:y="13042" w:anchorLock="0"/>
    </w:pP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t>96</w:t>
    </w:r>
    <w:r w:rsidRPr="00515A4C">
      <w:fldChar w:fldCharType="end"/>
    </w:r>
  </w:p>
  <w:p w:rsidR="00322A77" w:rsidRPr="00515A4C" w:rsidRDefault="00322A7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H"/>
      <w:framePr w:w="8732" w:h="284" w:hRule="exact" w:hSpace="0" w:vSpace="0" w:wrap="around" w:xAlign="inside" w:y="13042" w:anchorLock="0"/>
    </w:pP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t>99</w:t>
    </w:r>
    <w:r w:rsidRPr="00515A4C">
      <w:fldChar w:fldCharType="end"/>
    </w:r>
  </w:p>
  <w:p w:rsidR="00322A77" w:rsidRPr="00515A4C" w:rsidRDefault="00322A7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V"/>
      <w:framePr w:w="8732" w:h="284" w:hRule="exact" w:hSpace="0" w:vSpace="0" w:wrap="around" w:xAlign="inside" w:y="13042" w:anchorLock="0"/>
    </w:pPr>
    <w:r w:rsidRPr="00515A4C">
      <w:fldChar w:fldCharType="begin" w:fldLock="1"/>
    </w:r>
    <w:r w:rsidRPr="00515A4C">
      <w:instrText xml:space="preserve"> if </w:instrText>
    </w:r>
    <w:r w:rsidRPr="00515A4C">
      <w:fldChar w:fldCharType="begin" w:fldLock="1"/>
    </w:r>
    <w:r w:rsidRPr="00515A4C">
      <w:instrText xml:space="preserve"> = </w:instrText>
    </w:r>
    <w:r w:rsidRPr="00515A4C">
      <w:fldChar w:fldCharType="begin" w:fldLock="1"/>
    </w:r>
    <w:r w:rsidRPr="00515A4C">
      <w:instrText xml:space="preserve"> = </w:instrText>
    </w:r>
    <w:r w:rsidRPr="00515A4C">
      <w:fldChar w:fldCharType="begin" w:fldLock="1"/>
    </w:r>
    <w:r w:rsidRPr="00515A4C">
      <w:instrText xml:space="preserve"> page</w:instrText>
    </w:r>
    <w:r w:rsidRPr="00515A4C">
      <w:fldChar w:fldCharType="separate"/>
    </w:r>
    <w:r w:rsidRPr="00515A4C">
      <w:instrText>95</w:instrText>
    </w:r>
    <w:r w:rsidRPr="00515A4C">
      <w:fldChar w:fldCharType="end"/>
    </w:r>
    <w:r w:rsidRPr="00515A4C">
      <w:instrText xml:space="preserve">/2 </w:instrText>
    </w:r>
    <w:r w:rsidRPr="00515A4C">
      <w:fldChar w:fldCharType="separate"/>
    </w:r>
    <w:r w:rsidRPr="00515A4C">
      <w:instrText>47,5</w:instrText>
    </w:r>
    <w:r w:rsidRPr="00515A4C">
      <w:fldChar w:fldCharType="end"/>
    </w:r>
    <w:r w:rsidRPr="00515A4C">
      <w:instrText xml:space="preserve"> - </w:instrText>
    </w:r>
    <w:r w:rsidRPr="00515A4C">
      <w:fldChar w:fldCharType="begin" w:fldLock="1"/>
    </w:r>
    <w:r w:rsidRPr="00515A4C">
      <w:instrText xml:space="preserve"> = int(</w:instrText>
    </w:r>
    <w:r w:rsidRPr="00515A4C">
      <w:fldChar w:fldCharType="begin" w:fldLock="1"/>
    </w:r>
    <w:r w:rsidRPr="00515A4C">
      <w:instrText xml:space="preserve"> page</w:instrText>
    </w:r>
    <w:r w:rsidRPr="00515A4C">
      <w:fldChar w:fldCharType="separate"/>
    </w:r>
    <w:r w:rsidRPr="00515A4C">
      <w:instrText>95</w:instrText>
    </w:r>
    <w:r w:rsidRPr="00515A4C">
      <w:fldChar w:fldCharType="end"/>
    </w:r>
    <w:r w:rsidRPr="00515A4C">
      <w:instrText xml:space="preserve">/2) </w:instrText>
    </w:r>
    <w:r w:rsidRPr="00515A4C">
      <w:fldChar w:fldCharType="separate"/>
    </w:r>
    <w:r w:rsidRPr="00515A4C">
      <w:instrText>47</w:instrText>
    </w:r>
    <w:r w:rsidRPr="00515A4C">
      <w:fldChar w:fldCharType="end"/>
    </w:r>
    <w:r w:rsidRPr="00515A4C">
      <w:fldChar w:fldCharType="separate"/>
    </w:r>
    <w:r w:rsidRPr="00515A4C">
      <w:instrText>0,5</w:instrText>
    </w:r>
    <w:r w:rsidRPr="00515A4C">
      <w:fldChar w:fldCharType="end"/>
    </w:r>
    <w:r w:rsidRPr="00515A4C">
      <w:instrText xml:space="preserve"> = 0 "</w:instrText>
    </w: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instrText>98</w:instrText>
    </w:r>
    <w:r w:rsidRPr="00515A4C">
      <w:fldChar w:fldCharType="end"/>
    </w:r>
  </w:p>
  <w:p w:rsidR="00322A77" w:rsidRPr="00515A4C" w:rsidRDefault="00322A77">
    <w:pPr>
      <w:pStyle w:val="SidfotH"/>
      <w:framePr w:w="8732" w:h="284" w:hRule="exact" w:hSpace="0" w:vSpace="0" w:wrap="around" w:xAlign="inside" w:y="13042" w:anchorLock="0"/>
    </w:pPr>
    <w:r w:rsidRPr="00515A4C">
      <w:instrText>""</w:instrText>
    </w: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instrText>95</w:instrText>
    </w:r>
    <w:r w:rsidRPr="00515A4C">
      <w:fldChar w:fldCharType="end"/>
    </w:r>
    <w:r w:rsidRPr="00515A4C">
      <w:instrText>"</w:instrText>
    </w:r>
    <w:r w:rsidRPr="00515A4C">
      <w:fldChar w:fldCharType="separate"/>
    </w:r>
    <w:r w:rsidRPr="00515A4C">
      <w:t>95</w:t>
    </w:r>
    <w:r w:rsidRPr="00515A4C">
      <w:fldChar w:fldCharType="end"/>
    </w:r>
  </w:p>
  <w:p w:rsidR="00322A77" w:rsidRPr="00515A4C" w:rsidRDefault="00322A7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V"/>
      <w:framePr w:w="8732" w:h="284" w:hRule="exact" w:hSpace="0" w:vSpace="0" w:wrap="around" w:xAlign="inside" w:y="13042" w:anchorLock="0"/>
    </w:pP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t>102</w:t>
    </w:r>
    <w:r w:rsidRPr="00515A4C">
      <w:fldChar w:fldCharType="end"/>
    </w:r>
  </w:p>
  <w:p w:rsidR="00322A77" w:rsidRPr="00515A4C" w:rsidRDefault="00322A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H"/>
      <w:framePr w:w="8732" w:h="284" w:hRule="exact" w:hSpace="0" w:vSpace="0" w:wrap="around" w:xAlign="inside" w:y="13042" w:anchorLock="0"/>
    </w:pP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t>103</w:t>
    </w:r>
    <w:r w:rsidRPr="00515A4C">
      <w:fldChar w:fldCharType="end"/>
    </w:r>
  </w:p>
  <w:p w:rsidR="00322A77" w:rsidRPr="00515A4C" w:rsidRDefault="00322A7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H"/>
      <w:framePr w:w="8732" w:h="284" w:hRule="exact" w:hSpace="0" w:vSpace="0" w:wrap="around" w:xAlign="inside" w:y="13042" w:anchorLock="0"/>
    </w:pP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t>101</w:t>
    </w:r>
    <w:r w:rsidRPr="00515A4C">
      <w:fldChar w:fldCharType="end"/>
    </w:r>
  </w:p>
  <w:p w:rsidR="00322A77" w:rsidRPr="00515A4C" w:rsidRDefault="00322A7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V"/>
      <w:framePr w:w="8732" w:h="284" w:hRule="exact" w:hSpace="0" w:vSpace="0" w:wrap="around" w:xAlign="inside" w:y="13042" w:anchorLock="0"/>
    </w:pPr>
    <w:r w:rsidRPr="00515A4C">
      <w:fldChar w:fldCharType="begin" w:fldLock="1"/>
    </w:r>
    <w:r w:rsidRPr="00515A4C">
      <w:instrText xml:space="preserve"> if </w:instrText>
    </w:r>
    <w:r w:rsidRPr="00515A4C">
      <w:fldChar w:fldCharType="begin" w:fldLock="1"/>
    </w:r>
    <w:r w:rsidRPr="00515A4C">
      <w:instrText xml:space="preserve"> = </w:instrText>
    </w:r>
    <w:r w:rsidRPr="00515A4C">
      <w:fldChar w:fldCharType="begin" w:fldLock="1"/>
    </w:r>
    <w:r w:rsidRPr="00515A4C">
      <w:instrText xml:space="preserve"> = </w:instrText>
    </w:r>
    <w:r w:rsidRPr="00515A4C">
      <w:fldChar w:fldCharType="begin" w:fldLock="1"/>
    </w:r>
    <w:r w:rsidRPr="00515A4C">
      <w:instrText xml:space="preserve"> page</w:instrText>
    </w:r>
    <w:r w:rsidRPr="00515A4C">
      <w:fldChar w:fldCharType="separate"/>
    </w:r>
    <w:r w:rsidRPr="00515A4C">
      <w:instrText>97</w:instrText>
    </w:r>
    <w:r w:rsidRPr="00515A4C">
      <w:fldChar w:fldCharType="end"/>
    </w:r>
    <w:r w:rsidRPr="00515A4C">
      <w:instrText xml:space="preserve">/2 </w:instrText>
    </w:r>
    <w:r w:rsidRPr="00515A4C">
      <w:fldChar w:fldCharType="separate"/>
    </w:r>
    <w:r w:rsidRPr="00515A4C">
      <w:instrText>48,5</w:instrText>
    </w:r>
    <w:r w:rsidRPr="00515A4C">
      <w:fldChar w:fldCharType="end"/>
    </w:r>
    <w:r w:rsidRPr="00515A4C">
      <w:instrText xml:space="preserve"> - </w:instrText>
    </w:r>
    <w:r w:rsidRPr="00515A4C">
      <w:fldChar w:fldCharType="begin" w:fldLock="1"/>
    </w:r>
    <w:r w:rsidRPr="00515A4C">
      <w:instrText xml:space="preserve"> = int(</w:instrText>
    </w:r>
    <w:r w:rsidRPr="00515A4C">
      <w:fldChar w:fldCharType="begin" w:fldLock="1"/>
    </w:r>
    <w:r w:rsidRPr="00515A4C">
      <w:instrText xml:space="preserve"> page</w:instrText>
    </w:r>
    <w:r w:rsidRPr="00515A4C">
      <w:fldChar w:fldCharType="separate"/>
    </w:r>
    <w:r w:rsidRPr="00515A4C">
      <w:instrText>97</w:instrText>
    </w:r>
    <w:r w:rsidRPr="00515A4C">
      <w:fldChar w:fldCharType="end"/>
    </w:r>
    <w:r w:rsidRPr="00515A4C">
      <w:instrText xml:space="preserve">/2) </w:instrText>
    </w:r>
    <w:r w:rsidRPr="00515A4C">
      <w:fldChar w:fldCharType="separate"/>
    </w:r>
    <w:r w:rsidRPr="00515A4C">
      <w:instrText>48</w:instrText>
    </w:r>
    <w:r w:rsidRPr="00515A4C">
      <w:fldChar w:fldCharType="end"/>
    </w:r>
    <w:r w:rsidRPr="00515A4C">
      <w:fldChar w:fldCharType="separate"/>
    </w:r>
    <w:r w:rsidRPr="00515A4C">
      <w:instrText>0,5</w:instrText>
    </w:r>
    <w:r w:rsidRPr="00515A4C">
      <w:fldChar w:fldCharType="end"/>
    </w:r>
    <w:r w:rsidRPr="00515A4C">
      <w:instrText xml:space="preserve"> = 0 "</w:instrText>
    </w: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instrText>100</w:instrText>
    </w:r>
    <w:r w:rsidRPr="00515A4C">
      <w:fldChar w:fldCharType="end"/>
    </w:r>
  </w:p>
  <w:p w:rsidR="00322A77" w:rsidRPr="00515A4C" w:rsidRDefault="00322A77">
    <w:pPr>
      <w:pStyle w:val="SidfotH"/>
      <w:framePr w:w="8732" w:h="284" w:hRule="exact" w:hSpace="0" w:vSpace="0" w:wrap="around" w:xAlign="inside" w:y="13042" w:anchorLock="0"/>
    </w:pPr>
    <w:r w:rsidRPr="00515A4C">
      <w:instrText>""</w:instrText>
    </w: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instrText>97</w:instrText>
    </w:r>
    <w:r w:rsidRPr="00515A4C">
      <w:fldChar w:fldCharType="end"/>
    </w:r>
    <w:r w:rsidRPr="00515A4C">
      <w:instrText>"</w:instrText>
    </w:r>
    <w:r w:rsidRPr="00515A4C">
      <w:fldChar w:fldCharType="separate"/>
    </w:r>
    <w:r w:rsidRPr="00515A4C">
      <w:t>97</w:t>
    </w:r>
    <w:r w:rsidRPr="00515A4C">
      <w:fldChar w:fldCharType="end"/>
    </w:r>
  </w:p>
  <w:p w:rsidR="00322A77" w:rsidRPr="00515A4C" w:rsidRDefault="00322A7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V"/>
      <w:framePr w:w="8732" w:h="284" w:hRule="exact" w:hSpace="0" w:vSpace="0" w:wrap="around" w:xAlign="inside" w:y="13042" w:anchorLock="0"/>
    </w:pP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t>104</w:t>
    </w:r>
    <w:r w:rsidRPr="00515A4C">
      <w:fldChar w:fldCharType="end"/>
    </w:r>
  </w:p>
  <w:p w:rsidR="00322A77" w:rsidRPr="00515A4C" w:rsidRDefault="00322A7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H"/>
      <w:framePr w:w="8732" w:h="284" w:hRule="exact" w:hSpace="0" w:vSpace="0" w:wrap="around" w:xAlign="inside" w:y="13042" w:anchorLock="0"/>
    </w:pP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t>105</w:t>
    </w:r>
    <w:r w:rsidRPr="00515A4C">
      <w:fldChar w:fldCharType="end"/>
    </w:r>
  </w:p>
  <w:p w:rsidR="00322A77" w:rsidRPr="00515A4C" w:rsidRDefault="00322A7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V"/>
      <w:framePr w:w="8732" w:h="284" w:hRule="exact" w:hSpace="0" w:vSpace="0" w:wrap="around" w:xAlign="inside" w:y="13042" w:anchorLock="0"/>
    </w:pPr>
    <w:r w:rsidRPr="00515A4C">
      <w:fldChar w:fldCharType="begin" w:fldLock="1"/>
    </w:r>
    <w:r w:rsidRPr="00515A4C">
      <w:instrText xml:space="preserve"> if </w:instrText>
    </w:r>
    <w:r w:rsidRPr="00515A4C">
      <w:fldChar w:fldCharType="begin" w:fldLock="1"/>
    </w:r>
    <w:r w:rsidRPr="00515A4C">
      <w:instrText xml:space="preserve"> = </w:instrText>
    </w:r>
    <w:r w:rsidRPr="00515A4C">
      <w:fldChar w:fldCharType="begin" w:fldLock="1"/>
    </w:r>
    <w:r w:rsidRPr="00515A4C">
      <w:instrText xml:space="preserve"> = </w:instrText>
    </w:r>
    <w:r w:rsidRPr="00515A4C">
      <w:fldChar w:fldCharType="begin" w:fldLock="1"/>
    </w:r>
    <w:r w:rsidRPr="00515A4C">
      <w:instrText xml:space="preserve"> page</w:instrText>
    </w:r>
    <w:r w:rsidRPr="00515A4C">
      <w:fldChar w:fldCharType="separate"/>
    </w:r>
    <w:r w:rsidRPr="00515A4C">
      <w:instrText>103</w:instrText>
    </w:r>
    <w:r w:rsidRPr="00515A4C">
      <w:fldChar w:fldCharType="end"/>
    </w:r>
    <w:r w:rsidRPr="00515A4C">
      <w:instrText xml:space="preserve">/2 </w:instrText>
    </w:r>
    <w:r w:rsidRPr="00515A4C">
      <w:fldChar w:fldCharType="separate"/>
    </w:r>
    <w:r w:rsidRPr="00515A4C">
      <w:instrText>51,5</w:instrText>
    </w:r>
    <w:r w:rsidRPr="00515A4C">
      <w:fldChar w:fldCharType="end"/>
    </w:r>
    <w:r w:rsidRPr="00515A4C">
      <w:instrText xml:space="preserve"> - </w:instrText>
    </w:r>
    <w:r w:rsidRPr="00515A4C">
      <w:fldChar w:fldCharType="begin" w:fldLock="1"/>
    </w:r>
    <w:r w:rsidRPr="00515A4C">
      <w:instrText xml:space="preserve"> = int(</w:instrText>
    </w:r>
    <w:r w:rsidRPr="00515A4C">
      <w:fldChar w:fldCharType="begin" w:fldLock="1"/>
    </w:r>
    <w:r w:rsidRPr="00515A4C">
      <w:instrText xml:space="preserve"> page</w:instrText>
    </w:r>
    <w:r w:rsidRPr="00515A4C">
      <w:fldChar w:fldCharType="separate"/>
    </w:r>
    <w:r w:rsidRPr="00515A4C">
      <w:instrText>103</w:instrText>
    </w:r>
    <w:r w:rsidRPr="00515A4C">
      <w:fldChar w:fldCharType="end"/>
    </w:r>
    <w:r w:rsidRPr="00515A4C">
      <w:instrText xml:space="preserve">/2) </w:instrText>
    </w:r>
    <w:r w:rsidRPr="00515A4C">
      <w:fldChar w:fldCharType="separate"/>
    </w:r>
    <w:r w:rsidRPr="00515A4C">
      <w:instrText>51</w:instrText>
    </w:r>
    <w:r w:rsidRPr="00515A4C">
      <w:fldChar w:fldCharType="end"/>
    </w:r>
    <w:r w:rsidRPr="00515A4C">
      <w:fldChar w:fldCharType="separate"/>
    </w:r>
    <w:r w:rsidRPr="00515A4C">
      <w:instrText>0,5</w:instrText>
    </w:r>
    <w:r w:rsidRPr="00515A4C">
      <w:fldChar w:fldCharType="end"/>
    </w:r>
    <w:r w:rsidRPr="00515A4C">
      <w:instrText xml:space="preserve"> = 0 "</w:instrText>
    </w: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instrText>104</w:instrText>
    </w:r>
    <w:r w:rsidRPr="00515A4C">
      <w:fldChar w:fldCharType="end"/>
    </w:r>
  </w:p>
  <w:p w:rsidR="00322A77" w:rsidRPr="00515A4C" w:rsidRDefault="00322A77">
    <w:pPr>
      <w:pStyle w:val="SidfotH"/>
      <w:framePr w:w="8732" w:h="284" w:hRule="exact" w:hSpace="0" w:vSpace="0" w:wrap="around" w:xAlign="inside" w:y="13042" w:anchorLock="0"/>
    </w:pPr>
    <w:r w:rsidRPr="00515A4C">
      <w:instrText>""</w:instrText>
    </w: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instrText>103</w:instrText>
    </w:r>
    <w:r w:rsidRPr="00515A4C">
      <w:fldChar w:fldCharType="end"/>
    </w:r>
    <w:r w:rsidRPr="00515A4C">
      <w:instrText>"</w:instrText>
    </w:r>
    <w:r w:rsidRPr="00515A4C">
      <w:fldChar w:fldCharType="separate"/>
    </w:r>
    <w:r w:rsidRPr="00515A4C">
      <w:t>103</w:t>
    </w:r>
    <w:r w:rsidRPr="00515A4C">
      <w:fldChar w:fldCharType="end"/>
    </w:r>
  </w:p>
  <w:p w:rsidR="00322A77" w:rsidRPr="00515A4C" w:rsidRDefault="00322A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V"/>
      <w:framePr w:w="8732" w:h="284" w:hRule="exact" w:hSpace="0" w:vSpace="0" w:wrap="around" w:xAlign="inside" w:y="13042" w:anchorLock="0"/>
    </w:pPr>
    <w:r w:rsidRPr="00515A4C">
      <w:fldChar w:fldCharType="begin" w:fldLock="1"/>
    </w:r>
    <w:r w:rsidRPr="00515A4C">
      <w:instrText xml:space="preserve"> if </w:instrText>
    </w:r>
    <w:r w:rsidRPr="00515A4C">
      <w:fldChar w:fldCharType="begin" w:fldLock="1"/>
    </w:r>
    <w:r w:rsidRPr="00515A4C">
      <w:instrText xml:space="preserve"> = </w:instrText>
    </w:r>
    <w:r w:rsidRPr="00515A4C">
      <w:fldChar w:fldCharType="begin" w:fldLock="1"/>
    </w:r>
    <w:r w:rsidRPr="00515A4C">
      <w:instrText xml:space="preserve"> = </w:instrText>
    </w:r>
    <w:r w:rsidRPr="00515A4C">
      <w:fldChar w:fldCharType="begin" w:fldLock="1"/>
    </w:r>
    <w:r w:rsidRPr="00515A4C">
      <w:instrText xml:space="preserve"> page</w:instrText>
    </w:r>
    <w:r w:rsidRPr="00515A4C">
      <w:fldChar w:fldCharType="separate"/>
    </w:r>
    <w:r w:rsidR="00515A4C">
      <w:rPr>
        <w:noProof/>
      </w:rPr>
      <w:instrText>1</w:instrText>
    </w:r>
    <w:r w:rsidRPr="00515A4C">
      <w:fldChar w:fldCharType="end"/>
    </w:r>
    <w:r w:rsidRPr="00515A4C">
      <w:instrText xml:space="preserve">/2 </w:instrText>
    </w:r>
    <w:r w:rsidRPr="00515A4C">
      <w:fldChar w:fldCharType="separate"/>
    </w:r>
    <w:r w:rsidR="00515A4C">
      <w:rPr>
        <w:noProof/>
      </w:rPr>
      <w:instrText>0,5</w:instrText>
    </w:r>
    <w:r w:rsidRPr="00515A4C">
      <w:fldChar w:fldCharType="end"/>
    </w:r>
    <w:r w:rsidRPr="00515A4C">
      <w:instrText xml:space="preserve"> - </w:instrText>
    </w:r>
    <w:r w:rsidRPr="00515A4C">
      <w:fldChar w:fldCharType="begin" w:fldLock="1"/>
    </w:r>
    <w:r w:rsidRPr="00515A4C">
      <w:instrText xml:space="preserve"> = int(</w:instrText>
    </w:r>
    <w:r w:rsidRPr="00515A4C">
      <w:fldChar w:fldCharType="begin" w:fldLock="1"/>
    </w:r>
    <w:r w:rsidRPr="00515A4C">
      <w:instrText xml:space="preserve"> page</w:instrText>
    </w:r>
    <w:r w:rsidRPr="00515A4C">
      <w:fldChar w:fldCharType="separate"/>
    </w:r>
    <w:r w:rsidR="00515A4C">
      <w:rPr>
        <w:noProof/>
      </w:rPr>
      <w:instrText>1</w:instrText>
    </w:r>
    <w:r w:rsidRPr="00515A4C">
      <w:fldChar w:fldCharType="end"/>
    </w:r>
    <w:r w:rsidRPr="00515A4C">
      <w:instrText xml:space="preserve">/2) </w:instrText>
    </w:r>
    <w:r w:rsidRPr="00515A4C">
      <w:fldChar w:fldCharType="separate"/>
    </w:r>
    <w:r w:rsidR="00515A4C">
      <w:rPr>
        <w:noProof/>
      </w:rPr>
      <w:instrText>0</w:instrText>
    </w:r>
    <w:r w:rsidRPr="00515A4C">
      <w:fldChar w:fldCharType="end"/>
    </w:r>
    <w:r w:rsidRPr="00515A4C">
      <w:fldChar w:fldCharType="separate"/>
    </w:r>
    <w:r w:rsidR="00515A4C">
      <w:rPr>
        <w:noProof/>
      </w:rPr>
      <w:instrText>0,5</w:instrText>
    </w:r>
    <w:r w:rsidRPr="00515A4C">
      <w:fldChar w:fldCharType="end"/>
    </w:r>
    <w:r w:rsidRPr="00515A4C">
      <w:instrText xml:space="preserve"> = 0 "</w:instrText>
    </w: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instrText>14</w:instrText>
    </w:r>
    <w:r w:rsidRPr="00515A4C">
      <w:fldChar w:fldCharType="end"/>
    </w:r>
  </w:p>
  <w:p w:rsidR="00322A77" w:rsidRPr="00515A4C" w:rsidRDefault="00322A77">
    <w:pPr>
      <w:pStyle w:val="SidfotH"/>
      <w:framePr w:w="8732" w:h="284" w:hRule="exact" w:hSpace="0" w:vSpace="0" w:wrap="around" w:xAlign="inside" w:y="13042" w:anchorLock="0"/>
    </w:pPr>
    <w:r w:rsidRPr="00515A4C">
      <w:instrText>""</w:instrText>
    </w: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00515A4C">
      <w:rPr>
        <w:noProof/>
      </w:rPr>
      <w:instrText>1</w:instrText>
    </w:r>
    <w:r w:rsidRPr="00515A4C">
      <w:fldChar w:fldCharType="end"/>
    </w:r>
    <w:r w:rsidRPr="00515A4C">
      <w:instrText>"</w:instrText>
    </w:r>
    <w:r w:rsidRPr="00515A4C">
      <w:fldChar w:fldCharType="separate"/>
    </w:r>
    <w:r w:rsidR="00515A4C">
      <w:rPr>
        <w:noProof/>
      </w:rPr>
      <w:t>1</w:t>
    </w:r>
    <w:r w:rsidRPr="00515A4C">
      <w:fldChar w:fldCharType="end"/>
    </w:r>
  </w:p>
  <w:p w:rsidR="00322A77" w:rsidRPr="00515A4C" w:rsidRDefault="00322A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V"/>
      <w:framePr w:w="8732" w:h="284" w:hRule="exact" w:hSpace="0" w:vSpace="0" w:wrap="around" w:xAlign="inside" w:y="13042" w:anchorLock="0"/>
    </w:pP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t>4</w:t>
    </w:r>
    <w:r w:rsidRPr="00515A4C">
      <w:fldChar w:fldCharType="end"/>
    </w:r>
  </w:p>
  <w:p w:rsidR="00322A77" w:rsidRPr="00515A4C" w:rsidRDefault="00322A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H"/>
      <w:framePr w:w="8732" w:h="284" w:hRule="exact" w:hSpace="0" w:vSpace="0" w:wrap="around" w:xAlign="inside" w:y="13042" w:anchorLock="0"/>
    </w:pP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t>3</w:t>
    </w:r>
    <w:r w:rsidRPr="00515A4C">
      <w:fldChar w:fldCharType="end"/>
    </w:r>
  </w:p>
  <w:p w:rsidR="00322A77" w:rsidRPr="00515A4C" w:rsidRDefault="00322A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V"/>
      <w:framePr w:w="8732" w:h="284" w:hRule="exact" w:hSpace="0" w:vSpace="0" w:wrap="around" w:xAlign="inside" w:y="13042" w:anchorLock="0"/>
    </w:pPr>
    <w:r w:rsidRPr="00515A4C">
      <w:fldChar w:fldCharType="begin" w:fldLock="1"/>
    </w:r>
    <w:r w:rsidRPr="00515A4C">
      <w:instrText xml:space="preserve"> if </w:instrText>
    </w:r>
    <w:r w:rsidRPr="00515A4C">
      <w:fldChar w:fldCharType="begin" w:fldLock="1"/>
    </w:r>
    <w:r w:rsidRPr="00515A4C">
      <w:instrText xml:space="preserve"> = </w:instrText>
    </w:r>
    <w:r w:rsidRPr="00515A4C">
      <w:fldChar w:fldCharType="begin" w:fldLock="1"/>
    </w:r>
    <w:r w:rsidRPr="00515A4C">
      <w:instrText xml:space="preserve"> = </w:instrText>
    </w:r>
    <w:r w:rsidRPr="00515A4C">
      <w:fldChar w:fldCharType="begin" w:fldLock="1"/>
    </w:r>
    <w:r w:rsidRPr="00515A4C">
      <w:instrText xml:space="preserve"> page</w:instrText>
    </w:r>
    <w:r w:rsidRPr="00515A4C">
      <w:fldChar w:fldCharType="separate"/>
    </w:r>
    <w:r w:rsidRPr="00515A4C">
      <w:instrText>2</w:instrText>
    </w:r>
    <w:r w:rsidRPr="00515A4C">
      <w:fldChar w:fldCharType="end"/>
    </w:r>
    <w:r w:rsidRPr="00515A4C">
      <w:instrText xml:space="preserve">/2 </w:instrText>
    </w:r>
    <w:r w:rsidRPr="00515A4C">
      <w:fldChar w:fldCharType="separate"/>
    </w:r>
    <w:r w:rsidRPr="00515A4C">
      <w:instrText>1</w:instrText>
    </w:r>
    <w:r w:rsidRPr="00515A4C">
      <w:fldChar w:fldCharType="end"/>
    </w:r>
    <w:r w:rsidRPr="00515A4C">
      <w:instrText xml:space="preserve"> - </w:instrText>
    </w:r>
    <w:r w:rsidRPr="00515A4C">
      <w:fldChar w:fldCharType="begin" w:fldLock="1"/>
    </w:r>
    <w:r w:rsidRPr="00515A4C">
      <w:instrText xml:space="preserve"> = int(</w:instrText>
    </w:r>
    <w:r w:rsidRPr="00515A4C">
      <w:fldChar w:fldCharType="begin" w:fldLock="1"/>
    </w:r>
    <w:r w:rsidRPr="00515A4C">
      <w:instrText xml:space="preserve"> page</w:instrText>
    </w:r>
    <w:r w:rsidRPr="00515A4C">
      <w:fldChar w:fldCharType="separate"/>
    </w:r>
    <w:r w:rsidRPr="00515A4C">
      <w:instrText>2</w:instrText>
    </w:r>
    <w:r w:rsidRPr="00515A4C">
      <w:fldChar w:fldCharType="end"/>
    </w:r>
    <w:r w:rsidRPr="00515A4C">
      <w:instrText xml:space="preserve">/2) </w:instrText>
    </w:r>
    <w:r w:rsidRPr="00515A4C">
      <w:fldChar w:fldCharType="separate"/>
    </w:r>
    <w:r w:rsidRPr="00515A4C">
      <w:instrText>1</w:instrText>
    </w:r>
    <w:r w:rsidRPr="00515A4C">
      <w:fldChar w:fldCharType="end"/>
    </w:r>
    <w:r w:rsidRPr="00515A4C">
      <w:fldChar w:fldCharType="separate"/>
    </w:r>
    <w:r w:rsidRPr="00515A4C">
      <w:instrText>0</w:instrText>
    </w:r>
    <w:r w:rsidRPr="00515A4C">
      <w:fldChar w:fldCharType="end"/>
    </w:r>
    <w:r w:rsidRPr="00515A4C">
      <w:instrText xml:space="preserve"> = 0 "</w:instrText>
    </w: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instrText>2</w:instrText>
    </w:r>
    <w:r w:rsidRPr="00515A4C">
      <w:fldChar w:fldCharType="end"/>
    </w:r>
  </w:p>
  <w:p w:rsidR="00322A77" w:rsidRPr="00515A4C" w:rsidRDefault="00322A77">
    <w:pPr>
      <w:pStyle w:val="SidfotV"/>
      <w:framePr w:w="8732" w:h="284" w:hRule="exact" w:hSpace="0" w:vSpace="0" w:wrap="around" w:xAlign="inside" w:y="13042" w:anchorLock="0"/>
    </w:pPr>
    <w:r w:rsidRPr="00515A4C">
      <w:instrText>""</w:instrText>
    </w: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instrText>3</w:instrText>
    </w:r>
    <w:r w:rsidRPr="00515A4C">
      <w:fldChar w:fldCharType="end"/>
    </w:r>
    <w:r w:rsidRPr="00515A4C">
      <w:instrText>"</w:instrText>
    </w:r>
    <w:r w:rsidRPr="00515A4C">
      <w:fldChar w:fldCharType="separate"/>
    </w: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t>2</w:t>
    </w:r>
    <w:r w:rsidRPr="00515A4C">
      <w:fldChar w:fldCharType="end"/>
    </w:r>
  </w:p>
  <w:p w:rsidR="00322A77" w:rsidRPr="00515A4C" w:rsidRDefault="00322A77">
    <w:pPr>
      <w:pStyle w:val="SidfotH"/>
      <w:framePr w:w="8732" w:h="284" w:hRule="exact" w:hSpace="0" w:vSpace="0" w:wrap="around" w:xAlign="inside" w:y="13042" w:anchorLock="0"/>
    </w:pPr>
    <w:r w:rsidRPr="00515A4C">
      <w:fldChar w:fldCharType="end"/>
    </w:r>
  </w:p>
  <w:p w:rsidR="00322A77" w:rsidRPr="00515A4C" w:rsidRDefault="00322A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V"/>
      <w:framePr w:w="8732" w:h="284" w:hRule="exact" w:hSpace="0" w:vSpace="0" w:wrap="around" w:xAlign="inside" w:y="13042" w:anchorLock="0"/>
    </w:pP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t>8</w:t>
    </w:r>
    <w:r w:rsidRPr="00515A4C">
      <w:fldChar w:fldCharType="end"/>
    </w:r>
  </w:p>
  <w:p w:rsidR="00322A77" w:rsidRPr="00515A4C" w:rsidRDefault="00322A7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H"/>
      <w:framePr w:w="8732" w:h="284" w:hRule="exact" w:hSpace="0" w:vSpace="0" w:wrap="around" w:xAlign="inside" w:y="13042" w:anchorLock="0"/>
    </w:pP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t>7</w:t>
    </w:r>
    <w:r w:rsidRPr="00515A4C">
      <w:fldChar w:fldCharType="end"/>
    </w:r>
  </w:p>
  <w:p w:rsidR="00322A77" w:rsidRPr="00515A4C" w:rsidRDefault="00322A7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fotV"/>
      <w:framePr w:w="8732" w:h="284" w:hRule="exact" w:hSpace="0" w:vSpace="0" w:wrap="around" w:xAlign="inside" w:y="13042" w:anchorLock="0"/>
    </w:pPr>
    <w:r w:rsidRPr="00515A4C">
      <w:fldChar w:fldCharType="begin" w:fldLock="1"/>
    </w:r>
    <w:r w:rsidRPr="00515A4C">
      <w:instrText xml:space="preserve"> if </w:instrText>
    </w:r>
    <w:r w:rsidRPr="00515A4C">
      <w:fldChar w:fldCharType="begin" w:fldLock="1"/>
    </w:r>
    <w:r w:rsidRPr="00515A4C">
      <w:instrText xml:space="preserve"> = </w:instrText>
    </w:r>
    <w:r w:rsidRPr="00515A4C">
      <w:fldChar w:fldCharType="begin" w:fldLock="1"/>
    </w:r>
    <w:r w:rsidRPr="00515A4C">
      <w:instrText xml:space="preserve"> = </w:instrText>
    </w:r>
    <w:r w:rsidRPr="00515A4C">
      <w:fldChar w:fldCharType="begin" w:fldLock="1"/>
    </w:r>
    <w:r w:rsidRPr="00515A4C">
      <w:instrText xml:space="preserve"> page</w:instrText>
    </w:r>
    <w:r w:rsidRPr="00515A4C">
      <w:fldChar w:fldCharType="separate"/>
    </w:r>
    <w:r w:rsidRPr="00515A4C">
      <w:instrText>5</w:instrText>
    </w:r>
    <w:r w:rsidRPr="00515A4C">
      <w:fldChar w:fldCharType="end"/>
    </w:r>
    <w:r w:rsidRPr="00515A4C">
      <w:instrText xml:space="preserve">/2 </w:instrText>
    </w:r>
    <w:r w:rsidRPr="00515A4C">
      <w:fldChar w:fldCharType="separate"/>
    </w:r>
    <w:r w:rsidRPr="00515A4C">
      <w:instrText>2,5</w:instrText>
    </w:r>
    <w:r w:rsidRPr="00515A4C">
      <w:fldChar w:fldCharType="end"/>
    </w:r>
    <w:r w:rsidRPr="00515A4C">
      <w:instrText xml:space="preserve"> - </w:instrText>
    </w:r>
    <w:r w:rsidRPr="00515A4C">
      <w:fldChar w:fldCharType="begin" w:fldLock="1"/>
    </w:r>
    <w:r w:rsidRPr="00515A4C">
      <w:instrText xml:space="preserve"> = int(</w:instrText>
    </w:r>
    <w:r w:rsidRPr="00515A4C">
      <w:fldChar w:fldCharType="begin" w:fldLock="1"/>
    </w:r>
    <w:r w:rsidRPr="00515A4C">
      <w:instrText xml:space="preserve"> page</w:instrText>
    </w:r>
    <w:r w:rsidRPr="00515A4C">
      <w:fldChar w:fldCharType="separate"/>
    </w:r>
    <w:r w:rsidRPr="00515A4C">
      <w:instrText>5</w:instrText>
    </w:r>
    <w:r w:rsidRPr="00515A4C">
      <w:fldChar w:fldCharType="end"/>
    </w:r>
    <w:r w:rsidRPr="00515A4C">
      <w:instrText xml:space="preserve">/2) </w:instrText>
    </w:r>
    <w:r w:rsidRPr="00515A4C">
      <w:fldChar w:fldCharType="separate"/>
    </w:r>
    <w:r w:rsidRPr="00515A4C">
      <w:instrText>2</w:instrText>
    </w:r>
    <w:r w:rsidRPr="00515A4C">
      <w:fldChar w:fldCharType="end"/>
    </w:r>
    <w:r w:rsidRPr="00515A4C">
      <w:fldChar w:fldCharType="separate"/>
    </w:r>
    <w:r w:rsidRPr="00515A4C">
      <w:instrText>0,5</w:instrText>
    </w:r>
    <w:r w:rsidRPr="00515A4C">
      <w:fldChar w:fldCharType="end"/>
    </w:r>
    <w:r w:rsidRPr="00515A4C">
      <w:instrText xml:space="preserve"> = 0 "</w:instrText>
    </w: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instrText>10</w:instrText>
    </w:r>
    <w:r w:rsidRPr="00515A4C">
      <w:fldChar w:fldCharType="end"/>
    </w:r>
  </w:p>
  <w:p w:rsidR="00322A77" w:rsidRPr="00515A4C" w:rsidRDefault="00322A77">
    <w:pPr>
      <w:pStyle w:val="SidfotH"/>
      <w:framePr w:w="8732" w:h="284" w:hRule="exact" w:hSpace="0" w:vSpace="0" w:wrap="around" w:xAlign="inside" w:y="13042" w:anchorLock="0"/>
    </w:pPr>
    <w:r w:rsidRPr="00515A4C">
      <w:instrText>""</w:instrText>
    </w:r>
    <w:r w:rsidRPr="00515A4C">
      <w:fldChar w:fldCharType="begin" w:fldLock="1"/>
    </w:r>
    <w:r w:rsidRPr="00515A4C">
      <w:instrText xml:space="preserve"> P</w:instrText>
    </w:r>
    <w:r w:rsidRPr="00515A4C">
      <w:instrText>A</w:instrText>
    </w:r>
    <w:r w:rsidRPr="00515A4C">
      <w:instrText xml:space="preserve">GE </w:instrText>
    </w:r>
    <w:r w:rsidRPr="00515A4C">
      <w:fldChar w:fldCharType="separate"/>
    </w:r>
    <w:r w:rsidRPr="00515A4C">
      <w:instrText>5</w:instrText>
    </w:r>
    <w:r w:rsidRPr="00515A4C">
      <w:fldChar w:fldCharType="end"/>
    </w:r>
    <w:r w:rsidRPr="00515A4C">
      <w:instrText>"</w:instrText>
    </w:r>
    <w:r w:rsidRPr="00515A4C">
      <w:fldChar w:fldCharType="separate"/>
    </w:r>
    <w:r w:rsidRPr="00515A4C">
      <w:t>5</w:t>
    </w:r>
    <w:r w:rsidRPr="00515A4C">
      <w:fldChar w:fldCharType="end"/>
    </w:r>
  </w:p>
  <w:p w:rsidR="00322A77" w:rsidRPr="00515A4C" w:rsidRDefault="00322A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A77" w:rsidRPr="00515A4C" w:rsidRDefault="00322A77">
      <w:pPr>
        <w:pStyle w:val="Sidfot"/>
      </w:pPr>
    </w:p>
  </w:footnote>
  <w:footnote w:type="continuationSeparator" w:id="0">
    <w:p w:rsidR="00322A77" w:rsidRPr="00515A4C" w:rsidRDefault="00322A77">
      <w:pPr>
        <w:spacing w:before="0" w:line="240" w:lineRule="auto"/>
      </w:pPr>
      <w:r w:rsidRPr="00515A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Jmn"/>
      <w:framePr w:w="8732" w:h="567" w:hRule="exact" w:vSpace="0" w:wrap="around" w:vAnchor="page" w:y="341" w:anchorLock="0"/>
    </w:pPr>
    <w:r w:rsidRPr="00515A4C">
      <w:rPr>
        <w:rStyle w:val="SidhuvudUtskott"/>
      </w:rPr>
      <w:fldChar w:fldCharType="begin" w:fldLock="1"/>
    </w:r>
    <w:r w:rsidRPr="00515A4C">
      <w:rPr>
        <w:rStyle w:val="SidhuvudUtskott"/>
      </w:rPr>
      <w:instrText xml:space="preserve"> DOCPROPERTY BetänkandeÅr</w:instrText>
    </w:r>
    <w:r w:rsidRPr="00515A4C">
      <w:rPr>
        <w:rStyle w:val="SidhuvudUtskott"/>
      </w:rPr>
      <w:fldChar w:fldCharType="separate"/>
    </w:r>
    <w:r w:rsidRPr="00515A4C">
      <w:rPr>
        <w:rStyle w:val="SidhuvudUtskott"/>
      </w:rPr>
      <w:t>2002/03</w:t>
    </w:r>
    <w:r w:rsidRPr="00515A4C">
      <w:rPr>
        <w:rStyle w:val="SidhuvudUtskott"/>
      </w:rPr>
      <w:fldChar w:fldCharType="end"/>
    </w:r>
    <w:r w:rsidRPr="00515A4C">
      <w:rPr>
        <w:rStyle w:val="SidhuvudUtskott"/>
      </w:rPr>
      <w:t>:</w:t>
    </w:r>
    <w:r w:rsidRPr="00515A4C">
      <w:rPr>
        <w:rStyle w:val="SidhuvudUtskott"/>
      </w:rPr>
      <w:fldChar w:fldCharType="begin" w:fldLock="1"/>
    </w:r>
    <w:r w:rsidRPr="00515A4C">
      <w:rPr>
        <w:rStyle w:val="SidhuvudUtskott"/>
      </w:rPr>
      <w:instrText xml:space="preserve"> DOCPROPERTY Utskott</w:instrText>
    </w:r>
    <w:r w:rsidRPr="00515A4C">
      <w:rPr>
        <w:rStyle w:val="SidhuvudUtskott"/>
      </w:rPr>
      <w:fldChar w:fldCharType="separate"/>
    </w:r>
    <w:r w:rsidRPr="00515A4C">
      <w:rPr>
        <w:rStyle w:val="SidhuvudUtskott"/>
      </w:rPr>
      <w:t>KU</w:t>
    </w:r>
    <w:r w:rsidRPr="00515A4C">
      <w:rPr>
        <w:rStyle w:val="SidhuvudUtskott"/>
      </w:rPr>
      <w:fldChar w:fldCharType="end"/>
    </w:r>
    <w:r w:rsidRPr="00515A4C">
      <w:rPr>
        <w:rStyle w:val="SidhuvudUtskott"/>
      </w:rPr>
      <w:fldChar w:fldCharType="begin" w:fldLock="1"/>
    </w:r>
    <w:r w:rsidRPr="00515A4C">
      <w:rPr>
        <w:rStyle w:val="SidhuvudUtskott"/>
      </w:rPr>
      <w:instrText xml:space="preserve"> DOCPROPERTY BetänkandeNr</w:instrText>
    </w:r>
    <w:r w:rsidRPr="00515A4C">
      <w:rPr>
        <w:rStyle w:val="SidhuvudUtskott"/>
      </w:rPr>
      <w:fldChar w:fldCharType="separate"/>
    </w:r>
    <w:r w:rsidRPr="00515A4C">
      <w:rPr>
        <w:rStyle w:val="SidhuvudUtskott"/>
      </w:rPr>
      <w:t>26</w:t>
    </w:r>
    <w:r w:rsidRPr="00515A4C">
      <w:rPr>
        <w:rStyle w:val="SidhuvudUtskott"/>
      </w:rPr>
      <w:fldChar w:fldCharType="end"/>
    </w:r>
    <w:r w:rsidRPr="00515A4C">
      <w:t xml:space="preserve"> </w:t>
    </w:r>
    <w:r w:rsidRPr="00515A4C">
      <w:rPr>
        <w:rStyle w:val="SidhuvudRubrikReferens"/>
      </w:rPr>
      <w:fldChar w:fldCharType="begin" w:fldLock="1"/>
    </w:r>
    <w:r w:rsidRPr="00515A4C">
      <w:rPr>
        <w:rStyle w:val="SidhuvudRubrikReferens"/>
      </w:rPr>
      <w:instrText xml:space="preserve"> StyleREF "Rubrik 1" </w:instrText>
    </w:r>
    <w:r w:rsidRPr="00515A4C">
      <w:rPr>
        <w:rStyle w:val="SidhuvudRubrikReferens"/>
      </w:rPr>
      <w:fldChar w:fldCharType="separate"/>
    </w:r>
    <w:r w:rsidRPr="00515A4C">
      <w:rPr>
        <w:rStyle w:val="SidhuvudRubrikReferens"/>
      </w:rPr>
      <w:t>Sammanfattning</w:t>
    </w:r>
    <w:r w:rsidRPr="00515A4C">
      <w:rPr>
        <w:rStyle w:val="SidhuvudRubrikReferens"/>
      </w:rPr>
      <w:fldChar w:fldCharType="end"/>
    </w:r>
  </w:p>
  <w:p w:rsidR="00322A77" w:rsidRPr="00515A4C" w:rsidRDefault="00322A77">
    <w:pPr>
      <w:pStyle w:val="SidhuvudKantJmn"/>
      <w:framePr w:w="8732" w:h="567" w:hRule="exact" w:vSpace="0" w:wrap="around" w:vAnchor="page" w:y="341" w:anchorLock="0"/>
    </w:pPr>
    <w:r w:rsidRPr="00515A4C">
      <w:rPr>
        <w:rStyle w:val="SidhuvudUtskott"/>
      </w:rPr>
      <w:fldChar w:fldCharType="begin" w:fldLock="1"/>
    </w:r>
    <w:r w:rsidRPr="00515A4C">
      <w:rPr>
        <w:rStyle w:val="SidhuvudUtskott"/>
      </w:rPr>
      <w:instrText xml:space="preserve"> DOCPROPERTY Status</w:instrText>
    </w:r>
    <w:r w:rsidRPr="00515A4C">
      <w:rPr>
        <w:rStyle w:val="SidhuvudUtskott"/>
      </w:rPr>
      <w:fldChar w:fldCharType="end"/>
    </w:r>
    <w:r w:rsidRPr="00515A4C">
      <w:rPr>
        <w:rStyle w:val="SidhuvudUtskott"/>
      </w:rPr>
      <w:fldChar w:fldCharType="begin" w:fldLock="1"/>
    </w:r>
    <w:r w:rsidRPr="00515A4C">
      <w:rPr>
        <w:rStyle w:val="SidhuvudUtskott"/>
      </w:rPr>
      <w:instrText xml:space="preserve"> if </w:instrText>
    </w:r>
    <w:r w:rsidRPr="00515A4C">
      <w:rPr>
        <w:rStyle w:val="SidhuvudUtskott"/>
      </w:rPr>
      <w:fldChar w:fldCharType="begin" w:fldLock="1"/>
    </w:r>
    <w:r w:rsidRPr="00515A4C">
      <w:rPr>
        <w:rStyle w:val="SidhuvudUtskott"/>
      </w:rPr>
      <w:instrText xml:space="preserve"> DOCPROPERTY "UtkastDatum"</w:instrText>
    </w:r>
    <w:r w:rsidRPr="00515A4C">
      <w:rPr>
        <w:rStyle w:val="SidhuvudUtskott"/>
      </w:rPr>
      <w:fldChar w:fldCharType="separate"/>
    </w:r>
    <w:r w:rsidRPr="00515A4C">
      <w:rPr>
        <w:rStyle w:val="SidhuvudUtskott"/>
      </w:rPr>
      <w:instrText>Nej</w:instrText>
    </w:r>
    <w:r w:rsidRPr="00515A4C">
      <w:rPr>
        <w:rStyle w:val="SidhuvudUtskott"/>
      </w:rPr>
      <w:fldChar w:fldCharType="end"/>
    </w:r>
    <w:r w:rsidRPr="00515A4C">
      <w:rPr>
        <w:rStyle w:val="SidhuvudUtskott"/>
      </w:rPr>
      <w:instrText xml:space="preserve"> = "Ja" "    </w:instrText>
    </w:r>
    <w:r w:rsidRPr="00515A4C">
      <w:rPr>
        <w:rStyle w:val="SidhuvudUtskott"/>
      </w:rPr>
      <w:fldChar w:fldCharType="begin" w:fldLock="1"/>
    </w:r>
    <w:r w:rsidRPr="00515A4C">
      <w:rPr>
        <w:rStyle w:val="SidhuvudUtskott"/>
      </w:rPr>
      <w:instrText xml:space="preserve"> PRINTDATE \@ "yyyy-MM-dd HH.mm" </w:instrText>
    </w:r>
    <w:r w:rsidRPr="00515A4C">
      <w:rPr>
        <w:rStyle w:val="SidhuvudUtskott"/>
      </w:rPr>
      <w:fldChar w:fldCharType="separate"/>
    </w:r>
    <w:r w:rsidRPr="00515A4C">
      <w:rPr>
        <w:rStyle w:val="SidhuvudUtskott"/>
      </w:rPr>
      <w:instrText>2000-08-11 16.42</w:instrText>
    </w:r>
    <w:r w:rsidRPr="00515A4C">
      <w:rPr>
        <w:rStyle w:val="SidhuvudUtskott"/>
      </w:rPr>
      <w:fldChar w:fldCharType="end"/>
    </w:r>
    <w:r w:rsidRPr="00515A4C">
      <w:rPr>
        <w:rStyle w:val="SidhuvudUtskott"/>
      </w:rPr>
      <w:instrText xml:space="preserve">" </w:instrText>
    </w:r>
    <w:r w:rsidRPr="00515A4C">
      <w:rPr>
        <w:rStyle w:val="SidhuvudUtskott"/>
      </w:rPr>
      <w:fldChar w:fldCharType="end"/>
    </w:r>
  </w:p>
  <w:p w:rsidR="00322A77" w:rsidRPr="00515A4C" w:rsidRDefault="00322A7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Jmn"/>
      <w:framePr w:w="8732" w:h="567" w:hRule="exact" w:vSpace="0" w:wrap="around" w:vAnchor="page" w:y="341" w:anchorLock="0"/>
    </w:pPr>
    <w:r w:rsidRPr="00515A4C">
      <w:rPr>
        <w:rStyle w:val="SidhuvudUtskott"/>
      </w:rPr>
      <w:t>2002/03:KU26</w:t>
    </w:r>
    <w:r w:rsidRPr="00515A4C">
      <w:t xml:space="preserve"> </w:t>
    </w:r>
    <w:r w:rsidRPr="00515A4C">
      <w:rPr>
        <w:rStyle w:val="SidhuvudRubrikReferens"/>
      </w:rPr>
      <w:t>Utskottets överväganden</w:t>
    </w:r>
  </w:p>
  <w:p w:rsidR="00322A77" w:rsidRPr="00515A4C" w:rsidRDefault="00322A77">
    <w:pPr>
      <w:pStyle w:val="SidhuvudKantJmn"/>
      <w:framePr w:w="8732" w:h="567" w:hRule="exact" w:vSpace="0" w:wrap="around" w:vAnchor="page" w:y="341" w:anchorLock="0"/>
    </w:pPr>
  </w:p>
  <w:p w:rsidR="00322A77" w:rsidRPr="00515A4C" w:rsidRDefault="00322A7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Udda"/>
      <w:framePr w:w="8732" w:h="567" w:hRule="exact" w:vSpace="0" w:wrap="around" w:vAnchor="page" w:y="341" w:anchorLock="0"/>
    </w:pPr>
    <w:r w:rsidRPr="00515A4C">
      <w:rPr>
        <w:rStyle w:val="SidhuvudRubrikReferens"/>
      </w:rPr>
      <w:t>Utskottets överväganden</w:t>
    </w:r>
    <w:r w:rsidRPr="00515A4C">
      <w:rPr>
        <w:rStyle w:val="SidhuvudBilaga"/>
      </w:rPr>
      <w:t xml:space="preserve"> </w:t>
    </w:r>
    <w:r w:rsidRPr="00515A4C">
      <w:rPr>
        <w:rStyle w:val="SidhuvudUtskott"/>
      </w:rPr>
      <w:t>2002/03:KU26</w:t>
    </w:r>
  </w:p>
  <w:p w:rsidR="00322A77" w:rsidRPr="00515A4C" w:rsidRDefault="00322A77">
    <w:pPr>
      <w:pStyle w:val="SidhuvudKantUdda"/>
      <w:framePr w:w="8732" w:h="567" w:hRule="exact" w:vSpace="0" w:wrap="around" w:vAnchor="page" w:y="341" w:anchorLock="0"/>
    </w:pPr>
  </w:p>
  <w:p w:rsidR="00322A77" w:rsidRPr="00515A4C" w:rsidRDefault="00322A7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Udda"/>
      <w:framePr w:w="8732" w:h="567" w:hRule="exact" w:vSpace="0" w:wrap="around" w:vAnchor="page" w:y="341" w:anchorLock="0"/>
    </w:pPr>
    <w:r w:rsidRPr="00515A4C">
      <w:t xml:space="preserve">  </w:t>
    </w:r>
    <w:r w:rsidRPr="00515A4C">
      <w:rPr>
        <w:rStyle w:val="SidhuvudUtskott"/>
      </w:rPr>
      <w:t>2002/03:KU26</w:t>
    </w:r>
  </w:p>
  <w:p w:rsidR="00322A77" w:rsidRPr="00515A4C" w:rsidRDefault="00322A77">
    <w:pPr>
      <w:pStyle w:val="SidhuvudKantUdda"/>
      <w:framePr w:w="8732" w:h="567" w:hRule="exact" w:vSpace="0" w:wrap="around" w:vAnchor="page" w:y="341" w:anchorLock="0"/>
    </w:pPr>
  </w:p>
  <w:p w:rsidR="00322A77" w:rsidRPr="00515A4C" w:rsidRDefault="00322A7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Jmn"/>
      <w:framePr w:w="8732" w:h="567" w:hRule="exact" w:vSpace="0" w:wrap="around" w:vAnchor="page" w:y="341" w:anchorLock="0"/>
    </w:pPr>
    <w:r w:rsidRPr="00515A4C">
      <w:rPr>
        <w:rStyle w:val="SidhuvudUtskott"/>
      </w:rPr>
      <w:t>2002/03:KU26</w:t>
    </w:r>
    <w:r w:rsidRPr="00515A4C">
      <w:t xml:space="preserve"> </w:t>
    </w:r>
    <w:r w:rsidRPr="00515A4C">
      <w:rPr>
        <w:rStyle w:val="SidhuvudRubrikReferens"/>
      </w:rPr>
      <w:t>Reservationer</w:t>
    </w:r>
  </w:p>
  <w:p w:rsidR="00322A77" w:rsidRPr="00515A4C" w:rsidRDefault="00322A77">
    <w:pPr>
      <w:pStyle w:val="SidhuvudKantJmn"/>
      <w:framePr w:w="8732" w:h="567" w:hRule="exact" w:vSpace="0" w:wrap="around" w:vAnchor="page" w:y="341" w:anchorLock="0"/>
    </w:pPr>
  </w:p>
  <w:p w:rsidR="00322A77" w:rsidRPr="00515A4C" w:rsidRDefault="00322A7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Udda"/>
      <w:framePr w:w="8732" w:h="567" w:hRule="exact" w:vSpace="0" w:wrap="around" w:vAnchor="page" w:y="341" w:anchorLock="0"/>
    </w:pPr>
    <w:r w:rsidRPr="00515A4C">
      <w:rPr>
        <w:rStyle w:val="SidhuvudRubrikReferens"/>
      </w:rPr>
      <w:t>Reservationer</w:t>
    </w:r>
    <w:r w:rsidRPr="00515A4C">
      <w:rPr>
        <w:rStyle w:val="SidhuvudBilaga"/>
      </w:rPr>
      <w:t xml:space="preserve"> </w:t>
    </w:r>
    <w:r w:rsidRPr="00515A4C">
      <w:rPr>
        <w:rStyle w:val="SidhuvudUtskott"/>
      </w:rPr>
      <w:t>2002/03:KU26</w:t>
    </w:r>
  </w:p>
  <w:p w:rsidR="00322A77" w:rsidRPr="00515A4C" w:rsidRDefault="00322A77">
    <w:pPr>
      <w:pStyle w:val="SidhuvudKantUdda"/>
      <w:framePr w:w="8732" w:h="567" w:hRule="exact" w:vSpace="0" w:wrap="around" w:vAnchor="page" w:y="341" w:anchorLock="0"/>
    </w:pPr>
  </w:p>
  <w:p w:rsidR="00322A77" w:rsidRPr="00515A4C" w:rsidRDefault="00322A7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Jmn"/>
      <w:framePr w:w="8732" w:h="567" w:hRule="exact" w:vSpace="0" w:wrap="around" w:vAnchor="page" w:y="341" w:anchorLock="0"/>
    </w:pPr>
    <w:r w:rsidRPr="00515A4C">
      <w:rPr>
        <w:rStyle w:val="SidhuvudUtskott"/>
      </w:rPr>
      <w:t>2002/03:KU26</w:t>
    </w:r>
    <w:r w:rsidRPr="00515A4C">
      <w:t xml:space="preserve">    </w:t>
    </w:r>
  </w:p>
  <w:p w:rsidR="00322A77" w:rsidRPr="00515A4C" w:rsidRDefault="00322A77">
    <w:pPr>
      <w:pStyle w:val="SidhuvudKantJmn"/>
      <w:framePr w:w="8732" w:h="567" w:hRule="exact" w:vSpace="0" w:wrap="around" w:vAnchor="page" w:y="341" w:anchorLock="0"/>
    </w:pPr>
  </w:p>
  <w:p w:rsidR="00322A77" w:rsidRPr="00515A4C" w:rsidRDefault="00322A77">
    <w:pPr>
      <w:pStyle w:val="SidhuvudKantUdda"/>
      <w:framePr w:w="8732" w:h="567" w:hRule="exact" w:vSpace="0" w:wrap="around" w:vAnchor="page" w:y="341" w:anchorLock="0"/>
    </w:pPr>
    <w:r w:rsidRPr="00515A4C">
      <w:rPr>
        <w:rStyle w:val="SidhuvudRubrikReferens"/>
        <w:smallCaps w:val="0"/>
        <w:spacing w:val="0"/>
        <w:sz w:val="19"/>
      </w:rPr>
      <w:t xml:space="preserve"> </w:t>
    </w:r>
  </w:p>
  <w:p w:rsidR="00322A77" w:rsidRPr="00515A4C" w:rsidRDefault="00322A7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Jmn"/>
      <w:framePr w:w="8732" w:h="567" w:hRule="exact" w:vSpace="0" w:wrap="around" w:vAnchor="page" w:y="341" w:anchorLock="0"/>
    </w:pPr>
    <w:r w:rsidRPr="00515A4C">
      <w:rPr>
        <w:rStyle w:val="SidhuvudUtskott"/>
      </w:rPr>
      <w:t>2002/03:KU26</w:t>
    </w:r>
    <w:r w:rsidRPr="00515A4C">
      <w:t xml:space="preserve"> </w:t>
    </w:r>
    <w:r w:rsidRPr="00515A4C">
      <w:rPr>
        <w:rStyle w:val="SidhuvudRubrikReferens"/>
      </w:rPr>
      <w:t>Särskilda yttranden</w:t>
    </w:r>
  </w:p>
  <w:p w:rsidR="00322A77" w:rsidRPr="00515A4C" w:rsidRDefault="00322A77">
    <w:pPr>
      <w:pStyle w:val="SidhuvudKantJmn"/>
      <w:framePr w:w="8732" w:h="567" w:hRule="exact" w:vSpace="0" w:wrap="around" w:vAnchor="page" w:y="341" w:anchorLock="0"/>
    </w:pPr>
  </w:p>
  <w:p w:rsidR="00322A77" w:rsidRPr="00515A4C" w:rsidRDefault="00322A7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Udda"/>
      <w:framePr w:w="8732" w:h="567" w:hRule="exact" w:vSpace="0" w:wrap="around" w:vAnchor="page" w:y="341" w:anchorLock="0"/>
    </w:pPr>
    <w:r w:rsidRPr="00515A4C">
      <w:rPr>
        <w:rStyle w:val="SidhuvudRubrikReferens"/>
      </w:rPr>
      <w:fldChar w:fldCharType="begin" w:fldLock="1"/>
    </w:r>
    <w:r w:rsidRPr="00515A4C">
      <w:rPr>
        <w:rStyle w:val="SidhuvudRubrikReferens"/>
      </w:rPr>
      <w:instrText xml:space="preserve"> StyleREF "Rubrik 1" </w:instrText>
    </w:r>
    <w:r w:rsidRPr="00515A4C">
      <w:rPr>
        <w:rStyle w:val="SidhuvudRubrikReferens"/>
      </w:rPr>
      <w:fldChar w:fldCharType="separate"/>
    </w:r>
    <w:r w:rsidRPr="00515A4C">
      <w:rPr>
        <w:rStyle w:val="SidhuvudRubrikReferens"/>
      </w:rPr>
      <w:t>Reservationer</w:t>
    </w:r>
    <w:r w:rsidRPr="00515A4C">
      <w:rPr>
        <w:rStyle w:val="SidhuvudRubrikReferens"/>
      </w:rPr>
      <w:fldChar w:fldCharType="end"/>
    </w:r>
    <w:r w:rsidRPr="00515A4C">
      <w:rPr>
        <w:rStyle w:val="SidhuvudBilaga"/>
      </w:rPr>
      <w:t xml:space="preserve"> </w:t>
    </w:r>
    <w:r w:rsidRPr="00515A4C">
      <w:rPr>
        <w:rStyle w:val="SidhuvudUtskott"/>
      </w:rPr>
      <w:fldChar w:fldCharType="begin" w:fldLock="1"/>
    </w:r>
    <w:r w:rsidRPr="00515A4C">
      <w:rPr>
        <w:rStyle w:val="SidhuvudUtskott"/>
      </w:rPr>
      <w:instrText xml:space="preserve"> DOCPROPERTY BetänkandeÅr</w:instrText>
    </w:r>
    <w:r w:rsidRPr="00515A4C">
      <w:rPr>
        <w:rStyle w:val="SidhuvudUtskott"/>
      </w:rPr>
      <w:fldChar w:fldCharType="separate"/>
    </w:r>
    <w:r w:rsidRPr="00515A4C">
      <w:rPr>
        <w:rStyle w:val="SidhuvudUtskott"/>
      </w:rPr>
      <w:t>2002/03</w:t>
    </w:r>
    <w:r w:rsidRPr="00515A4C">
      <w:rPr>
        <w:rStyle w:val="SidhuvudUtskott"/>
      </w:rPr>
      <w:fldChar w:fldCharType="end"/>
    </w:r>
    <w:r w:rsidRPr="00515A4C">
      <w:rPr>
        <w:rStyle w:val="SidhuvudUtskott"/>
      </w:rPr>
      <w:t>:</w:t>
    </w:r>
    <w:r w:rsidRPr="00515A4C">
      <w:rPr>
        <w:rStyle w:val="SidhuvudUtskott"/>
      </w:rPr>
      <w:fldChar w:fldCharType="begin" w:fldLock="1"/>
    </w:r>
    <w:r w:rsidRPr="00515A4C">
      <w:rPr>
        <w:rStyle w:val="SidhuvudUtskott"/>
      </w:rPr>
      <w:instrText xml:space="preserve"> DOCPROPERTY</w:instrText>
    </w:r>
    <w:r w:rsidRPr="00515A4C">
      <w:instrText xml:space="preserve"> </w:instrText>
    </w:r>
    <w:r w:rsidRPr="00515A4C">
      <w:rPr>
        <w:rStyle w:val="SidhuvudUtskott"/>
      </w:rPr>
      <w:instrText>Utskott</w:instrText>
    </w:r>
    <w:r w:rsidRPr="00515A4C">
      <w:rPr>
        <w:rStyle w:val="SidhuvudUtskott"/>
      </w:rPr>
      <w:fldChar w:fldCharType="separate"/>
    </w:r>
    <w:r w:rsidRPr="00515A4C">
      <w:rPr>
        <w:rStyle w:val="SidhuvudUtskott"/>
      </w:rPr>
      <w:t>KU</w:t>
    </w:r>
    <w:r w:rsidRPr="00515A4C">
      <w:rPr>
        <w:rStyle w:val="SidhuvudUtskott"/>
      </w:rPr>
      <w:fldChar w:fldCharType="end"/>
    </w:r>
    <w:r w:rsidRPr="00515A4C">
      <w:rPr>
        <w:rStyle w:val="SidhuvudUtskott"/>
      </w:rPr>
      <w:fldChar w:fldCharType="begin" w:fldLock="1"/>
    </w:r>
    <w:r w:rsidRPr="00515A4C">
      <w:rPr>
        <w:rStyle w:val="SidhuvudUtskott"/>
      </w:rPr>
      <w:instrText xml:space="preserve"> DOCPROPERTY Betä</w:instrText>
    </w:r>
    <w:r w:rsidRPr="00515A4C">
      <w:rPr>
        <w:rStyle w:val="SidhuvudUtskott"/>
      </w:rPr>
      <w:instrText>n</w:instrText>
    </w:r>
    <w:r w:rsidRPr="00515A4C">
      <w:rPr>
        <w:rStyle w:val="SidhuvudUtskott"/>
      </w:rPr>
      <w:instrText>kandeNr</w:instrText>
    </w:r>
    <w:r w:rsidRPr="00515A4C">
      <w:rPr>
        <w:rStyle w:val="SidhuvudUtskott"/>
      </w:rPr>
      <w:fldChar w:fldCharType="separate"/>
    </w:r>
    <w:r w:rsidRPr="00515A4C">
      <w:rPr>
        <w:rStyle w:val="SidhuvudUtskott"/>
      </w:rPr>
      <w:t>26</w:t>
    </w:r>
    <w:r w:rsidRPr="00515A4C">
      <w:rPr>
        <w:rStyle w:val="SidhuvudUtskott"/>
      </w:rPr>
      <w:fldChar w:fldCharType="end"/>
    </w:r>
  </w:p>
  <w:p w:rsidR="00322A77" w:rsidRPr="00515A4C" w:rsidRDefault="00322A77">
    <w:pPr>
      <w:pStyle w:val="SidhuvudKantUdda"/>
      <w:framePr w:w="8732" w:h="567" w:hRule="exact" w:vSpace="0" w:wrap="around" w:vAnchor="page" w:y="341" w:anchorLock="0"/>
    </w:pPr>
    <w:r w:rsidRPr="00515A4C">
      <w:rPr>
        <w:rStyle w:val="SidhuvudUtskott"/>
      </w:rPr>
      <w:fldChar w:fldCharType="begin" w:fldLock="1"/>
    </w:r>
    <w:r w:rsidRPr="00515A4C">
      <w:rPr>
        <w:rStyle w:val="SidhuvudUtskott"/>
      </w:rPr>
      <w:instrText xml:space="preserve"> if </w:instrText>
    </w:r>
    <w:r w:rsidRPr="00515A4C">
      <w:rPr>
        <w:rStyle w:val="SidhuvudUtskott"/>
      </w:rPr>
      <w:fldChar w:fldCharType="begin" w:fldLock="1"/>
    </w:r>
    <w:r w:rsidRPr="00515A4C">
      <w:rPr>
        <w:rStyle w:val="SidhuvudUtskott"/>
      </w:rPr>
      <w:instrText xml:space="preserve"> DOCPROPERTY "UtkastDatum"</w:instrText>
    </w:r>
    <w:r w:rsidRPr="00515A4C">
      <w:rPr>
        <w:rStyle w:val="SidhuvudUtskott"/>
      </w:rPr>
      <w:fldChar w:fldCharType="separate"/>
    </w:r>
    <w:r w:rsidRPr="00515A4C">
      <w:rPr>
        <w:rStyle w:val="SidhuvudUtskott"/>
      </w:rPr>
      <w:instrText>Nej</w:instrText>
    </w:r>
    <w:r w:rsidRPr="00515A4C">
      <w:rPr>
        <w:rStyle w:val="SidhuvudUtskott"/>
      </w:rPr>
      <w:fldChar w:fldCharType="end"/>
    </w:r>
    <w:r w:rsidRPr="00515A4C">
      <w:rPr>
        <w:rStyle w:val="SidhuvudUtskott"/>
      </w:rPr>
      <w:instrText xml:space="preserve"> = "Ja" "</w:instrText>
    </w:r>
    <w:r w:rsidRPr="00515A4C">
      <w:rPr>
        <w:rStyle w:val="SidhuvudUtskott"/>
      </w:rPr>
      <w:fldChar w:fldCharType="begin" w:fldLock="1"/>
    </w:r>
    <w:r w:rsidRPr="00515A4C">
      <w:rPr>
        <w:rStyle w:val="SidhuvudUtskott"/>
      </w:rPr>
      <w:instrText xml:space="preserve"> PRINTDATE \@ "yyyy-MM-dd HH.mm    " </w:instrText>
    </w:r>
    <w:r w:rsidRPr="00515A4C">
      <w:rPr>
        <w:rStyle w:val="SidhuvudUtskott"/>
      </w:rPr>
      <w:fldChar w:fldCharType="separate"/>
    </w:r>
    <w:r w:rsidRPr="00515A4C">
      <w:rPr>
        <w:rStyle w:val="SidhuvudUtskott"/>
      </w:rPr>
      <w:instrText>2000-08-11 16.42</w:instrText>
    </w:r>
    <w:r w:rsidRPr="00515A4C">
      <w:rPr>
        <w:rStyle w:val="SidhuvudUtskott"/>
      </w:rPr>
      <w:fldChar w:fldCharType="end"/>
    </w:r>
    <w:r w:rsidRPr="00515A4C">
      <w:rPr>
        <w:rStyle w:val="SidhuvudUtskott"/>
      </w:rPr>
      <w:instrText xml:space="preserve">" </w:instrText>
    </w:r>
    <w:r w:rsidRPr="00515A4C">
      <w:rPr>
        <w:rStyle w:val="SidhuvudUtskott"/>
      </w:rPr>
      <w:fldChar w:fldCharType="end"/>
    </w:r>
    <w:r w:rsidRPr="00515A4C">
      <w:rPr>
        <w:rStyle w:val="SidhuvudUtskott"/>
      </w:rPr>
      <w:fldChar w:fldCharType="begin" w:fldLock="1"/>
    </w:r>
    <w:r w:rsidRPr="00515A4C">
      <w:rPr>
        <w:rStyle w:val="SidhuvudUtskott"/>
      </w:rPr>
      <w:instrText xml:space="preserve"> DOCPR</w:instrText>
    </w:r>
    <w:r w:rsidRPr="00515A4C">
      <w:rPr>
        <w:rStyle w:val="SidhuvudUtskott"/>
      </w:rPr>
      <w:instrText>O</w:instrText>
    </w:r>
    <w:r w:rsidRPr="00515A4C">
      <w:rPr>
        <w:rStyle w:val="SidhuvudUtskott"/>
      </w:rPr>
      <w:instrText>PERTY Status</w:instrText>
    </w:r>
    <w:r w:rsidRPr="00515A4C">
      <w:rPr>
        <w:rStyle w:val="SidhuvudUtskott"/>
      </w:rPr>
      <w:fldChar w:fldCharType="end"/>
    </w:r>
  </w:p>
  <w:p w:rsidR="00322A77" w:rsidRPr="00515A4C" w:rsidRDefault="00322A7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Udda"/>
      <w:framePr w:w="8732" w:h="567" w:hRule="exact" w:vSpace="0" w:wrap="around" w:vAnchor="page" w:y="341" w:anchorLock="0"/>
    </w:pPr>
    <w:r w:rsidRPr="00515A4C">
      <w:t xml:space="preserve">  </w:t>
    </w:r>
    <w:r w:rsidRPr="00515A4C">
      <w:rPr>
        <w:rStyle w:val="SidhuvudUtskott"/>
      </w:rPr>
      <w:t>2002/03:KU26</w:t>
    </w:r>
  </w:p>
  <w:p w:rsidR="00322A77" w:rsidRPr="00515A4C" w:rsidRDefault="00322A77">
    <w:pPr>
      <w:pStyle w:val="SidhuvudKantUdda"/>
      <w:framePr w:w="8732" w:h="567" w:hRule="exact" w:vSpace="0" w:wrap="around" w:vAnchor="page" w:y="341" w:anchorLock="0"/>
    </w:pPr>
  </w:p>
  <w:p w:rsidR="00322A77" w:rsidRPr="00515A4C" w:rsidRDefault="00322A7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Jmn"/>
      <w:framePr w:w="8732" w:h="567" w:hRule="exact" w:vSpace="0" w:wrap="around" w:vAnchor="page" w:y="341" w:anchorLock="0"/>
    </w:pPr>
    <w:r w:rsidRPr="00515A4C">
      <w:rPr>
        <w:rStyle w:val="SidhuvudUtskott"/>
      </w:rPr>
      <w:t>2002/03:KU26</w:t>
    </w:r>
    <w:r w:rsidRPr="00515A4C">
      <w:t xml:space="preserve"> </w:t>
    </w:r>
    <w:r w:rsidRPr="00515A4C">
      <w:rPr>
        <w:rStyle w:val="SidhuvudBilaga"/>
      </w:rPr>
      <w:t xml:space="preserve">Bilaga 1 </w:t>
    </w:r>
    <w:r w:rsidRPr="00515A4C">
      <w:rPr>
        <w:rStyle w:val="SidhuvudRubrikReferens"/>
      </w:rPr>
      <w:t>Förteckning över behandlade förslag</w:t>
    </w:r>
  </w:p>
  <w:p w:rsidR="00322A77" w:rsidRPr="00515A4C" w:rsidRDefault="00322A77">
    <w:pPr>
      <w:pStyle w:val="SidhuvudKantJmn"/>
      <w:framePr w:w="8732" w:h="567" w:hRule="exact" w:vSpace="0" w:wrap="around" w:vAnchor="page" w:y="341" w:anchorLock="0"/>
    </w:pPr>
  </w:p>
  <w:p w:rsidR="00322A77" w:rsidRPr="00515A4C" w:rsidRDefault="00322A7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Udda"/>
      <w:framePr w:w="8732" w:h="567" w:hRule="exact" w:vSpace="0" w:wrap="around" w:vAnchor="page" w:y="341" w:anchorLock="0"/>
    </w:pPr>
    <w:r w:rsidRPr="00515A4C">
      <w:rPr>
        <w:rStyle w:val="SidhuvudRubrikReferens"/>
      </w:rPr>
      <w:fldChar w:fldCharType="begin" w:fldLock="1"/>
    </w:r>
    <w:r w:rsidRPr="00515A4C">
      <w:rPr>
        <w:rStyle w:val="SidhuvudRubrikReferens"/>
      </w:rPr>
      <w:instrText xml:space="preserve"> StyleREF "Rubrik 1" </w:instrText>
    </w:r>
    <w:r w:rsidRPr="00515A4C">
      <w:rPr>
        <w:rStyle w:val="SidhuvudRubrikReferens"/>
      </w:rPr>
      <w:fldChar w:fldCharType="separate"/>
    </w:r>
    <w:r w:rsidRPr="00515A4C">
      <w:rPr>
        <w:rStyle w:val="SidhuvudRubrikReferens"/>
      </w:rPr>
      <w:t>Sammanfattning</w:t>
    </w:r>
    <w:r w:rsidRPr="00515A4C">
      <w:rPr>
        <w:rStyle w:val="SidhuvudRubrikReferens"/>
      </w:rPr>
      <w:fldChar w:fldCharType="end"/>
    </w:r>
    <w:r w:rsidRPr="00515A4C">
      <w:rPr>
        <w:rStyle w:val="SidhuvudBilaga"/>
      </w:rPr>
      <w:t xml:space="preserve"> </w:t>
    </w:r>
    <w:r w:rsidRPr="00515A4C">
      <w:rPr>
        <w:rStyle w:val="SidhuvudUtskott"/>
      </w:rPr>
      <w:fldChar w:fldCharType="begin" w:fldLock="1"/>
    </w:r>
    <w:r w:rsidRPr="00515A4C">
      <w:rPr>
        <w:rStyle w:val="SidhuvudUtskott"/>
      </w:rPr>
      <w:instrText xml:space="preserve"> DOCPROPERTY BetänkandeÅr</w:instrText>
    </w:r>
    <w:r w:rsidRPr="00515A4C">
      <w:rPr>
        <w:rStyle w:val="SidhuvudUtskott"/>
      </w:rPr>
      <w:fldChar w:fldCharType="separate"/>
    </w:r>
    <w:r w:rsidRPr="00515A4C">
      <w:rPr>
        <w:rStyle w:val="SidhuvudUtskott"/>
      </w:rPr>
      <w:t>2002/03</w:t>
    </w:r>
    <w:r w:rsidRPr="00515A4C">
      <w:rPr>
        <w:rStyle w:val="SidhuvudUtskott"/>
      </w:rPr>
      <w:fldChar w:fldCharType="end"/>
    </w:r>
    <w:r w:rsidRPr="00515A4C">
      <w:rPr>
        <w:rStyle w:val="SidhuvudUtskott"/>
      </w:rPr>
      <w:t>:</w:t>
    </w:r>
    <w:r w:rsidRPr="00515A4C">
      <w:rPr>
        <w:rStyle w:val="SidhuvudUtskott"/>
      </w:rPr>
      <w:fldChar w:fldCharType="begin" w:fldLock="1"/>
    </w:r>
    <w:r w:rsidRPr="00515A4C">
      <w:rPr>
        <w:rStyle w:val="SidhuvudUtskott"/>
      </w:rPr>
      <w:instrText xml:space="preserve"> DOCPROPERTY</w:instrText>
    </w:r>
    <w:r w:rsidRPr="00515A4C">
      <w:instrText xml:space="preserve"> </w:instrText>
    </w:r>
    <w:r w:rsidRPr="00515A4C">
      <w:rPr>
        <w:rStyle w:val="SidhuvudUtskott"/>
      </w:rPr>
      <w:instrText>Utskott</w:instrText>
    </w:r>
    <w:r w:rsidRPr="00515A4C">
      <w:rPr>
        <w:rStyle w:val="SidhuvudUtskott"/>
      </w:rPr>
      <w:fldChar w:fldCharType="separate"/>
    </w:r>
    <w:r w:rsidRPr="00515A4C">
      <w:rPr>
        <w:rStyle w:val="SidhuvudUtskott"/>
      </w:rPr>
      <w:t>KU</w:t>
    </w:r>
    <w:r w:rsidRPr="00515A4C">
      <w:rPr>
        <w:rStyle w:val="SidhuvudUtskott"/>
      </w:rPr>
      <w:fldChar w:fldCharType="end"/>
    </w:r>
    <w:r w:rsidRPr="00515A4C">
      <w:rPr>
        <w:rStyle w:val="SidhuvudUtskott"/>
      </w:rPr>
      <w:fldChar w:fldCharType="begin" w:fldLock="1"/>
    </w:r>
    <w:r w:rsidRPr="00515A4C">
      <w:rPr>
        <w:rStyle w:val="SidhuvudUtskott"/>
      </w:rPr>
      <w:instrText xml:space="preserve"> DOCPROPERTY Betä</w:instrText>
    </w:r>
    <w:r w:rsidRPr="00515A4C">
      <w:rPr>
        <w:rStyle w:val="SidhuvudUtskott"/>
      </w:rPr>
      <w:instrText>n</w:instrText>
    </w:r>
    <w:r w:rsidRPr="00515A4C">
      <w:rPr>
        <w:rStyle w:val="SidhuvudUtskott"/>
      </w:rPr>
      <w:instrText>kandeNr</w:instrText>
    </w:r>
    <w:r w:rsidRPr="00515A4C">
      <w:rPr>
        <w:rStyle w:val="SidhuvudUtskott"/>
      </w:rPr>
      <w:fldChar w:fldCharType="separate"/>
    </w:r>
    <w:r w:rsidRPr="00515A4C">
      <w:rPr>
        <w:rStyle w:val="SidhuvudUtskott"/>
      </w:rPr>
      <w:t>26</w:t>
    </w:r>
    <w:r w:rsidRPr="00515A4C">
      <w:rPr>
        <w:rStyle w:val="SidhuvudUtskott"/>
      </w:rPr>
      <w:fldChar w:fldCharType="end"/>
    </w:r>
  </w:p>
  <w:p w:rsidR="00322A77" w:rsidRPr="00515A4C" w:rsidRDefault="00322A77">
    <w:pPr>
      <w:pStyle w:val="SidhuvudKantUdda"/>
      <w:framePr w:w="8732" w:h="567" w:hRule="exact" w:vSpace="0" w:wrap="around" w:vAnchor="page" w:y="341" w:anchorLock="0"/>
    </w:pPr>
    <w:r w:rsidRPr="00515A4C">
      <w:rPr>
        <w:rStyle w:val="SidhuvudUtskott"/>
      </w:rPr>
      <w:fldChar w:fldCharType="begin" w:fldLock="1"/>
    </w:r>
    <w:r w:rsidRPr="00515A4C">
      <w:rPr>
        <w:rStyle w:val="SidhuvudUtskott"/>
      </w:rPr>
      <w:instrText xml:space="preserve"> if </w:instrText>
    </w:r>
    <w:r w:rsidRPr="00515A4C">
      <w:rPr>
        <w:rStyle w:val="SidhuvudUtskott"/>
      </w:rPr>
      <w:fldChar w:fldCharType="begin" w:fldLock="1"/>
    </w:r>
    <w:r w:rsidRPr="00515A4C">
      <w:rPr>
        <w:rStyle w:val="SidhuvudUtskott"/>
      </w:rPr>
      <w:instrText xml:space="preserve"> DOCPROPERTY "UtkastDatum"</w:instrText>
    </w:r>
    <w:r w:rsidRPr="00515A4C">
      <w:rPr>
        <w:rStyle w:val="SidhuvudUtskott"/>
      </w:rPr>
      <w:fldChar w:fldCharType="separate"/>
    </w:r>
    <w:r w:rsidRPr="00515A4C">
      <w:rPr>
        <w:rStyle w:val="SidhuvudUtskott"/>
      </w:rPr>
      <w:instrText>Nej</w:instrText>
    </w:r>
    <w:r w:rsidRPr="00515A4C">
      <w:rPr>
        <w:rStyle w:val="SidhuvudUtskott"/>
      </w:rPr>
      <w:fldChar w:fldCharType="end"/>
    </w:r>
    <w:r w:rsidRPr="00515A4C">
      <w:rPr>
        <w:rStyle w:val="SidhuvudUtskott"/>
      </w:rPr>
      <w:instrText xml:space="preserve"> = "Ja" "</w:instrText>
    </w:r>
    <w:r w:rsidRPr="00515A4C">
      <w:rPr>
        <w:rStyle w:val="SidhuvudUtskott"/>
      </w:rPr>
      <w:fldChar w:fldCharType="begin" w:fldLock="1"/>
    </w:r>
    <w:r w:rsidRPr="00515A4C">
      <w:rPr>
        <w:rStyle w:val="SidhuvudUtskott"/>
      </w:rPr>
      <w:instrText xml:space="preserve"> PRINTDATE \@ "yyyy-MM-dd HH.mm    " </w:instrText>
    </w:r>
    <w:r w:rsidRPr="00515A4C">
      <w:rPr>
        <w:rStyle w:val="SidhuvudUtskott"/>
      </w:rPr>
      <w:fldChar w:fldCharType="separate"/>
    </w:r>
    <w:r w:rsidRPr="00515A4C">
      <w:rPr>
        <w:rStyle w:val="SidhuvudUtskott"/>
      </w:rPr>
      <w:instrText>2000-08-11 16.42</w:instrText>
    </w:r>
    <w:r w:rsidRPr="00515A4C">
      <w:rPr>
        <w:rStyle w:val="SidhuvudUtskott"/>
      </w:rPr>
      <w:fldChar w:fldCharType="end"/>
    </w:r>
    <w:r w:rsidRPr="00515A4C">
      <w:rPr>
        <w:rStyle w:val="SidhuvudUtskott"/>
      </w:rPr>
      <w:instrText xml:space="preserve">" </w:instrText>
    </w:r>
    <w:r w:rsidRPr="00515A4C">
      <w:rPr>
        <w:rStyle w:val="SidhuvudUtskott"/>
      </w:rPr>
      <w:fldChar w:fldCharType="end"/>
    </w:r>
    <w:r w:rsidRPr="00515A4C">
      <w:rPr>
        <w:rStyle w:val="SidhuvudUtskott"/>
      </w:rPr>
      <w:fldChar w:fldCharType="begin" w:fldLock="1"/>
    </w:r>
    <w:r w:rsidRPr="00515A4C">
      <w:rPr>
        <w:rStyle w:val="SidhuvudUtskott"/>
      </w:rPr>
      <w:instrText xml:space="preserve"> DOCPR</w:instrText>
    </w:r>
    <w:r w:rsidRPr="00515A4C">
      <w:rPr>
        <w:rStyle w:val="SidhuvudUtskott"/>
      </w:rPr>
      <w:instrText>O</w:instrText>
    </w:r>
    <w:r w:rsidRPr="00515A4C">
      <w:rPr>
        <w:rStyle w:val="SidhuvudUtskott"/>
      </w:rPr>
      <w:instrText>PERTY Status</w:instrText>
    </w:r>
    <w:r w:rsidRPr="00515A4C">
      <w:rPr>
        <w:rStyle w:val="SidhuvudUtskott"/>
      </w:rPr>
      <w:fldChar w:fldCharType="end"/>
    </w:r>
  </w:p>
  <w:p w:rsidR="00322A77" w:rsidRPr="00515A4C" w:rsidRDefault="00322A7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Udda"/>
      <w:framePr w:w="8732" w:h="567" w:hRule="exact" w:vSpace="0" w:wrap="around" w:vAnchor="page" w:y="341" w:anchorLock="0"/>
    </w:pPr>
    <w:r w:rsidRPr="00515A4C">
      <w:rPr>
        <w:rStyle w:val="SidhuvudRubrikReferens"/>
      </w:rPr>
      <w:t>Förteckning över behandlade förslag</w:t>
    </w:r>
    <w:r w:rsidRPr="00515A4C">
      <w:rPr>
        <w:rStyle w:val="SidhuvudBilaga"/>
      </w:rPr>
      <w:t xml:space="preserve">   Bilaga 1 </w:t>
    </w:r>
    <w:r w:rsidRPr="00515A4C">
      <w:rPr>
        <w:rStyle w:val="SidhuvudUtskott"/>
      </w:rPr>
      <w:t>2002/03:KU26</w:t>
    </w:r>
  </w:p>
  <w:p w:rsidR="00322A77" w:rsidRPr="00515A4C" w:rsidRDefault="00322A77">
    <w:pPr>
      <w:pStyle w:val="SidhuvudKantUdda"/>
      <w:framePr w:w="8732" w:h="567" w:hRule="exact" w:vSpace="0" w:wrap="around" w:vAnchor="page" w:y="341" w:anchorLock="0"/>
    </w:pPr>
  </w:p>
  <w:p w:rsidR="00322A77" w:rsidRPr="00515A4C" w:rsidRDefault="00322A7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Udda"/>
      <w:framePr w:w="8732" w:h="567" w:hRule="exact" w:vSpace="0" w:wrap="around" w:vAnchor="page" w:y="341" w:anchorLock="0"/>
    </w:pPr>
    <w:r w:rsidRPr="00515A4C">
      <w:t xml:space="preserve">  </w:t>
    </w:r>
    <w:r w:rsidRPr="00515A4C">
      <w:rPr>
        <w:rStyle w:val="SidhuvudUtskott"/>
      </w:rPr>
      <w:t>2002/03:KU26</w:t>
    </w:r>
  </w:p>
  <w:p w:rsidR="00322A77" w:rsidRPr="00515A4C" w:rsidRDefault="00322A77">
    <w:pPr>
      <w:pStyle w:val="SidhuvudKantUdda"/>
      <w:framePr w:w="8732" w:h="567" w:hRule="exact" w:vSpace="0" w:wrap="around" w:vAnchor="page" w:y="341" w:anchorLock="0"/>
    </w:pPr>
  </w:p>
  <w:p w:rsidR="00322A77" w:rsidRPr="00515A4C" w:rsidRDefault="00322A7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Jmn"/>
      <w:framePr w:w="8732" w:h="567" w:hRule="exact" w:vSpace="0" w:wrap="around" w:vAnchor="page" w:y="341" w:anchorLock="0"/>
    </w:pPr>
    <w:r w:rsidRPr="00515A4C">
      <w:rPr>
        <w:rStyle w:val="SidhuvudUtskott"/>
      </w:rPr>
      <w:fldChar w:fldCharType="begin" w:fldLock="1"/>
    </w:r>
    <w:r w:rsidRPr="00515A4C">
      <w:rPr>
        <w:rStyle w:val="SidhuvudUtskott"/>
      </w:rPr>
      <w:instrText xml:space="preserve"> DOCPROPERTY BetänkandeÅr</w:instrText>
    </w:r>
    <w:r w:rsidRPr="00515A4C">
      <w:rPr>
        <w:rStyle w:val="SidhuvudUtskott"/>
      </w:rPr>
      <w:fldChar w:fldCharType="separate"/>
    </w:r>
    <w:r w:rsidRPr="00515A4C">
      <w:rPr>
        <w:rStyle w:val="SidhuvudUtskott"/>
      </w:rPr>
      <w:t>2002/03</w:t>
    </w:r>
    <w:r w:rsidRPr="00515A4C">
      <w:rPr>
        <w:rStyle w:val="SidhuvudUtskott"/>
      </w:rPr>
      <w:fldChar w:fldCharType="end"/>
    </w:r>
    <w:r w:rsidRPr="00515A4C">
      <w:rPr>
        <w:rStyle w:val="SidhuvudUtskott"/>
      </w:rPr>
      <w:t>:</w:t>
    </w:r>
    <w:r w:rsidRPr="00515A4C">
      <w:rPr>
        <w:rStyle w:val="SidhuvudUtskott"/>
      </w:rPr>
      <w:fldChar w:fldCharType="begin" w:fldLock="1"/>
    </w:r>
    <w:r w:rsidRPr="00515A4C">
      <w:rPr>
        <w:rStyle w:val="SidhuvudUtskott"/>
      </w:rPr>
      <w:instrText xml:space="preserve"> DOCPROPERTY Utskott</w:instrText>
    </w:r>
    <w:r w:rsidRPr="00515A4C">
      <w:rPr>
        <w:rStyle w:val="SidhuvudUtskott"/>
      </w:rPr>
      <w:fldChar w:fldCharType="separate"/>
    </w:r>
    <w:r w:rsidRPr="00515A4C">
      <w:rPr>
        <w:rStyle w:val="SidhuvudUtskott"/>
      </w:rPr>
      <w:t>KU</w:t>
    </w:r>
    <w:r w:rsidRPr="00515A4C">
      <w:rPr>
        <w:rStyle w:val="SidhuvudUtskott"/>
      </w:rPr>
      <w:fldChar w:fldCharType="end"/>
    </w:r>
    <w:r w:rsidRPr="00515A4C">
      <w:rPr>
        <w:rStyle w:val="SidhuvudUtskott"/>
      </w:rPr>
      <w:fldChar w:fldCharType="begin" w:fldLock="1"/>
    </w:r>
    <w:r w:rsidRPr="00515A4C">
      <w:rPr>
        <w:rStyle w:val="SidhuvudUtskott"/>
      </w:rPr>
      <w:instrText xml:space="preserve"> DOCPROPERTY BetänkandeNr</w:instrText>
    </w:r>
    <w:r w:rsidRPr="00515A4C">
      <w:rPr>
        <w:rStyle w:val="SidhuvudUtskott"/>
      </w:rPr>
      <w:fldChar w:fldCharType="separate"/>
    </w:r>
    <w:r w:rsidRPr="00515A4C">
      <w:rPr>
        <w:rStyle w:val="SidhuvudUtskott"/>
      </w:rPr>
      <w:t>26</w:t>
    </w:r>
    <w:r w:rsidRPr="00515A4C">
      <w:rPr>
        <w:rStyle w:val="SidhuvudUtskott"/>
      </w:rPr>
      <w:fldChar w:fldCharType="end"/>
    </w:r>
    <w:r w:rsidRPr="00515A4C">
      <w:t xml:space="preserve"> </w:t>
    </w:r>
    <w:r w:rsidRPr="00515A4C">
      <w:rPr>
        <w:rStyle w:val="SidhuvudRubrikReferens"/>
      </w:rPr>
      <w:fldChar w:fldCharType="begin" w:fldLock="1"/>
    </w:r>
    <w:r w:rsidRPr="00515A4C">
      <w:rPr>
        <w:rStyle w:val="SidhuvudRubrikReferens"/>
      </w:rPr>
      <w:instrText xml:space="preserve"> StyleREF "Rubrik 1" </w:instrText>
    </w:r>
    <w:r w:rsidRPr="00515A4C">
      <w:rPr>
        <w:rStyle w:val="SidhuvudRubrikReferens"/>
      </w:rPr>
      <w:fldChar w:fldCharType="separate"/>
    </w:r>
    <w:r w:rsidRPr="00515A4C">
      <w:rPr>
        <w:rStyle w:val="SidhuvudRubrikReferens"/>
      </w:rPr>
      <w:t>Förteckning över behandlade förslag</w:t>
    </w:r>
    <w:r w:rsidRPr="00515A4C">
      <w:rPr>
        <w:rStyle w:val="SidhuvudRubrikReferens"/>
      </w:rPr>
      <w:fldChar w:fldCharType="end"/>
    </w:r>
  </w:p>
  <w:p w:rsidR="00322A77" w:rsidRPr="00515A4C" w:rsidRDefault="00322A77">
    <w:pPr>
      <w:pStyle w:val="SidhuvudKantJmn"/>
      <w:framePr w:w="8732" w:h="567" w:hRule="exact" w:vSpace="0" w:wrap="around" w:vAnchor="page" w:y="341" w:anchorLock="0"/>
    </w:pPr>
    <w:r w:rsidRPr="00515A4C">
      <w:rPr>
        <w:rStyle w:val="SidhuvudUtskott"/>
      </w:rPr>
      <w:fldChar w:fldCharType="begin" w:fldLock="1"/>
    </w:r>
    <w:r w:rsidRPr="00515A4C">
      <w:rPr>
        <w:rStyle w:val="SidhuvudUtskott"/>
      </w:rPr>
      <w:instrText xml:space="preserve"> DOCPROPERTY Status</w:instrText>
    </w:r>
    <w:r w:rsidRPr="00515A4C">
      <w:rPr>
        <w:rStyle w:val="SidhuvudUtskott"/>
      </w:rPr>
      <w:fldChar w:fldCharType="end"/>
    </w:r>
    <w:r w:rsidRPr="00515A4C">
      <w:rPr>
        <w:rStyle w:val="SidhuvudUtskott"/>
      </w:rPr>
      <w:fldChar w:fldCharType="begin" w:fldLock="1"/>
    </w:r>
    <w:r w:rsidRPr="00515A4C">
      <w:rPr>
        <w:rStyle w:val="SidhuvudUtskott"/>
      </w:rPr>
      <w:instrText xml:space="preserve"> if </w:instrText>
    </w:r>
    <w:r w:rsidRPr="00515A4C">
      <w:rPr>
        <w:rStyle w:val="SidhuvudUtskott"/>
      </w:rPr>
      <w:fldChar w:fldCharType="begin" w:fldLock="1"/>
    </w:r>
    <w:r w:rsidRPr="00515A4C">
      <w:rPr>
        <w:rStyle w:val="SidhuvudUtskott"/>
      </w:rPr>
      <w:instrText xml:space="preserve"> DOCPROPERTY "UtkastDatum"</w:instrText>
    </w:r>
    <w:r w:rsidRPr="00515A4C">
      <w:rPr>
        <w:rStyle w:val="SidhuvudUtskott"/>
      </w:rPr>
      <w:fldChar w:fldCharType="separate"/>
    </w:r>
    <w:r w:rsidRPr="00515A4C">
      <w:rPr>
        <w:rStyle w:val="SidhuvudUtskott"/>
      </w:rPr>
      <w:instrText>Nej</w:instrText>
    </w:r>
    <w:r w:rsidRPr="00515A4C">
      <w:rPr>
        <w:rStyle w:val="SidhuvudUtskott"/>
      </w:rPr>
      <w:fldChar w:fldCharType="end"/>
    </w:r>
    <w:r w:rsidRPr="00515A4C">
      <w:rPr>
        <w:rStyle w:val="SidhuvudUtskott"/>
      </w:rPr>
      <w:instrText xml:space="preserve"> = "Ja" "    </w:instrText>
    </w:r>
    <w:r w:rsidRPr="00515A4C">
      <w:rPr>
        <w:rStyle w:val="SidhuvudUtskott"/>
      </w:rPr>
      <w:fldChar w:fldCharType="begin" w:fldLock="1"/>
    </w:r>
    <w:r w:rsidRPr="00515A4C">
      <w:rPr>
        <w:rStyle w:val="SidhuvudUtskott"/>
      </w:rPr>
      <w:instrText xml:space="preserve"> PRINTDATE \@ "yyyy-MM-dd HH.mm" </w:instrText>
    </w:r>
    <w:r w:rsidRPr="00515A4C">
      <w:rPr>
        <w:rStyle w:val="SidhuvudUtskott"/>
      </w:rPr>
      <w:fldChar w:fldCharType="separate"/>
    </w:r>
    <w:r w:rsidRPr="00515A4C">
      <w:rPr>
        <w:rStyle w:val="SidhuvudUtskott"/>
      </w:rPr>
      <w:instrText>2000-08-11 16.42</w:instrText>
    </w:r>
    <w:r w:rsidRPr="00515A4C">
      <w:rPr>
        <w:rStyle w:val="SidhuvudUtskott"/>
      </w:rPr>
      <w:fldChar w:fldCharType="end"/>
    </w:r>
    <w:r w:rsidRPr="00515A4C">
      <w:rPr>
        <w:rStyle w:val="SidhuvudUtskott"/>
      </w:rPr>
      <w:instrText xml:space="preserve">" </w:instrText>
    </w:r>
    <w:r w:rsidRPr="00515A4C">
      <w:rPr>
        <w:rStyle w:val="SidhuvudUtskott"/>
      </w:rPr>
      <w:fldChar w:fldCharType="end"/>
    </w:r>
  </w:p>
  <w:p w:rsidR="00322A77" w:rsidRPr="00515A4C" w:rsidRDefault="00322A7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Udda"/>
      <w:framePr w:w="8732" w:h="567" w:hRule="exact" w:vSpace="0" w:wrap="around" w:vAnchor="page" w:y="341" w:anchorLock="0"/>
    </w:pPr>
    <w:r w:rsidRPr="00515A4C">
      <w:rPr>
        <w:rStyle w:val="SidhuvudRubrikReferens"/>
      </w:rPr>
      <w:fldChar w:fldCharType="begin" w:fldLock="1"/>
    </w:r>
    <w:r w:rsidRPr="00515A4C">
      <w:rPr>
        <w:rStyle w:val="SidhuvudRubrikReferens"/>
      </w:rPr>
      <w:instrText xml:space="preserve"> StyleREF "Rubrik 1" </w:instrText>
    </w:r>
    <w:r w:rsidRPr="00515A4C">
      <w:rPr>
        <w:rStyle w:val="SidhuvudRubrikReferens"/>
      </w:rPr>
      <w:fldChar w:fldCharType="separate"/>
    </w:r>
    <w:r w:rsidRPr="00515A4C">
      <w:rPr>
        <w:rStyle w:val="SidhuvudRubrikReferens"/>
      </w:rPr>
      <w:t>Förteckning över behandlade förslag</w:t>
    </w:r>
    <w:r w:rsidRPr="00515A4C">
      <w:rPr>
        <w:rStyle w:val="SidhuvudRubrikReferens"/>
      </w:rPr>
      <w:fldChar w:fldCharType="end"/>
    </w:r>
    <w:r w:rsidRPr="00515A4C">
      <w:rPr>
        <w:rStyle w:val="SidhuvudBilaga"/>
      </w:rPr>
      <w:t xml:space="preserve">   Bilaga 2 </w:t>
    </w:r>
    <w:r w:rsidRPr="00515A4C">
      <w:rPr>
        <w:rStyle w:val="SidhuvudUtskott"/>
      </w:rPr>
      <w:fldChar w:fldCharType="begin" w:fldLock="1"/>
    </w:r>
    <w:r w:rsidRPr="00515A4C">
      <w:rPr>
        <w:rStyle w:val="SidhuvudUtskott"/>
      </w:rPr>
      <w:instrText xml:space="preserve"> DOCPROPERTY BetänkandeÅr</w:instrText>
    </w:r>
    <w:r w:rsidRPr="00515A4C">
      <w:rPr>
        <w:rStyle w:val="SidhuvudUtskott"/>
      </w:rPr>
      <w:fldChar w:fldCharType="separate"/>
    </w:r>
    <w:r w:rsidRPr="00515A4C">
      <w:rPr>
        <w:rStyle w:val="SidhuvudUtskott"/>
      </w:rPr>
      <w:t>2002/03</w:t>
    </w:r>
    <w:r w:rsidRPr="00515A4C">
      <w:rPr>
        <w:rStyle w:val="SidhuvudUtskott"/>
      </w:rPr>
      <w:fldChar w:fldCharType="end"/>
    </w:r>
    <w:r w:rsidRPr="00515A4C">
      <w:rPr>
        <w:rStyle w:val="SidhuvudUtskott"/>
      </w:rPr>
      <w:t>:</w:t>
    </w:r>
    <w:r w:rsidRPr="00515A4C">
      <w:rPr>
        <w:rStyle w:val="SidhuvudUtskott"/>
      </w:rPr>
      <w:fldChar w:fldCharType="begin" w:fldLock="1"/>
    </w:r>
    <w:r w:rsidRPr="00515A4C">
      <w:rPr>
        <w:rStyle w:val="SidhuvudUtskott"/>
      </w:rPr>
      <w:instrText xml:space="preserve"> DOCPROPERTY</w:instrText>
    </w:r>
    <w:r w:rsidRPr="00515A4C">
      <w:instrText xml:space="preserve"> </w:instrText>
    </w:r>
    <w:r w:rsidRPr="00515A4C">
      <w:rPr>
        <w:rStyle w:val="SidhuvudUtskott"/>
      </w:rPr>
      <w:instrText>Utskott</w:instrText>
    </w:r>
    <w:r w:rsidRPr="00515A4C">
      <w:rPr>
        <w:rStyle w:val="SidhuvudUtskott"/>
      </w:rPr>
      <w:fldChar w:fldCharType="separate"/>
    </w:r>
    <w:r w:rsidRPr="00515A4C">
      <w:rPr>
        <w:rStyle w:val="SidhuvudUtskott"/>
      </w:rPr>
      <w:t>KU</w:t>
    </w:r>
    <w:r w:rsidRPr="00515A4C">
      <w:rPr>
        <w:rStyle w:val="SidhuvudUtskott"/>
      </w:rPr>
      <w:fldChar w:fldCharType="end"/>
    </w:r>
    <w:r w:rsidRPr="00515A4C">
      <w:rPr>
        <w:rStyle w:val="SidhuvudUtskott"/>
      </w:rPr>
      <w:fldChar w:fldCharType="begin" w:fldLock="1"/>
    </w:r>
    <w:r w:rsidRPr="00515A4C">
      <w:rPr>
        <w:rStyle w:val="SidhuvudUtskott"/>
      </w:rPr>
      <w:instrText xml:space="preserve"> DOCPR</w:instrText>
    </w:r>
    <w:r w:rsidRPr="00515A4C">
      <w:rPr>
        <w:rStyle w:val="SidhuvudUtskott"/>
      </w:rPr>
      <w:instrText>O</w:instrText>
    </w:r>
    <w:r w:rsidRPr="00515A4C">
      <w:rPr>
        <w:rStyle w:val="SidhuvudUtskott"/>
      </w:rPr>
      <w:instrText>PERTY Betä</w:instrText>
    </w:r>
    <w:r w:rsidRPr="00515A4C">
      <w:rPr>
        <w:rStyle w:val="SidhuvudUtskott"/>
      </w:rPr>
      <w:instrText>n</w:instrText>
    </w:r>
    <w:r w:rsidRPr="00515A4C">
      <w:rPr>
        <w:rStyle w:val="SidhuvudUtskott"/>
      </w:rPr>
      <w:instrText>kandeNr</w:instrText>
    </w:r>
    <w:r w:rsidRPr="00515A4C">
      <w:rPr>
        <w:rStyle w:val="SidhuvudUtskott"/>
      </w:rPr>
      <w:fldChar w:fldCharType="separate"/>
    </w:r>
    <w:r w:rsidRPr="00515A4C">
      <w:rPr>
        <w:rStyle w:val="SidhuvudUtskott"/>
      </w:rPr>
      <w:t>26</w:t>
    </w:r>
    <w:r w:rsidRPr="00515A4C">
      <w:rPr>
        <w:rStyle w:val="SidhuvudUtskott"/>
      </w:rPr>
      <w:fldChar w:fldCharType="end"/>
    </w:r>
  </w:p>
  <w:p w:rsidR="00322A77" w:rsidRPr="00515A4C" w:rsidRDefault="00322A77">
    <w:pPr>
      <w:pStyle w:val="SidhuvudKantUdda"/>
      <w:framePr w:w="8732" w:h="567" w:hRule="exact" w:vSpace="0" w:wrap="around" w:vAnchor="page" w:y="341" w:anchorLock="0"/>
    </w:pPr>
    <w:r w:rsidRPr="00515A4C">
      <w:rPr>
        <w:rStyle w:val="SidhuvudUtskott"/>
      </w:rPr>
      <w:fldChar w:fldCharType="begin" w:fldLock="1"/>
    </w:r>
    <w:r w:rsidRPr="00515A4C">
      <w:rPr>
        <w:rStyle w:val="SidhuvudUtskott"/>
      </w:rPr>
      <w:instrText xml:space="preserve"> if </w:instrText>
    </w:r>
    <w:r w:rsidRPr="00515A4C">
      <w:rPr>
        <w:rStyle w:val="SidhuvudUtskott"/>
      </w:rPr>
      <w:fldChar w:fldCharType="begin" w:fldLock="1"/>
    </w:r>
    <w:r w:rsidRPr="00515A4C">
      <w:rPr>
        <w:rStyle w:val="SidhuvudUtskott"/>
      </w:rPr>
      <w:instrText xml:space="preserve"> DOCPROPERTY "UtkastDatum"</w:instrText>
    </w:r>
    <w:r w:rsidRPr="00515A4C">
      <w:rPr>
        <w:rStyle w:val="SidhuvudUtskott"/>
      </w:rPr>
      <w:fldChar w:fldCharType="separate"/>
    </w:r>
    <w:r w:rsidRPr="00515A4C">
      <w:rPr>
        <w:rStyle w:val="SidhuvudUtskott"/>
      </w:rPr>
      <w:instrText>Nej</w:instrText>
    </w:r>
    <w:r w:rsidRPr="00515A4C">
      <w:rPr>
        <w:rStyle w:val="SidhuvudUtskott"/>
      </w:rPr>
      <w:fldChar w:fldCharType="end"/>
    </w:r>
    <w:r w:rsidRPr="00515A4C">
      <w:rPr>
        <w:rStyle w:val="SidhuvudUtskott"/>
      </w:rPr>
      <w:instrText xml:space="preserve"> = "Ja" "</w:instrText>
    </w:r>
    <w:r w:rsidRPr="00515A4C">
      <w:rPr>
        <w:rStyle w:val="SidhuvudUtskott"/>
      </w:rPr>
      <w:fldChar w:fldCharType="begin" w:fldLock="1"/>
    </w:r>
    <w:r w:rsidRPr="00515A4C">
      <w:rPr>
        <w:rStyle w:val="SidhuvudUtskott"/>
      </w:rPr>
      <w:instrText xml:space="preserve"> PRINTDATE \@ "yyyy-MM-dd HH.mm    " </w:instrText>
    </w:r>
    <w:r w:rsidRPr="00515A4C">
      <w:rPr>
        <w:rStyle w:val="SidhuvudUtskott"/>
      </w:rPr>
      <w:fldChar w:fldCharType="separate"/>
    </w:r>
    <w:r w:rsidRPr="00515A4C">
      <w:rPr>
        <w:rStyle w:val="SidhuvudUtskott"/>
      </w:rPr>
      <w:instrText>2000-08-11 16.42</w:instrText>
    </w:r>
    <w:r w:rsidRPr="00515A4C">
      <w:rPr>
        <w:rStyle w:val="SidhuvudUtskott"/>
      </w:rPr>
      <w:fldChar w:fldCharType="end"/>
    </w:r>
    <w:r w:rsidRPr="00515A4C">
      <w:rPr>
        <w:rStyle w:val="SidhuvudUtskott"/>
      </w:rPr>
      <w:instrText xml:space="preserve">" </w:instrText>
    </w:r>
    <w:r w:rsidRPr="00515A4C">
      <w:rPr>
        <w:rStyle w:val="SidhuvudUtskott"/>
      </w:rPr>
      <w:fldChar w:fldCharType="end"/>
    </w:r>
    <w:r w:rsidRPr="00515A4C">
      <w:rPr>
        <w:rStyle w:val="SidhuvudUtskott"/>
      </w:rPr>
      <w:fldChar w:fldCharType="begin" w:fldLock="1"/>
    </w:r>
    <w:r w:rsidRPr="00515A4C">
      <w:rPr>
        <w:rStyle w:val="SidhuvudUtskott"/>
      </w:rPr>
      <w:instrText xml:space="preserve"> DOCPR</w:instrText>
    </w:r>
    <w:r w:rsidRPr="00515A4C">
      <w:rPr>
        <w:rStyle w:val="SidhuvudUtskott"/>
      </w:rPr>
      <w:instrText>O</w:instrText>
    </w:r>
    <w:r w:rsidRPr="00515A4C">
      <w:rPr>
        <w:rStyle w:val="SidhuvudUtskott"/>
      </w:rPr>
      <w:instrText>PERTY Status</w:instrText>
    </w:r>
    <w:r w:rsidRPr="00515A4C">
      <w:rPr>
        <w:rStyle w:val="SidhuvudUtskott"/>
      </w:rPr>
      <w:fldChar w:fldCharType="end"/>
    </w:r>
  </w:p>
  <w:p w:rsidR="00322A77" w:rsidRPr="00515A4C" w:rsidRDefault="00322A7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Udda"/>
      <w:framePr w:w="8732" w:h="567" w:hRule="exact" w:vSpace="0" w:wrap="around" w:vAnchor="page" w:y="341" w:anchorLock="0"/>
    </w:pPr>
    <w:r w:rsidRPr="00515A4C">
      <w:t xml:space="preserve">  </w:t>
    </w:r>
    <w:r w:rsidRPr="00515A4C">
      <w:rPr>
        <w:rStyle w:val="SidhuvudUtskott"/>
      </w:rPr>
      <w:t>2002/03:KU26</w:t>
    </w:r>
  </w:p>
  <w:p w:rsidR="00322A77" w:rsidRPr="00515A4C" w:rsidRDefault="00322A77">
    <w:pPr>
      <w:pStyle w:val="SidhuvudKantUdda"/>
      <w:framePr w:w="8732" w:h="567" w:hRule="exact" w:vSpace="0" w:wrap="around" w:vAnchor="page" w:y="341" w:anchorLock="0"/>
    </w:pPr>
  </w:p>
  <w:p w:rsidR="00322A77" w:rsidRPr="00515A4C" w:rsidRDefault="00322A7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Udda"/>
      <w:framePr w:w="8732" w:h="567" w:hRule="exact" w:vSpace="0" w:wrap="around" w:vAnchor="page" w:y="341" w:anchorLock="0"/>
    </w:pPr>
    <w:r w:rsidRPr="00515A4C">
      <w:t xml:space="preserve"> </w:t>
    </w:r>
  </w:p>
  <w:p w:rsidR="00322A77" w:rsidRPr="00515A4C" w:rsidRDefault="00322A7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Jmn"/>
      <w:framePr w:w="8732" w:h="567" w:hRule="exact" w:vSpace="0" w:wrap="around" w:vAnchor="page" w:y="341" w:anchorLock="0"/>
    </w:pPr>
    <w:r w:rsidRPr="00515A4C">
      <w:rPr>
        <w:rStyle w:val="SidhuvudUtskott"/>
      </w:rPr>
      <w:t>2002/03:KU26</w:t>
    </w:r>
    <w:r w:rsidRPr="00515A4C">
      <w:t xml:space="preserve"> </w:t>
    </w:r>
    <w:r w:rsidRPr="00515A4C">
      <w:rPr>
        <w:rStyle w:val="SidhuvudRubrikReferens"/>
      </w:rPr>
      <w:t>Innehållsförteckning</w:t>
    </w:r>
  </w:p>
  <w:p w:rsidR="00322A77" w:rsidRPr="00515A4C" w:rsidRDefault="00322A77">
    <w:pPr>
      <w:pStyle w:val="SidhuvudKantJmn"/>
      <w:framePr w:w="8732" w:h="567" w:hRule="exact" w:vSpace="0" w:wrap="around" w:vAnchor="page" w:y="341" w:anchorLock="0"/>
    </w:pPr>
  </w:p>
  <w:p w:rsidR="00322A77" w:rsidRPr="00515A4C" w:rsidRDefault="00322A7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Udda"/>
      <w:framePr w:w="8732" w:h="567" w:hRule="exact" w:vSpace="0" w:wrap="around" w:vAnchor="page" w:y="341" w:anchorLock="0"/>
    </w:pPr>
    <w:r w:rsidRPr="00515A4C">
      <w:rPr>
        <w:rStyle w:val="SidhuvudRubrikReferens"/>
      </w:rPr>
      <w:t>Innehållsförteckning</w:t>
    </w:r>
    <w:r w:rsidRPr="00515A4C">
      <w:rPr>
        <w:rStyle w:val="SidhuvudBilaga"/>
      </w:rPr>
      <w:t xml:space="preserve"> </w:t>
    </w:r>
    <w:r w:rsidRPr="00515A4C">
      <w:rPr>
        <w:rStyle w:val="SidhuvudUtskott"/>
      </w:rPr>
      <w:t>2002/03:KU26</w:t>
    </w:r>
  </w:p>
  <w:p w:rsidR="00322A77" w:rsidRPr="00515A4C" w:rsidRDefault="00322A77">
    <w:pPr>
      <w:pStyle w:val="SidhuvudKantUdda"/>
      <w:framePr w:w="8732" w:h="567" w:hRule="exact" w:vSpace="0" w:wrap="around" w:vAnchor="page" w:y="341" w:anchorLock="0"/>
    </w:pPr>
  </w:p>
  <w:p w:rsidR="00322A77" w:rsidRPr="00515A4C" w:rsidRDefault="00322A7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Jmn"/>
      <w:framePr w:w="8732" w:h="567" w:hRule="exact" w:vSpace="0" w:wrap="around" w:vAnchor="page" w:y="341" w:anchorLock="0"/>
    </w:pPr>
    <w:r w:rsidRPr="00515A4C">
      <w:rPr>
        <w:rStyle w:val="SidhuvudUtskott"/>
      </w:rPr>
      <w:t>2002/03:KU26</w:t>
    </w:r>
    <w:r w:rsidRPr="00515A4C">
      <w:t xml:space="preserve">    </w:t>
    </w:r>
  </w:p>
  <w:p w:rsidR="00322A77" w:rsidRPr="00515A4C" w:rsidRDefault="00322A77">
    <w:pPr>
      <w:pStyle w:val="SidhuvudKantJmn"/>
      <w:framePr w:w="8732" w:h="567" w:hRule="exact" w:vSpace="0" w:wrap="around" w:vAnchor="page" w:y="341" w:anchorLock="0"/>
    </w:pPr>
  </w:p>
  <w:p w:rsidR="00322A77" w:rsidRPr="00515A4C" w:rsidRDefault="00322A77">
    <w:pPr>
      <w:pStyle w:val="SidhuvudKantUdda"/>
      <w:framePr w:w="8732" w:h="567" w:hRule="exact" w:vSpace="0" w:wrap="around" w:vAnchor="page" w:y="341" w:anchorLock="0"/>
    </w:pPr>
    <w:r w:rsidRPr="00515A4C">
      <w:rPr>
        <w:rStyle w:val="SidhuvudRubrikReferens"/>
        <w:smallCaps w:val="0"/>
        <w:spacing w:val="0"/>
        <w:sz w:val="19"/>
      </w:rPr>
      <w:t xml:space="preserve"> </w:t>
    </w:r>
  </w:p>
  <w:p w:rsidR="00322A77" w:rsidRPr="00515A4C" w:rsidRDefault="00322A7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Jmn"/>
      <w:framePr w:w="8732" w:h="567" w:hRule="exact" w:vSpace="0" w:wrap="around" w:vAnchor="page" w:y="341" w:anchorLock="0"/>
    </w:pPr>
    <w:r w:rsidRPr="00515A4C">
      <w:rPr>
        <w:rStyle w:val="SidhuvudUtskott"/>
      </w:rPr>
      <w:t>2002/03:KU26</w:t>
    </w:r>
    <w:r w:rsidRPr="00515A4C">
      <w:t xml:space="preserve"> </w:t>
    </w:r>
    <w:r w:rsidRPr="00515A4C">
      <w:rPr>
        <w:rStyle w:val="SidhuvudRubrikReferens"/>
      </w:rPr>
      <w:t>Utskottets förslag till riksdagsbeslut</w:t>
    </w:r>
  </w:p>
  <w:p w:rsidR="00322A77" w:rsidRPr="00515A4C" w:rsidRDefault="00322A77">
    <w:pPr>
      <w:pStyle w:val="SidhuvudKantJmn"/>
      <w:framePr w:w="8732" w:h="567" w:hRule="exact" w:vSpace="0" w:wrap="around" w:vAnchor="page" w:y="341" w:anchorLock="0"/>
    </w:pPr>
  </w:p>
  <w:p w:rsidR="00322A77" w:rsidRPr="00515A4C" w:rsidRDefault="00322A7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Udda"/>
      <w:framePr w:w="8732" w:h="567" w:hRule="exact" w:vSpace="0" w:wrap="around" w:vAnchor="page" w:y="341" w:anchorLock="0"/>
    </w:pPr>
    <w:r w:rsidRPr="00515A4C">
      <w:rPr>
        <w:rStyle w:val="SidhuvudRubrikReferens"/>
      </w:rPr>
      <w:t>Utskottets förslag till riksdagsbeslut</w:t>
    </w:r>
    <w:r w:rsidRPr="00515A4C">
      <w:rPr>
        <w:rStyle w:val="SidhuvudBilaga"/>
      </w:rPr>
      <w:t xml:space="preserve"> </w:t>
    </w:r>
    <w:r w:rsidRPr="00515A4C">
      <w:rPr>
        <w:rStyle w:val="SidhuvudUtskott"/>
      </w:rPr>
      <w:t>2002/03:KU26</w:t>
    </w:r>
  </w:p>
  <w:p w:rsidR="00322A77" w:rsidRPr="00515A4C" w:rsidRDefault="00322A77">
    <w:pPr>
      <w:pStyle w:val="SidhuvudKantUdda"/>
      <w:framePr w:w="8732" w:h="567" w:hRule="exact" w:vSpace="0" w:wrap="around" w:vAnchor="page" w:y="341" w:anchorLock="0"/>
    </w:pPr>
  </w:p>
  <w:p w:rsidR="00322A77" w:rsidRPr="00515A4C" w:rsidRDefault="00322A7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77" w:rsidRPr="00515A4C" w:rsidRDefault="00322A77">
    <w:pPr>
      <w:pStyle w:val="SidhuvudKantUdda"/>
      <w:framePr w:w="8732" w:h="567" w:hRule="exact" w:vSpace="0" w:wrap="around" w:vAnchor="page" w:y="341" w:anchorLock="0"/>
    </w:pPr>
    <w:r w:rsidRPr="00515A4C">
      <w:t xml:space="preserve">  </w:t>
    </w:r>
    <w:r w:rsidRPr="00515A4C">
      <w:rPr>
        <w:rStyle w:val="SidhuvudUtskott"/>
      </w:rPr>
      <w:t>2002/03:KU26</w:t>
    </w:r>
  </w:p>
  <w:p w:rsidR="00322A77" w:rsidRPr="00515A4C" w:rsidRDefault="00322A77">
    <w:pPr>
      <w:pStyle w:val="SidhuvudKantUdda"/>
      <w:framePr w:w="8732" w:h="567" w:hRule="exact" w:vSpace="0" w:wrap="around" w:vAnchor="page" w:y="341" w:anchorLock="0"/>
    </w:pPr>
  </w:p>
  <w:p w:rsidR="00322A77" w:rsidRPr="00515A4C" w:rsidRDefault="00322A7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1EB"/>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306779C"/>
    <w:multiLevelType w:val="singleLevel"/>
    <w:tmpl w:val="6BFC2DE8"/>
    <w:lvl w:ilvl="0">
      <w:start w:val="8"/>
      <w:numFmt w:val="bullet"/>
      <w:lvlText w:val="-"/>
      <w:lvlJc w:val="left"/>
      <w:pPr>
        <w:tabs>
          <w:tab w:val="num" w:pos="360"/>
        </w:tabs>
        <w:ind w:left="360"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AAB10D0"/>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30A42D7D"/>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36DC5F4E"/>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431E18EE"/>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442F0C09"/>
    <w:multiLevelType w:val="singleLevel"/>
    <w:tmpl w:val="07C0AFAE"/>
    <w:lvl w:ilvl="0">
      <w:start w:val="2003"/>
      <w:numFmt w:val="bullet"/>
      <w:lvlText w:val="-"/>
      <w:lvlJc w:val="left"/>
      <w:pPr>
        <w:tabs>
          <w:tab w:val="num" w:pos="587"/>
        </w:tabs>
        <w:ind w:left="587" w:hanging="360"/>
      </w:pPr>
      <w:rPr>
        <w:rFonts w:hint="default"/>
      </w:rPr>
    </w:lvl>
  </w:abstractNum>
  <w:abstractNum w:abstractNumId="8" w15:restartNumberingAfterBreak="0">
    <w:nsid w:val="45C85215"/>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46026EE4"/>
    <w:multiLevelType w:val="singleLevel"/>
    <w:tmpl w:val="041D000F"/>
    <w:lvl w:ilvl="0">
      <w:start w:val="1"/>
      <w:numFmt w:val="decimal"/>
      <w:lvlText w:val="%1."/>
      <w:lvlJc w:val="left"/>
      <w:pPr>
        <w:tabs>
          <w:tab w:val="num" w:pos="360"/>
        </w:tabs>
        <w:ind w:left="360" w:hanging="360"/>
      </w:pPr>
      <w:rPr>
        <w:rFonts w:hint="default"/>
      </w:rPr>
    </w:lvl>
  </w:abstractNum>
  <w:abstractNum w:abstractNumId="10" w15:restartNumberingAfterBreak="0">
    <w:nsid w:val="4B2C1961"/>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56E85780"/>
    <w:multiLevelType w:val="singleLevel"/>
    <w:tmpl w:val="07C0AFAE"/>
    <w:lvl w:ilvl="0">
      <w:start w:val="2003"/>
      <w:numFmt w:val="bullet"/>
      <w:lvlText w:val="-"/>
      <w:lvlJc w:val="left"/>
      <w:pPr>
        <w:tabs>
          <w:tab w:val="num" w:pos="587"/>
        </w:tabs>
        <w:ind w:left="587" w:hanging="360"/>
      </w:pPr>
      <w:rPr>
        <w:rFonts w:hint="default"/>
      </w:rPr>
    </w:lvl>
  </w:abstractNum>
  <w:abstractNum w:abstractNumId="12" w15:restartNumberingAfterBreak="0">
    <w:nsid w:val="5DE42B50"/>
    <w:multiLevelType w:val="singleLevel"/>
    <w:tmpl w:val="041D000F"/>
    <w:lvl w:ilvl="0">
      <w:start w:val="1"/>
      <w:numFmt w:val="decimal"/>
      <w:lvlText w:val="%1."/>
      <w:lvlJc w:val="left"/>
      <w:pPr>
        <w:tabs>
          <w:tab w:val="num" w:pos="360"/>
        </w:tabs>
        <w:ind w:left="360" w:hanging="360"/>
      </w:pPr>
      <w:rPr>
        <w:rFonts w:hint="default"/>
      </w:rPr>
    </w:lvl>
  </w:abstractNum>
  <w:abstractNum w:abstractNumId="13" w15:restartNumberingAfterBreak="0">
    <w:nsid w:val="72765864"/>
    <w:multiLevelType w:val="singleLevel"/>
    <w:tmpl w:val="041D000F"/>
    <w:lvl w:ilvl="0">
      <w:start w:val="1"/>
      <w:numFmt w:val="decimal"/>
      <w:lvlText w:val="%1."/>
      <w:lvlJc w:val="left"/>
      <w:pPr>
        <w:tabs>
          <w:tab w:val="num" w:pos="360"/>
        </w:tabs>
        <w:ind w:left="360" w:hanging="360"/>
      </w:pPr>
      <w:rPr>
        <w:rFonts w:hint="default"/>
      </w:rPr>
    </w:lvl>
  </w:abstractNum>
  <w:abstractNum w:abstractNumId="14" w15:restartNumberingAfterBreak="0">
    <w:nsid w:val="7BC9197B"/>
    <w:multiLevelType w:val="singleLevel"/>
    <w:tmpl w:val="6BFC2DE8"/>
    <w:lvl w:ilvl="0">
      <w:numFmt w:val="bullet"/>
      <w:lvlText w:val="-"/>
      <w:lvlJc w:val="left"/>
      <w:pPr>
        <w:tabs>
          <w:tab w:val="num" w:pos="360"/>
        </w:tabs>
        <w:ind w:left="360" w:hanging="360"/>
      </w:pPr>
      <w:rPr>
        <w:rFonts w:ascii="Times New Roman" w:hAnsi="Times New Roman" w:hint="default"/>
      </w:rPr>
    </w:lvl>
  </w:abstractNum>
  <w:num w:numId="1" w16cid:durableId="735787925">
    <w:abstractNumId w:val="2"/>
  </w:num>
  <w:num w:numId="2" w16cid:durableId="1972712137">
    <w:abstractNumId w:val="9"/>
  </w:num>
  <w:num w:numId="3" w16cid:durableId="1954440697">
    <w:abstractNumId w:val="10"/>
  </w:num>
  <w:num w:numId="4" w16cid:durableId="1390421337">
    <w:abstractNumId w:val="12"/>
  </w:num>
  <w:num w:numId="5" w16cid:durableId="2036030291">
    <w:abstractNumId w:val="8"/>
  </w:num>
  <w:num w:numId="6" w16cid:durableId="1388870957">
    <w:abstractNumId w:val="3"/>
  </w:num>
  <w:num w:numId="7" w16cid:durableId="176889826">
    <w:abstractNumId w:val="4"/>
  </w:num>
  <w:num w:numId="8" w16cid:durableId="1209103018">
    <w:abstractNumId w:val="6"/>
  </w:num>
  <w:num w:numId="9" w16cid:durableId="1014646457">
    <w:abstractNumId w:val="0"/>
  </w:num>
  <w:num w:numId="10" w16cid:durableId="1690569242">
    <w:abstractNumId w:val="13"/>
  </w:num>
  <w:num w:numId="11" w16cid:durableId="966545734">
    <w:abstractNumId w:val="1"/>
  </w:num>
  <w:num w:numId="12" w16cid:durableId="934360243">
    <w:abstractNumId w:val="14"/>
  </w:num>
  <w:num w:numId="13" w16cid:durableId="932476">
    <w:abstractNumId w:val="5"/>
  </w:num>
  <w:num w:numId="14" w16cid:durableId="1583445095">
    <w:abstractNumId w:val="11"/>
  </w:num>
  <w:num w:numId="15" w16cid:durableId="1867327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145C08"/>
    <w:rsid w:val="00145C08"/>
    <w:rsid w:val="00322A77"/>
    <w:rsid w:val="00515A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197D0F-8CC9-4430-952A-E8357118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H2">
    <w:name w:val="H2"/>
    <w:basedOn w:val="Normal"/>
    <w:next w:val="Normal"/>
    <w:pPr>
      <w:keepNext/>
      <w:spacing w:before="100" w:after="100" w:line="240" w:lineRule="auto"/>
      <w:jc w:val="left"/>
      <w:outlineLvl w:val="2"/>
    </w:pPr>
    <w:rPr>
      <w:b/>
      <w:snapToGrid w:val="0"/>
      <w:sz w:val="36"/>
      <w:lang w:eastAsia="sv-SE"/>
    </w:rPr>
  </w:style>
  <w:style w:type="paragraph" w:customStyle="1" w:styleId="H3">
    <w:name w:val="H3"/>
    <w:basedOn w:val="Normal"/>
    <w:next w:val="Normal"/>
    <w:pPr>
      <w:keepNext/>
      <w:spacing w:before="100" w:after="100" w:line="240" w:lineRule="auto"/>
      <w:jc w:val="left"/>
      <w:outlineLvl w:val="3"/>
    </w:pPr>
    <w:rPr>
      <w:b/>
      <w:snapToGrid w:val="0"/>
      <w:sz w:val="28"/>
      <w:lang w:eastAsia="sv-SE"/>
    </w:rPr>
  </w:style>
  <w:style w:type="paragraph" w:customStyle="1" w:styleId="H4">
    <w:name w:val="H4"/>
    <w:basedOn w:val="Normal"/>
    <w:next w:val="Normal"/>
    <w:pPr>
      <w:keepNext/>
      <w:spacing w:before="100" w:after="100" w:line="240" w:lineRule="auto"/>
      <w:jc w:val="left"/>
      <w:outlineLvl w:val="4"/>
    </w:pPr>
    <w:rPr>
      <w:b/>
      <w:snapToGrid w:val="0"/>
      <w:sz w:val="24"/>
      <w:lang w:eastAsia="sv-S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38181</Words>
  <Characters>236342</Characters>
  <Application>Microsoft Office Word</Application>
  <DocSecurity>4</DocSecurity>
  <Lines>4220</Lines>
  <Paragraphs>1076</Paragraphs>
  <ScaleCrop>false</ScaleCrop>
  <HeadingPairs>
    <vt:vector size="2" baseType="variant">
      <vt:variant>
        <vt:lpstr>Title</vt:lpstr>
      </vt:variant>
      <vt:variant>
        <vt:i4>1</vt:i4>
      </vt:variant>
    </vt:vector>
  </HeadingPairs>
  <TitlesOfParts>
    <vt:vector size="1" baseType="lpstr">
      <vt:lpstr>Konstitutionsutskottets betänkande</vt:lpstr>
    </vt:vector>
  </TitlesOfParts>
  <Company>Riksdagen</Company>
  <LinksUpToDate>false</LinksUpToDate>
  <CharactersWithSpaces>273447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dc:description/>
  <cp:lastModifiedBy>Lars Brink</cp:lastModifiedBy>
  <cp:revision>2</cp:revision>
  <cp:lastPrinted>2003-02-27T09:28:00Z</cp:lastPrinted>
  <dcterms:created xsi:type="dcterms:W3CDTF">2025-12-16T01:20:00Z</dcterms:created>
  <dcterms:modified xsi:type="dcterms:W3CDTF">2025-12-16T01:20:00Z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26</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