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6764DD" w:rsidTr="008B78F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6764DD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6764DD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8B78FA" w:rsidRPr="006764DD" w:rsidTr="008B78FA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8B78FA" w:rsidRPr="006764DD" w:rsidRDefault="00FE29E5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6764DD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6E4E11" w:rsidRPr="006764DD" w:rsidTr="008B78FA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6764DD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6764DD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6764DD" w:rsidTr="008B78F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6764DD" w:rsidRDefault="00EE2DAE" w:rsidP="007242A3">
            <w:pPr>
              <w:framePr w:w="5035" w:h="1644" w:wrap="notBeside" w:vAnchor="page" w:hAnchor="page" w:x="6573" w:y="721"/>
            </w:pPr>
            <w:r w:rsidRPr="006764DD">
              <w:t>2010-09-28</w:t>
            </w:r>
          </w:p>
        </w:tc>
        <w:tc>
          <w:tcPr>
            <w:tcW w:w="2999" w:type="dxa"/>
            <w:gridSpan w:val="2"/>
          </w:tcPr>
          <w:p w:rsidR="006E4E11" w:rsidRPr="006764DD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6764DD" w:rsidTr="008B78F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6764DD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6764DD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6764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764DD" w:rsidRDefault="008B78F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6764DD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6764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764D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64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764DD" w:rsidRDefault="008B78FA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6764DD">
              <w:rPr>
                <w:bCs/>
                <w:iCs/>
              </w:rPr>
              <w:t>Enheten för immaterialrätt och transporträtt</w:t>
            </w:r>
          </w:p>
        </w:tc>
      </w:tr>
      <w:tr w:rsidR="006E4E11" w:rsidRPr="006764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764D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64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764D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64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764D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64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764D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64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764D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64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764D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6764DD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8B78FA" w:rsidRPr="006764DD" w:rsidRDefault="008B78FA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6764DD">
        <w:t xml:space="preserve">Konkurrenskraftsrådet den </w:t>
      </w:r>
      <w:r w:rsidR="00EE2DAE" w:rsidRPr="006764DD">
        <w:t>11-12 oktober</w:t>
      </w:r>
    </w:p>
    <w:p w:rsidR="008B78FA" w:rsidRPr="006764DD" w:rsidRDefault="008B78FA">
      <w:pPr>
        <w:pStyle w:val="RKnormal"/>
      </w:pPr>
    </w:p>
    <w:p w:rsidR="008B78FA" w:rsidRPr="006764DD" w:rsidRDefault="004B57C6">
      <w:pPr>
        <w:pStyle w:val="RKnormal"/>
        <w:rPr>
          <w:b/>
        </w:rPr>
      </w:pPr>
      <w:r w:rsidRPr="006764DD">
        <w:rPr>
          <w:b/>
        </w:rPr>
        <w:t>Dagordningspunkt 3</w:t>
      </w:r>
    </w:p>
    <w:p w:rsidR="008B78FA" w:rsidRPr="006764DD" w:rsidRDefault="008B78FA">
      <w:pPr>
        <w:pStyle w:val="RKnormal"/>
      </w:pPr>
    </w:p>
    <w:p w:rsidR="00EE2DAE" w:rsidRPr="006764DD" w:rsidRDefault="004B57C6" w:rsidP="004B57C6">
      <w:pPr>
        <w:pStyle w:val="RKnormal"/>
        <w:rPr>
          <w:b/>
        </w:rPr>
      </w:pPr>
      <w:r w:rsidRPr="006764DD">
        <w:rPr>
          <w:b/>
        </w:rPr>
        <w:t>Kommissionens f</w:t>
      </w:r>
      <w:r w:rsidR="008B78FA" w:rsidRPr="006764DD">
        <w:rPr>
          <w:b/>
        </w:rPr>
        <w:t>örslag till</w:t>
      </w:r>
      <w:r w:rsidRPr="006764DD">
        <w:rPr>
          <w:b/>
        </w:rPr>
        <w:t xml:space="preserve"> förordning för EU-patentets översättningsregim</w:t>
      </w:r>
    </w:p>
    <w:p w:rsidR="00EE2DAE" w:rsidRPr="006764DD" w:rsidRDefault="008B78FA" w:rsidP="008B78FA">
      <w:pPr>
        <w:rPr>
          <w:i/>
        </w:rPr>
      </w:pPr>
      <w:r w:rsidRPr="006764DD">
        <w:tab/>
      </w:r>
      <w:r w:rsidRPr="006764DD">
        <w:rPr>
          <w:i/>
        </w:rPr>
        <w:t>-</w:t>
      </w:r>
      <w:r w:rsidRPr="006764DD">
        <w:rPr>
          <w:i/>
        </w:rPr>
        <w:tab/>
      </w:r>
      <w:r w:rsidR="00C502A4" w:rsidRPr="006764DD">
        <w:rPr>
          <w:i/>
        </w:rPr>
        <w:t>politisk överenskommelse</w:t>
      </w:r>
    </w:p>
    <w:p w:rsidR="008B78FA" w:rsidRPr="006764DD" w:rsidRDefault="008B78FA">
      <w:pPr>
        <w:pStyle w:val="RKnormal"/>
      </w:pPr>
      <w:r w:rsidRPr="006764DD">
        <w:rPr>
          <w:b/>
        </w:rPr>
        <w:t>Dokument</w:t>
      </w:r>
      <w:r w:rsidR="00102AF0" w:rsidRPr="006764DD">
        <w:rPr>
          <w:b/>
        </w:rPr>
        <w:t xml:space="preserve"> </w:t>
      </w:r>
    </w:p>
    <w:p w:rsidR="008B78FA" w:rsidRPr="006764DD" w:rsidRDefault="00A74623" w:rsidP="00EE2DAE">
      <w:pPr>
        <w:pStyle w:val="RKnormal"/>
      </w:pPr>
      <w:r w:rsidRPr="006764DD">
        <w:t xml:space="preserve">Förslag till rådets förordning om </w:t>
      </w:r>
      <w:r w:rsidR="00325D66" w:rsidRPr="006764DD">
        <w:t>ö</w:t>
      </w:r>
      <w:r w:rsidRPr="006764DD">
        <w:t xml:space="preserve">versättningsarrangemang för Europeiska unionens patent </w:t>
      </w:r>
      <w:r w:rsidR="00206A16" w:rsidRPr="006764DD">
        <w:t xml:space="preserve">KOM </w:t>
      </w:r>
      <w:r w:rsidR="00EE2DAE" w:rsidRPr="006764DD">
        <w:t xml:space="preserve">(2010) 350 </w:t>
      </w:r>
      <w:r w:rsidR="00A705D6" w:rsidRPr="006764DD">
        <w:t>slutlig</w:t>
      </w:r>
      <w:r w:rsidR="00EE2DAE" w:rsidRPr="006764DD">
        <w:t xml:space="preserve"> </w:t>
      </w:r>
      <w:r w:rsidR="00EE2DAE" w:rsidRPr="006764DD">
        <w:cr/>
      </w:r>
    </w:p>
    <w:p w:rsidR="008B78FA" w:rsidRPr="006764DD" w:rsidRDefault="008B78FA">
      <w:pPr>
        <w:pStyle w:val="RKnormal"/>
      </w:pPr>
      <w:r w:rsidRPr="006764DD">
        <w:rPr>
          <w:b/>
        </w:rPr>
        <w:t>Tidigare dokument</w:t>
      </w:r>
    </w:p>
    <w:p w:rsidR="008B78FA" w:rsidRPr="006764DD" w:rsidRDefault="008B78FA" w:rsidP="008B78FA">
      <w:pPr>
        <w:pStyle w:val="RKnormal"/>
      </w:pPr>
      <w:r w:rsidRPr="006764DD">
        <w:t>Fakta-PM Justitiedepartementet 2006/07:FPM 76</w:t>
      </w:r>
    </w:p>
    <w:p w:rsidR="00317538" w:rsidRPr="006764DD" w:rsidRDefault="00102AF0">
      <w:pPr>
        <w:pStyle w:val="RKnormal"/>
      </w:pPr>
      <w:r w:rsidRPr="006764DD">
        <w:t>Fakta-PM Justitiedepartementet 2008/09:FPM108</w:t>
      </w:r>
    </w:p>
    <w:p w:rsidR="00102AF0" w:rsidRPr="006764DD" w:rsidRDefault="00EE2DAE">
      <w:pPr>
        <w:pStyle w:val="RKnormal"/>
      </w:pPr>
      <w:r w:rsidRPr="006764DD">
        <w:t>Fakta-PM Justitiedepartementet 2009/10 FPM</w:t>
      </w:r>
      <w:r w:rsidR="00B84600" w:rsidRPr="006764DD">
        <w:t>107</w:t>
      </w:r>
    </w:p>
    <w:p w:rsidR="00EE2DAE" w:rsidRPr="006764DD" w:rsidRDefault="00EE2DAE">
      <w:pPr>
        <w:pStyle w:val="RKnormal"/>
      </w:pPr>
    </w:p>
    <w:p w:rsidR="00317538" w:rsidRPr="006764DD" w:rsidRDefault="008B78FA">
      <w:pPr>
        <w:pStyle w:val="RKnormal"/>
        <w:rPr>
          <w:b/>
        </w:rPr>
      </w:pPr>
      <w:r w:rsidRPr="006764DD">
        <w:rPr>
          <w:b/>
        </w:rPr>
        <w:t>Tidigare behandlad vid samråd med EU-nämnden</w:t>
      </w:r>
    </w:p>
    <w:p w:rsidR="00B00F40" w:rsidRPr="006764DD" w:rsidRDefault="00317538" w:rsidP="00B00F40">
      <w:pPr>
        <w:pStyle w:val="RKnormal"/>
      </w:pPr>
      <w:r w:rsidRPr="006764DD">
        <w:t xml:space="preserve">Frågan har behandlats i EU-nämnden vid ett flertal gånger, senast </w:t>
      </w:r>
      <w:r w:rsidR="00102AF0" w:rsidRPr="006764DD">
        <w:t xml:space="preserve">den </w:t>
      </w:r>
      <w:r w:rsidR="00EE2DAE" w:rsidRPr="006764DD">
        <w:t xml:space="preserve">16 november 2010 och den </w:t>
      </w:r>
      <w:r w:rsidR="00102AF0" w:rsidRPr="006764DD">
        <w:t>20 maj 2009.</w:t>
      </w:r>
      <w:r w:rsidR="00B00F40" w:rsidRPr="006764DD">
        <w:t xml:space="preserve"> Näringsutskottet informerades muntl</w:t>
      </w:r>
      <w:r w:rsidR="00B84600" w:rsidRPr="006764DD">
        <w:t>igen senast den 9</w:t>
      </w:r>
      <w:r w:rsidR="00B00F40" w:rsidRPr="006764DD">
        <w:t xml:space="preserve"> </w:t>
      </w:r>
      <w:r w:rsidR="00B84600" w:rsidRPr="006764DD">
        <w:t>februari</w:t>
      </w:r>
      <w:r w:rsidR="00B00F40" w:rsidRPr="006764DD">
        <w:t xml:space="preserve"> 20</w:t>
      </w:r>
      <w:r w:rsidR="00B84600" w:rsidRPr="006764DD">
        <w:t>10</w:t>
      </w:r>
      <w:r w:rsidR="00B00F40" w:rsidRPr="006764DD">
        <w:t>.</w:t>
      </w:r>
    </w:p>
    <w:p w:rsidR="00530E25" w:rsidRPr="006764DD" w:rsidRDefault="00530E25" w:rsidP="00C103E1">
      <w:pPr>
        <w:pStyle w:val="RKrubrik"/>
      </w:pPr>
      <w:r w:rsidRPr="006764DD">
        <w:t>Sammanfattning</w:t>
      </w:r>
    </w:p>
    <w:p w:rsidR="00475004" w:rsidRPr="006764DD" w:rsidRDefault="00EE2DAE" w:rsidP="00475004">
      <w:r w:rsidRPr="006764DD">
        <w:t xml:space="preserve">Ordförandeskapet föreslår en diskussion </w:t>
      </w:r>
      <w:r w:rsidR="00B84600" w:rsidRPr="006764DD">
        <w:t xml:space="preserve">vid konkurrenskraftsrådet </w:t>
      </w:r>
      <w:r w:rsidRPr="006764DD">
        <w:t xml:space="preserve">om </w:t>
      </w:r>
      <w:r w:rsidR="00B84600" w:rsidRPr="006764DD">
        <w:t xml:space="preserve">förslag till </w:t>
      </w:r>
      <w:r w:rsidRPr="006764DD">
        <w:t xml:space="preserve">förordning för EU-patentets översättningsarrangemang. </w:t>
      </w:r>
      <w:r w:rsidR="00A74623" w:rsidRPr="006764DD">
        <w:t xml:space="preserve">En sådan förordning är nödvändig för att EU-patentförordningen ska träda i kraft. Förordningen ska </w:t>
      </w:r>
      <w:r w:rsidRPr="006764DD">
        <w:t xml:space="preserve">reglera vilka språk EU-patentet ska kunna beviljas på och under vilka förutsättningar översättningar av EU-patentet ska ske. </w:t>
      </w:r>
      <w:r w:rsidR="00A74623" w:rsidRPr="006764DD">
        <w:t xml:space="preserve">Kommissionen har presenterat ett förslag till förordning som har behandlats i rådet. </w:t>
      </w:r>
    </w:p>
    <w:p w:rsidR="008D7564" w:rsidRPr="006764DD" w:rsidRDefault="008D7564" w:rsidP="00475004"/>
    <w:p w:rsidR="00702886" w:rsidRPr="006764DD" w:rsidRDefault="00206A16" w:rsidP="00475004">
      <w:r w:rsidRPr="006764DD">
        <w:t>Kommissionens</w:t>
      </w:r>
      <w:r w:rsidR="008D7564" w:rsidRPr="006764DD">
        <w:t xml:space="preserve"> förslag ha</w:t>
      </w:r>
      <w:r w:rsidRPr="006764DD">
        <w:t>r ett brett stöd i rådet, men Spanien</w:t>
      </w:r>
      <w:r w:rsidR="008D7564" w:rsidRPr="006764DD">
        <w:t xml:space="preserve"> och I</w:t>
      </w:r>
      <w:r w:rsidRPr="006764DD">
        <w:t>talien</w:t>
      </w:r>
      <w:r w:rsidR="008D7564" w:rsidRPr="006764DD">
        <w:t xml:space="preserve"> motsätter sig det. Det är osäkert</w:t>
      </w:r>
      <w:r w:rsidR="009914ED" w:rsidRPr="006764DD">
        <w:t xml:space="preserve"> om medlemsstaterna kan nå enighet</w:t>
      </w:r>
      <w:r w:rsidR="008D7564" w:rsidRPr="006764DD">
        <w:t xml:space="preserve"> vid mötet</w:t>
      </w:r>
      <w:r w:rsidR="004B57C6" w:rsidRPr="006764DD">
        <w:t xml:space="preserve"> om förslaget eller alternativa förslag som baseras på </w:t>
      </w:r>
      <w:r w:rsidR="004B57C6" w:rsidRPr="006764DD">
        <w:lastRenderedPageBreak/>
        <w:t>vad som har diskuterats i rådet</w:t>
      </w:r>
      <w:r w:rsidR="008D7564" w:rsidRPr="006764DD">
        <w:t xml:space="preserve">. </w:t>
      </w:r>
      <w:r w:rsidR="00702886" w:rsidRPr="006764DD">
        <w:t>Frågan har sed</w:t>
      </w:r>
      <w:r w:rsidR="008D7564" w:rsidRPr="006764DD">
        <w:t>an läge varit blockerad i rådet</w:t>
      </w:r>
      <w:r w:rsidR="00702886" w:rsidRPr="006764DD">
        <w:t xml:space="preserve">. Mot denna bakgrund kan frågan om ett s.k. fördjupat samarbete aktualiseras. </w:t>
      </w:r>
    </w:p>
    <w:p w:rsidR="00452C49" w:rsidRPr="006764DD" w:rsidRDefault="00452C49" w:rsidP="00452C49">
      <w:pPr>
        <w:pStyle w:val="RKrubrik"/>
        <w:rPr>
          <w:u w:val="single"/>
        </w:rPr>
      </w:pPr>
      <w:r w:rsidRPr="006764DD">
        <w:rPr>
          <w:u w:val="single"/>
        </w:rPr>
        <w:t>I Förslaget</w:t>
      </w:r>
    </w:p>
    <w:p w:rsidR="00452C49" w:rsidRPr="006764DD" w:rsidRDefault="00251886" w:rsidP="004B57C6">
      <w:pPr>
        <w:pStyle w:val="RKrubrik"/>
      </w:pPr>
      <w:r w:rsidRPr="006764DD">
        <w:t>1. Innehåll</w:t>
      </w:r>
    </w:p>
    <w:p w:rsidR="008D7564" w:rsidRPr="006764DD" w:rsidRDefault="008D7564" w:rsidP="008D7564">
      <w:pPr>
        <w:pStyle w:val="RKnormal"/>
      </w:pPr>
      <w:r w:rsidRPr="006764DD">
        <w:t>Ett EU-patent och en enhetlig europeisk patentdomstol är en av de viktigaste åtgärderna för att främja innovation på den inre marknaden. EU-patentet är en viktig del av EU:s nya strategi för tillväxt och syssel</w:t>
      </w:r>
      <w:r w:rsidR="004B57C6" w:rsidRPr="006764DD">
        <w:softHyphen/>
      </w:r>
      <w:r w:rsidRPr="006764DD">
        <w:t>sättning, EU 2020</w:t>
      </w:r>
      <w:r w:rsidR="00206A16" w:rsidRPr="006764DD">
        <w:t>,</w:t>
      </w:r>
      <w:r w:rsidRPr="006764DD">
        <w:t xml:space="preserve"> och nämns som en central fråga för att ”återuppliva” den inre marknaden i </w:t>
      </w:r>
      <w:r w:rsidR="004B57C6" w:rsidRPr="006764DD">
        <w:t xml:space="preserve">Mario </w:t>
      </w:r>
      <w:r w:rsidRPr="006764DD">
        <w:t xml:space="preserve">Montis rapport. Det finns ett starkt politiskt stöd i rådet för att </w:t>
      </w:r>
      <w:r w:rsidR="004B57C6" w:rsidRPr="006764DD">
        <w:t xml:space="preserve">avsluta förhandlingarna om </w:t>
      </w:r>
      <w:r w:rsidRPr="006764DD">
        <w:t xml:space="preserve">ett EU-patent. Det är </w:t>
      </w:r>
      <w:r w:rsidR="00452C49" w:rsidRPr="006764DD">
        <w:t>en fråga som regeringen</w:t>
      </w:r>
      <w:r w:rsidRPr="006764DD">
        <w:t xml:space="preserve"> p</w:t>
      </w:r>
      <w:r w:rsidR="004B57C6" w:rsidRPr="006764DD">
        <w:t xml:space="preserve">rioriterar högt. Tyvärr har det </w:t>
      </w:r>
      <w:r w:rsidRPr="006764DD">
        <w:t>ännu inte gått att nå en överenskomm</w:t>
      </w:r>
      <w:r w:rsidR="004B57C6" w:rsidRPr="006764DD">
        <w:t xml:space="preserve">else om EU-patentet, vilket främst beror på </w:t>
      </w:r>
      <w:r w:rsidRPr="006764DD">
        <w:t xml:space="preserve"> att frågan om EU-patentets översättningsregim sedan länge varit låst.</w:t>
      </w:r>
    </w:p>
    <w:p w:rsidR="008D7564" w:rsidRPr="006764DD" w:rsidRDefault="008D7564" w:rsidP="008D7564">
      <w:pPr>
        <w:pStyle w:val="RKnormal"/>
      </w:pPr>
    </w:p>
    <w:p w:rsidR="001B4074" w:rsidRPr="006764DD" w:rsidRDefault="008D7564" w:rsidP="008D7564">
      <w:pPr>
        <w:pStyle w:val="RKnormal"/>
      </w:pPr>
      <w:r w:rsidRPr="006764DD">
        <w:t>Under det svenska ordförandeskapet antogs en allmän inriktning om förslaget till EU-patentförordning. Frågan om EU-patentets över</w:t>
      </w:r>
      <w:r w:rsidR="00452C49" w:rsidRPr="006764DD">
        <w:softHyphen/>
      </w:r>
      <w:r w:rsidRPr="006764DD">
        <w:t>sättnings</w:t>
      </w:r>
      <w:r w:rsidR="00452C49" w:rsidRPr="006764DD">
        <w:softHyphen/>
      </w:r>
      <w:r w:rsidRPr="006764DD">
        <w:t xml:space="preserve">regim fanns inte med i den allmänna inriktningen, eftersom Lissabonfördraget innebar att det krävdes ett nytt förslag från </w:t>
      </w:r>
      <w:r w:rsidR="001B4074" w:rsidRPr="006764DD">
        <w:t xml:space="preserve">kommissionen </w:t>
      </w:r>
      <w:r w:rsidRPr="006764DD">
        <w:t xml:space="preserve">i denna del. </w:t>
      </w:r>
      <w:r w:rsidR="00206A16" w:rsidRPr="006764DD">
        <w:t>Kommissionen</w:t>
      </w:r>
      <w:r w:rsidRPr="006764DD">
        <w:t xml:space="preserve"> presenterade sitt förslag till förordning för EU-patentets översättnings</w:t>
      </w:r>
      <w:r w:rsidRPr="006764DD">
        <w:softHyphen/>
        <w:t>regim den 30 juni 2010.</w:t>
      </w:r>
      <w:r w:rsidR="00BD55C8" w:rsidRPr="006764DD">
        <w:t xml:space="preserve"> </w:t>
      </w:r>
    </w:p>
    <w:p w:rsidR="009914ED" w:rsidRPr="006764DD" w:rsidRDefault="009914ED" w:rsidP="008D7564">
      <w:pPr>
        <w:pStyle w:val="RKnormal"/>
      </w:pPr>
    </w:p>
    <w:p w:rsidR="00251886" w:rsidRPr="006764DD" w:rsidRDefault="001B4074" w:rsidP="00251886">
      <w:r w:rsidRPr="006764DD">
        <w:t xml:space="preserve">Kommissionens förslag till förordning reglerar vilka språk EU-patentet ska kunna beviljas på och under vilka förutsättningar översättningar av EU-patentet ska ske. </w:t>
      </w:r>
      <w:r w:rsidR="00251886" w:rsidRPr="006764DD">
        <w:t xml:space="preserve">Förslagets utgångspunkt är att </w:t>
      </w:r>
      <w:r w:rsidR="00251886" w:rsidRPr="006764DD">
        <w:rPr>
          <w:i/>
        </w:rPr>
        <w:t>ett EU-patent ska beviljas på något av</w:t>
      </w:r>
      <w:r w:rsidR="001B4339" w:rsidRPr="006764DD">
        <w:rPr>
          <w:i/>
        </w:rPr>
        <w:t xml:space="preserve"> det europeiska patentverket</w:t>
      </w:r>
      <w:r w:rsidR="00251886" w:rsidRPr="006764DD">
        <w:rPr>
          <w:i/>
        </w:rPr>
        <w:t xml:space="preserve"> tre arbetsspråk</w:t>
      </w:r>
      <w:r w:rsidR="00251886" w:rsidRPr="006764DD">
        <w:t>, engelska, tyska eller franska och att de s.k. patentkraven ska översättas till de två andra arbetsspråken, dock utan rättslig effekt. Detta följer den europeiska patentkonven</w:t>
      </w:r>
      <w:r w:rsidR="00251886" w:rsidRPr="006764DD">
        <w:softHyphen/>
        <w:t xml:space="preserve">tionen (European Patent Convention, EPC) och tillämpas alltså redan idag vid beviljandet av europeiska patent. Den väsentliga skillnaden i förhållande till vad som gäller för dagens europeiska patent är att några ytterligare översättningskrav inte ställs upp för EU-patentet. </w:t>
      </w:r>
      <w:r w:rsidR="004B57C6" w:rsidRPr="006764DD">
        <w:t>För att europeiska patent ska gälla i Sverige krävs att patentkraven översätts till svenska och att den s.k. patent</w:t>
      </w:r>
      <w:r w:rsidR="00032226" w:rsidRPr="006764DD">
        <w:softHyphen/>
      </w:r>
      <w:r w:rsidR="004B57C6" w:rsidRPr="006764DD">
        <w:t>beskrivningen finns på svenska eller engelska.</w:t>
      </w:r>
    </w:p>
    <w:p w:rsidR="00251886" w:rsidRPr="006764DD" w:rsidRDefault="00251886" w:rsidP="00251886"/>
    <w:p w:rsidR="00251886" w:rsidRPr="006764DD" w:rsidRDefault="00251886" w:rsidP="00251886">
      <w:r w:rsidRPr="006764DD">
        <w:rPr>
          <w:i/>
        </w:rPr>
        <w:t>Vid händelse av tvist</w:t>
      </w:r>
      <w:r w:rsidRPr="006764DD">
        <w:t xml:space="preserve"> är dock patenthavaren enligt förslaget skyldig  att, på begäran av den som påstås göra intrång i patentet eller av domstol, bekosta och tillhandahålla en fullständig översättning till språket där det påstådda intrånget ägde rum, där den påstådda intrångsgöraren har sin hemvist eller till processpråket vid domstolen. </w:t>
      </w:r>
    </w:p>
    <w:p w:rsidR="00251886" w:rsidRPr="006764DD" w:rsidRDefault="00251886" w:rsidP="00251886"/>
    <w:p w:rsidR="003836EF" w:rsidRPr="006764DD" w:rsidRDefault="00251886" w:rsidP="003836EF">
      <w:r w:rsidRPr="006764DD">
        <w:t xml:space="preserve">Av skälen till förordningsförslaget följer att </w:t>
      </w:r>
      <w:r w:rsidRPr="006764DD">
        <w:rPr>
          <w:i/>
        </w:rPr>
        <w:t>maskinöversättningar av patentskriften om det efterfrågas ska tillhandahållas elektronisk till samtliga officiella EU-språk</w:t>
      </w:r>
      <w:r w:rsidRPr="006764DD">
        <w:t xml:space="preserve">. </w:t>
      </w:r>
      <w:r w:rsidR="004B57C6" w:rsidRPr="006764DD">
        <w:t xml:space="preserve">Sådana översättningar </w:t>
      </w:r>
      <w:r w:rsidRPr="006764DD">
        <w:t>ska finnas för informations</w:t>
      </w:r>
      <w:r w:rsidR="004B57C6" w:rsidRPr="006764DD">
        <w:softHyphen/>
      </w:r>
      <w:r w:rsidRPr="006764DD">
        <w:t>syfte. Systemet kommer att utgå ifrån det maskinöver</w:t>
      </w:r>
      <w:r w:rsidRPr="006764DD">
        <w:softHyphen/>
        <w:t>sättnings</w:t>
      </w:r>
      <w:r w:rsidRPr="006764DD">
        <w:softHyphen/>
        <w:t xml:space="preserve">system som redan finns vid </w:t>
      </w:r>
      <w:r w:rsidR="001B4339" w:rsidRPr="006764DD">
        <w:t>det europeiska patentverket (European Patent Office, EPO).</w:t>
      </w:r>
      <w:r w:rsidRPr="006764DD">
        <w:t xml:space="preserve"> Förslaget innebär även att sökanden ska, på liknande sätt som gäller i dag, kunna söka </w:t>
      </w:r>
      <w:r w:rsidR="004B57C6" w:rsidRPr="006764DD">
        <w:t xml:space="preserve">patent </w:t>
      </w:r>
      <w:r w:rsidRPr="006764DD">
        <w:t>på sitt nationell språk och kunna få ersättning för den översä</w:t>
      </w:r>
      <w:r w:rsidR="001B4339" w:rsidRPr="006764DD">
        <w:t>ttning till något av de tre EPO-s</w:t>
      </w:r>
      <w:r w:rsidRPr="006764DD">
        <w:t xml:space="preserve">pråken som därefter krävs. Ersättningen ska bekostas av </w:t>
      </w:r>
      <w:r w:rsidR="004B57C6" w:rsidRPr="006764DD">
        <w:t xml:space="preserve">systemet, dvs. </w:t>
      </w:r>
      <w:r w:rsidR="00D90686" w:rsidRPr="006764DD">
        <w:t>av avgiften för EU-patentet.</w:t>
      </w:r>
    </w:p>
    <w:p w:rsidR="003836EF" w:rsidRPr="006764DD" w:rsidRDefault="003836EF" w:rsidP="003836EF"/>
    <w:p w:rsidR="003836EF" w:rsidRPr="006764DD" w:rsidRDefault="003836EF" w:rsidP="003836EF">
      <w:r w:rsidRPr="006764DD">
        <w:t>Förslaget har ett brett stöd av medlemsstaterna. Ett fåtal medlemsstater, framför allt Spanien och Italien, motsätter sig förslaget. För vissa medlems</w:t>
      </w:r>
      <w:r w:rsidR="00D90686" w:rsidRPr="006764DD">
        <w:softHyphen/>
      </w:r>
      <w:r w:rsidRPr="006764DD">
        <w:t xml:space="preserve">stater är det viktigt att </w:t>
      </w:r>
      <w:r w:rsidR="00D90686" w:rsidRPr="006764DD">
        <w:t xml:space="preserve">det är klart att </w:t>
      </w:r>
      <w:r w:rsidRPr="006764DD">
        <w:t>systemet med maskin</w:t>
      </w:r>
      <w:r w:rsidR="00D90686" w:rsidRPr="006764DD">
        <w:softHyphen/>
      </w:r>
      <w:r w:rsidRPr="006764DD">
        <w:t>över</w:t>
      </w:r>
      <w:r w:rsidR="00D90686" w:rsidRPr="006764DD">
        <w:softHyphen/>
      </w:r>
      <w:r w:rsidRPr="006764DD">
        <w:t>sättningar fungerar tillfredställande</w:t>
      </w:r>
      <w:r w:rsidR="00D90686" w:rsidRPr="006764DD">
        <w:t>,</w:t>
      </w:r>
      <w:r w:rsidRPr="006764DD">
        <w:t xml:space="preserve"> för att de ska acceptera förslaget. </w:t>
      </w:r>
    </w:p>
    <w:p w:rsidR="00452C49" w:rsidRPr="006764DD" w:rsidRDefault="00452C49" w:rsidP="008D7564">
      <w:pPr>
        <w:pStyle w:val="RKnormal"/>
      </w:pPr>
    </w:p>
    <w:p w:rsidR="00C7319F" w:rsidRPr="006764DD" w:rsidRDefault="00BD55C8" w:rsidP="00251886">
      <w:pPr>
        <w:pStyle w:val="RKnormal"/>
      </w:pPr>
      <w:r w:rsidRPr="006764DD">
        <w:t>F</w:t>
      </w:r>
      <w:r w:rsidR="008D7564" w:rsidRPr="006764DD">
        <w:t xml:space="preserve">rågan om EU-patentets översättningsregim </w:t>
      </w:r>
      <w:r w:rsidRPr="006764DD">
        <w:t xml:space="preserve">har </w:t>
      </w:r>
      <w:r w:rsidR="008D7564" w:rsidRPr="006764DD">
        <w:t>sedan länge v</w:t>
      </w:r>
      <w:r w:rsidRPr="006764DD">
        <w:t>arit blockerad</w:t>
      </w:r>
      <w:r w:rsidR="001B4074" w:rsidRPr="006764DD">
        <w:t>, främst på grund av Spaniens inställning</w:t>
      </w:r>
      <w:r w:rsidR="00D90686" w:rsidRPr="006764DD">
        <w:t>. Mot denna bakgrund kan det</w:t>
      </w:r>
      <w:r w:rsidR="001B4074" w:rsidRPr="006764DD">
        <w:t xml:space="preserve"> </w:t>
      </w:r>
      <w:r w:rsidRPr="006764DD">
        <w:t>visa sig omöjligt att inom rimlig tid nå en lösning baserad på enhällighet</w:t>
      </w:r>
      <w:r w:rsidR="008D7564" w:rsidRPr="006764DD">
        <w:t xml:space="preserve">. </w:t>
      </w:r>
      <w:r w:rsidR="00206A16" w:rsidRPr="006764DD">
        <w:t>Det framstår då som möjligt att vidare utreda förut</w:t>
      </w:r>
      <w:r w:rsidR="00206A16" w:rsidRPr="006764DD">
        <w:softHyphen/>
        <w:t>sättningarna för e</w:t>
      </w:r>
      <w:r w:rsidR="008D7564" w:rsidRPr="006764DD">
        <w:t xml:space="preserve">tt </w:t>
      </w:r>
      <w:r w:rsidR="001B4074" w:rsidRPr="006764DD">
        <w:t xml:space="preserve">s.k. </w:t>
      </w:r>
      <w:r w:rsidR="008D7564" w:rsidRPr="006764DD">
        <w:t>fördjupat</w:t>
      </w:r>
      <w:r w:rsidR="00325D66" w:rsidRPr="006764DD">
        <w:t xml:space="preserve"> samarbete</w:t>
      </w:r>
      <w:r w:rsidR="001B4074" w:rsidRPr="006764DD">
        <w:t>. Det belgiska ordförande</w:t>
      </w:r>
      <w:r w:rsidR="00325D66" w:rsidRPr="006764DD">
        <w:softHyphen/>
      </w:r>
      <w:r w:rsidR="001B4074" w:rsidRPr="006764DD">
        <w:t>skapet och kommissionen har varit öppna med att de ser ett fördjupat</w:t>
      </w:r>
      <w:r w:rsidR="008D7564" w:rsidRPr="006764DD">
        <w:t xml:space="preserve"> </w:t>
      </w:r>
      <w:r w:rsidR="001B4074" w:rsidRPr="006764DD">
        <w:t>samarbete som</w:t>
      </w:r>
      <w:r w:rsidR="008D7564" w:rsidRPr="006764DD">
        <w:t xml:space="preserve"> ett alternativ. Det är möjligt att frå</w:t>
      </w:r>
      <w:r w:rsidR="00D90686" w:rsidRPr="006764DD">
        <w:t>gan kan komma att diskuteras redan under konkurrenskraftsråd</w:t>
      </w:r>
      <w:r w:rsidR="00206A16" w:rsidRPr="006764DD">
        <w:t>et</w:t>
      </w:r>
      <w:r w:rsidR="00D90686" w:rsidRPr="006764DD">
        <w:t xml:space="preserve"> den 11 oktober</w:t>
      </w:r>
      <w:r w:rsidR="008D7564" w:rsidRPr="006764DD">
        <w:t>.</w:t>
      </w:r>
    </w:p>
    <w:p w:rsidR="00C7319F" w:rsidRPr="006764DD" w:rsidRDefault="00C7319F" w:rsidP="008D7564">
      <w:pPr>
        <w:pStyle w:val="RKnormal"/>
      </w:pPr>
    </w:p>
    <w:p w:rsidR="001B4074" w:rsidRPr="006764DD" w:rsidRDefault="001B4074" w:rsidP="008D7564">
      <w:pPr>
        <w:pStyle w:val="RKnormal"/>
        <w:rPr>
          <w:b/>
        </w:rPr>
      </w:pPr>
      <w:r w:rsidRPr="006764DD">
        <w:rPr>
          <w:b/>
        </w:rPr>
        <w:t>Frågan om ett fördjupat samarbete</w:t>
      </w:r>
    </w:p>
    <w:p w:rsidR="001B4074" w:rsidRPr="006764DD" w:rsidRDefault="001B4074" w:rsidP="008D7564">
      <w:pPr>
        <w:pStyle w:val="RKnormal"/>
      </w:pPr>
      <w:r w:rsidRPr="006764DD">
        <w:t>EU:s medlemsstater kan sinsemellan bedriva ett fördjupat samarbete inom olika politikområden. Samarbetet innebär att en grupp medlems</w:t>
      </w:r>
      <w:r w:rsidR="00D90686" w:rsidRPr="006764DD">
        <w:softHyphen/>
      </w:r>
      <w:r w:rsidRPr="006764DD">
        <w:t>stater kan gå vidare i ett integrationsarbete inom ett specifikt politik</w:t>
      </w:r>
      <w:r w:rsidR="00D90686" w:rsidRPr="006764DD">
        <w:softHyphen/>
      </w:r>
      <w:r w:rsidRPr="006764DD">
        <w:t>område, då det saknas förutsättningar för samtliga medlemsstater att nå enighet.</w:t>
      </w:r>
      <w:r w:rsidRPr="006764DD">
        <w:rPr>
          <w:szCs w:val="24"/>
        </w:rPr>
        <w:t xml:space="preserve"> Ett fördjupat samarbete kan bara inledas </w:t>
      </w:r>
      <w:r w:rsidRPr="006764DD">
        <w:rPr>
          <w:i/>
          <w:szCs w:val="24"/>
        </w:rPr>
        <w:t xml:space="preserve">på förslag från </w:t>
      </w:r>
      <w:r w:rsidR="00032226" w:rsidRPr="006764DD">
        <w:rPr>
          <w:i/>
          <w:szCs w:val="24"/>
        </w:rPr>
        <w:t>kommissionen</w:t>
      </w:r>
      <w:r w:rsidRPr="006764DD">
        <w:rPr>
          <w:szCs w:val="24"/>
        </w:rPr>
        <w:t xml:space="preserve">. Ett sådant förslag måste föregås av att </w:t>
      </w:r>
      <w:r w:rsidRPr="006764DD">
        <w:rPr>
          <w:i/>
          <w:szCs w:val="24"/>
        </w:rPr>
        <w:t>rådet fastställt att det aktuella målet för samarbetet inte kan uppnås inom rimlig tid enligt ordinarie förfarande</w:t>
      </w:r>
      <w:r w:rsidR="00D90686" w:rsidRPr="006764DD">
        <w:rPr>
          <w:szCs w:val="24"/>
        </w:rPr>
        <w:t>. De medlemsstater</w:t>
      </w:r>
      <w:r w:rsidRPr="006764DD">
        <w:rPr>
          <w:szCs w:val="24"/>
        </w:rPr>
        <w:t xml:space="preserve"> som önskar gå vidare i ett fördjupat samarbete ska </w:t>
      </w:r>
      <w:r w:rsidRPr="006764DD">
        <w:rPr>
          <w:i/>
          <w:szCs w:val="24"/>
        </w:rPr>
        <w:t xml:space="preserve">rikta en begäran till </w:t>
      </w:r>
      <w:r w:rsidR="00032226" w:rsidRPr="006764DD">
        <w:rPr>
          <w:i/>
          <w:szCs w:val="24"/>
        </w:rPr>
        <w:t>kommissionen</w:t>
      </w:r>
      <w:r w:rsidRPr="006764DD">
        <w:rPr>
          <w:szCs w:val="24"/>
        </w:rPr>
        <w:t xml:space="preserve"> om att presentera ett förslag. Ett </w:t>
      </w:r>
      <w:r w:rsidRPr="006764DD">
        <w:rPr>
          <w:i/>
          <w:szCs w:val="24"/>
        </w:rPr>
        <w:t>beslut om att inleda ett fördjupat samarbete</w:t>
      </w:r>
      <w:r w:rsidRPr="006764DD">
        <w:rPr>
          <w:szCs w:val="24"/>
        </w:rPr>
        <w:t xml:space="preserve"> antas sedan enligt huvudregeln av rådet med kvalificerad majoritet</w:t>
      </w:r>
      <w:r w:rsidR="00D90686" w:rsidRPr="006764DD">
        <w:rPr>
          <w:szCs w:val="24"/>
        </w:rPr>
        <w:t>,</w:t>
      </w:r>
      <w:r w:rsidRPr="006764DD">
        <w:rPr>
          <w:szCs w:val="24"/>
        </w:rPr>
        <w:t xml:space="preserve"> efter godkännande av Europaparlamentet.</w:t>
      </w:r>
    </w:p>
    <w:p w:rsidR="001B4074" w:rsidRPr="006764DD" w:rsidRDefault="001B4074" w:rsidP="008D7564">
      <w:pPr>
        <w:pStyle w:val="RKnormal"/>
      </w:pPr>
    </w:p>
    <w:p w:rsidR="00251886" w:rsidRPr="006764DD" w:rsidRDefault="008D7564" w:rsidP="00702886">
      <w:pPr>
        <w:pStyle w:val="RKnormal"/>
      </w:pPr>
      <w:r w:rsidRPr="006764DD">
        <w:t>Regeringen har sedan länge intagit en positiv inställning till ett fördjupat samarbete när det gäller EU-patentet, vilket bekräftades bl.a. inför det svenska ordförandeskapet.</w:t>
      </w:r>
      <w:r w:rsidR="00D90686" w:rsidRPr="006764DD">
        <w:t xml:space="preserve"> Regeringen är beredd att utreda möjlig</w:t>
      </w:r>
      <w:r w:rsidR="00D90686" w:rsidRPr="006764DD">
        <w:softHyphen/>
        <w:t>heterna att få ett till stånd ett sådant samarbete, vilket bland annat kommer att kräva ett brett stöd av en majoritet av medlemsstaterna.</w:t>
      </w:r>
    </w:p>
    <w:p w:rsidR="00251886" w:rsidRPr="006764DD" w:rsidRDefault="00251886" w:rsidP="00251886">
      <w:pPr>
        <w:pStyle w:val="RKrubrik"/>
      </w:pPr>
      <w:r w:rsidRPr="006764DD">
        <w:t>2. Gällande svenska regler och förslagets effekt på dessa</w:t>
      </w:r>
    </w:p>
    <w:p w:rsidR="00251886" w:rsidRPr="006764DD" w:rsidRDefault="00251886" w:rsidP="00251886">
      <w:r w:rsidRPr="006764DD">
        <w:t xml:space="preserve">Förordningen har ingen effekt på det svenska regelverket. EU-patentet är en självständig EU-rättighet som inte direkt påverkar det svenska nationella patentsystemet. </w:t>
      </w:r>
    </w:p>
    <w:p w:rsidR="00206A16" w:rsidRPr="006764DD" w:rsidRDefault="00206A16" w:rsidP="00251886"/>
    <w:p w:rsidR="00251886" w:rsidRPr="006764DD" w:rsidRDefault="00251886" w:rsidP="00251886">
      <w:r w:rsidRPr="006764DD">
        <w:t>I språklagen (2009:600) finns bestämmelser om språkanvändningen i offentlig verksamhet. Lagens syfte är att värna svenskan och den språkliga mångfalden i Sverige samt den enskildes tillgång till språk och i 10 § anges bl.a. att språket i domstolar, förvaltningsmyndigheter och andra organ som fullgör uppgifter i offentlig verksamhet är svenska. EU-patentet har emellertid sin grund i en EU-förordning. Tvister om EU-patentet kommer att hanteras av en ny enhetlig europeisk patentdomstol och inte av nationella domstolar. Det föreligger därför ingen konflikt mellan förslaget och språklagen.</w:t>
      </w:r>
    </w:p>
    <w:p w:rsidR="00251886" w:rsidRPr="006764DD" w:rsidRDefault="00251886" w:rsidP="00251886">
      <w:pPr>
        <w:pStyle w:val="RKrubrik"/>
      </w:pPr>
      <w:r w:rsidRPr="006764DD">
        <w:t xml:space="preserve">3. Budgetära konsekvenser </w:t>
      </w:r>
    </w:p>
    <w:p w:rsidR="00251886" w:rsidRPr="006764DD" w:rsidRDefault="00251886" w:rsidP="00251886">
      <w:r w:rsidRPr="006764DD">
        <w:t>EU-patentet kommer att vara självfinansierat och därför inte innebära några direkta konsekvenser för vare sig stats- eller EU-budgeten. Kommissionen har utfört en konsekvensanalys där man analyserat fyra olika modeller för EU-patentets översättningsarrangemang.</w:t>
      </w:r>
      <w:r w:rsidRPr="006764DD">
        <w:rPr>
          <w:rStyle w:val="Fotnotsreferens"/>
        </w:rPr>
        <w:footnoteReference w:id="1"/>
      </w:r>
      <w:r w:rsidRPr="006764DD">
        <w:t xml:space="preserve"> Kommissionens finner i sin analys att den valda lösningen är den mest kostnadseffektiva för användarna </w:t>
      </w:r>
      <w:r w:rsidR="00D90686" w:rsidRPr="006764DD">
        <w:t xml:space="preserve">och har </w:t>
      </w:r>
      <w:r w:rsidRPr="006764DD">
        <w:t>den har fördelen av att bygga på det redan fungerande system som används av EPO idag.</w:t>
      </w:r>
    </w:p>
    <w:p w:rsidR="00251886" w:rsidRPr="006764DD" w:rsidRDefault="00251886" w:rsidP="00251886">
      <w:pPr>
        <w:pStyle w:val="RKrubrik"/>
        <w:rPr>
          <w:u w:val="single"/>
        </w:rPr>
      </w:pPr>
      <w:r w:rsidRPr="006764DD">
        <w:rPr>
          <w:u w:val="single"/>
        </w:rPr>
        <w:t>II Ståndpunkter</w:t>
      </w:r>
    </w:p>
    <w:p w:rsidR="00251886" w:rsidRPr="006764DD" w:rsidRDefault="00251886" w:rsidP="00251886">
      <w:pPr>
        <w:pStyle w:val="RKrubrik"/>
      </w:pPr>
      <w:r w:rsidRPr="006764DD">
        <w:t xml:space="preserve">1. Svensk ståndpunkt </w:t>
      </w:r>
    </w:p>
    <w:p w:rsidR="00251886" w:rsidRPr="006764DD" w:rsidRDefault="00460EEA" w:rsidP="00206A16">
      <w:r w:rsidRPr="006764DD">
        <w:t>Sverige</w:t>
      </w:r>
      <w:r w:rsidR="00251886" w:rsidRPr="006764DD">
        <w:t xml:space="preserve"> stödjer kommissionens förslag till översättnings</w:t>
      </w:r>
      <w:r w:rsidR="00251886" w:rsidRPr="006764DD">
        <w:softHyphen/>
        <w:t>arrangemang för EU-patentet. Förslaget är kostnadseffektivt och rättssäkert, samt möter användarnas krav. Förslaget banar väg för en slutlig överens</w:t>
      </w:r>
      <w:r w:rsidR="00D90686" w:rsidRPr="006764DD">
        <w:softHyphen/>
      </w:r>
      <w:r w:rsidR="00251886" w:rsidRPr="006764DD">
        <w:t>kommelse om EU-patentet och en enhetlig patent</w:t>
      </w:r>
      <w:r w:rsidR="00251886" w:rsidRPr="006764DD">
        <w:softHyphen/>
        <w:t>domstol, vilket är av central betydelse för att främja innovation och stärka EU:s konkurrens</w:t>
      </w:r>
      <w:r w:rsidR="00D90686" w:rsidRPr="006764DD">
        <w:softHyphen/>
      </w:r>
      <w:r w:rsidR="00251886" w:rsidRPr="006764DD">
        <w:t xml:space="preserve">kraft. </w:t>
      </w:r>
      <w:r w:rsidR="00325D66" w:rsidRPr="006764DD">
        <w:t xml:space="preserve">Om nödvändigt är </w:t>
      </w:r>
      <w:r w:rsidRPr="006764DD">
        <w:t>Sverige</w:t>
      </w:r>
      <w:r w:rsidR="00206A16" w:rsidRPr="006764DD">
        <w:t xml:space="preserve"> </w:t>
      </w:r>
      <w:r w:rsidR="00325D66" w:rsidRPr="006764DD">
        <w:t>även</w:t>
      </w:r>
      <w:r w:rsidR="00206A16" w:rsidRPr="006764DD">
        <w:t xml:space="preserve"> öppet för att acceptera en kompromiss som bygger vidare på kommissionens förslag, men som även innebär att patent beviljade på tyska eller franska ska översättas till engelska i informations</w:t>
      </w:r>
      <w:r w:rsidR="00206A16" w:rsidRPr="006764DD">
        <w:softHyphen/>
        <w:t xml:space="preserve">syfte. </w:t>
      </w:r>
      <w:r w:rsidR="00251886" w:rsidRPr="006764DD">
        <w:t>Skulle det visa si</w:t>
      </w:r>
      <w:r w:rsidR="00032226" w:rsidRPr="006764DD">
        <w:t>g omöjligt att nå enhällighet på grundval av</w:t>
      </w:r>
      <w:r w:rsidR="00251886" w:rsidRPr="006764DD">
        <w:t xml:space="preserve"> förslaget </w:t>
      </w:r>
      <w:r w:rsidRPr="006764DD">
        <w:t xml:space="preserve">från kommissionen </w:t>
      </w:r>
      <w:r w:rsidR="00251886" w:rsidRPr="006764DD">
        <w:t xml:space="preserve">stöder </w:t>
      </w:r>
      <w:r w:rsidR="00325D66" w:rsidRPr="006764DD">
        <w:t>S</w:t>
      </w:r>
      <w:r w:rsidRPr="006764DD">
        <w:t>verige</w:t>
      </w:r>
      <w:r w:rsidR="00325D66" w:rsidRPr="006764DD">
        <w:t xml:space="preserve"> </w:t>
      </w:r>
      <w:r w:rsidR="00251886" w:rsidRPr="006764DD">
        <w:t xml:space="preserve">att arbete inleds mot ett fördjupat samarbete. </w:t>
      </w:r>
      <w:r w:rsidRPr="006764DD">
        <w:t>Sverige</w:t>
      </w:r>
      <w:r w:rsidR="00325D66" w:rsidRPr="006764DD">
        <w:t xml:space="preserve"> ska i så fall vara berett att ta initiativet till att sådant arbete inleds.</w:t>
      </w:r>
    </w:p>
    <w:p w:rsidR="00251886" w:rsidRPr="006764DD" w:rsidRDefault="00251886" w:rsidP="00251886">
      <w:pPr>
        <w:pStyle w:val="RKrubrik"/>
      </w:pPr>
      <w:r w:rsidRPr="006764DD">
        <w:t>2. Remissinstansernas ståndpunkter</w:t>
      </w:r>
    </w:p>
    <w:p w:rsidR="008D6B31" w:rsidRPr="006764DD" w:rsidRDefault="008D6B31" w:rsidP="008D6B31">
      <w:pPr>
        <w:pStyle w:val="RKnormal"/>
      </w:pPr>
      <w:r w:rsidRPr="006764DD">
        <w:t xml:space="preserve">Förslaget har remitterats. Samtliga remissinstanser, utom två, som har yttrat sig över förslaget har tillstyrkt det eller lämnat det utan erinran. Det innebär att användarna, genom </w:t>
      </w:r>
      <w:r w:rsidRPr="006764DD">
        <w:rPr>
          <w:i/>
        </w:rPr>
        <w:t>Föreningen Svenskt Näringsliv, Företagarna, Läkemedels</w:t>
      </w:r>
      <w:r w:rsidRPr="006764DD">
        <w:rPr>
          <w:i/>
        </w:rPr>
        <w:softHyphen/>
        <w:t>industr</w:t>
      </w:r>
      <w:r w:rsidRPr="006764DD">
        <w:rPr>
          <w:i/>
        </w:rPr>
        <w:softHyphen/>
        <w:t>iföreningen, Svenska Föreningen för Industriellt rättsskydd, Svenska Industrins IP Förening, Svenska Patentombudsföreningen, Svenska Uppfinnareföreningen, Sveriges Patentbyråers Förening</w:t>
      </w:r>
      <w:r w:rsidRPr="006764DD">
        <w:t xml:space="preserve"> och </w:t>
      </w:r>
      <w:r w:rsidRPr="006764DD">
        <w:rPr>
          <w:i/>
        </w:rPr>
        <w:t>SwedenBio</w:t>
      </w:r>
      <w:r w:rsidRPr="006764DD">
        <w:t xml:space="preserve"> stödjer förslaget.</w:t>
      </w:r>
      <w:r w:rsidRPr="006764DD">
        <w:rPr>
          <w:i/>
        </w:rPr>
        <w:t xml:space="preserve"> </w:t>
      </w:r>
      <w:r w:rsidRPr="006764DD">
        <w:t xml:space="preserve">Dessutom kan </w:t>
      </w:r>
      <w:r w:rsidRPr="006764DD">
        <w:rPr>
          <w:i/>
        </w:rPr>
        <w:t>Kommerskollegium, Vetenskapsrådet, Patentbesvärsrätten, Terminologi</w:t>
      </w:r>
      <w:r w:rsidRPr="006764DD">
        <w:rPr>
          <w:i/>
        </w:rPr>
        <w:softHyphen/>
        <w:t xml:space="preserve">centrum, Verket för innovationssystem, Institutet för språk och folkminnen (Språkrådet) </w:t>
      </w:r>
      <w:r w:rsidRPr="006764DD">
        <w:t>och</w:t>
      </w:r>
      <w:r w:rsidRPr="006764DD">
        <w:rPr>
          <w:i/>
        </w:rPr>
        <w:t xml:space="preserve"> Stockholms universitet</w:t>
      </w:r>
      <w:r w:rsidRPr="006764DD">
        <w:t xml:space="preserve"> stödja eller acceptera förslaget</w:t>
      </w:r>
      <w:r w:rsidRPr="006764DD">
        <w:rPr>
          <w:i/>
        </w:rPr>
        <w:t>.</w:t>
      </w:r>
      <w:r w:rsidRPr="006764DD">
        <w:t xml:space="preserve"> Förslaget har lämnats utan erinran av </w:t>
      </w:r>
      <w:r w:rsidRPr="006764DD">
        <w:rPr>
          <w:i/>
        </w:rPr>
        <w:t xml:space="preserve">Svea hovrätt, Stockholms tingsrätt, Domstolsverket, Ekonomistyrningsverket </w:t>
      </w:r>
      <w:r w:rsidRPr="006764DD">
        <w:t xml:space="preserve">och </w:t>
      </w:r>
      <w:r w:rsidRPr="006764DD">
        <w:rPr>
          <w:i/>
        </w:rPr>
        <w:t>Statskontoret</w:t>
      </w:r>
      <w:r w:rsidRPr="006764DD">
        <w:t>.</w:t>
      </w:r>
      <w:r w:rsidRPr="006764DD">
        <w:rPr>
          <w:i/>
        </w:rPr>
        <w:t xml:space="preserve"> </w:t>
      </w:r>
    </w:p>
    <w:p w:rsidR="008D6B31" w:rsidRPr="006764DD" w:rsidRDefault="008D6B31" w:rsidP="008D6B31">
      <w:pPr>
        <w:pStyle w:val="RKnormal"/>
      </w:pPr>
    </w:p>
    <w:p w:rsidR="008D6B31" w:rsidRPr="006764DD" w:rsidRDefault="008D6B31" w:rsidP="008D6B31">
      <w:pPr>
        <w:pStyle w:val="RKnormal"/>
      </w:pPr>
      <w:r w:rsidRPr="006764DD">
        <w:t>Ett flertal remissinstanser som stödjer förslaget skulle i och för sig på sikt föredra ett EU-patent på engelska, men de finner inte skäl att förorda en sådan lösning för närvarande. Några av dessa remissinstanser föreslår även vissa kompletteringar till förslaget.</w:t>
      </w:r>
    </w:p>
    <w:p w:rsidR="008D6B31" w:rsidRPr="006764DD" w:rsidRDefault="008D6B31" w:rsidP="008D6B31">
      <w:pPr>
        <w:pStyle w:val="RKnormal"/>
      </w:pPr>
    </w:p>
    <w:p w:rsidR="008D6B31" w:rsidRPr="006764DD" w:rsidRDefault="008D6B31" w:rsidP="008D6B31">
      <w:pPr>
        <w:pStyle w:val="RKnormal"/>
      </w:pPr>
      <w:r w:rsidRPr="006764DD">
        <w:rPr>
          <w:i/>
        </w:rPr>
        <w:t xml:space="preserve">Patent- och registreringsverket </w:t>
      </w:r>
      <w:r w:rsidRPr="006764DD">
        <w:t xml:space="preserve">stöder i och för sig förslaget, men ifrågasätter om det är tillräckligt att patentbeskrivningen kan finnas endast på tyska eller franska och förespråkar därför en lösning som innebär att EU-patentet alltid finns tillgängligt på engelska.  </w:t>
      </w:r>
      <w:r w:rsidRPr="006764DD">
        <w:rPr>
          <w:i/>
        </w:rPr>
        <w:t>Sveriges advokatsamfund</w:t>
      </w:r>
      <w:r w:rsidRPr="006764DD">
        <w:t xml:space="preserve"> avstyrker förslaget och förordar en ordning som innebär att EU-patentet utfärdas uteslutande på engelska, men att patentkraven alltid översätts till franska och tyska.</w:t>
      </w:r>
    </w:p>
    <w:p w:rsidR="008D6B31" w:rsidRPr="006764DD" w:rsidRDefault="008D6B31" w:rsidP="008D6B31">
      <w:pPr>
        <w:pStyle w:val="RKnormal"/>
      </w:pPr>
    </w:p>
    <w:p w:rsidR="008D6B31" w:rsidRPr="006764DD" w:rsidRDefault="008D6B31" w:rsidP="008D6B31">
      <w:pPr>
        <w:pStyle w:val="RKnormal"/>
      </w:pPr>
      <w:r w:rsidRPr="006764DD">
        <w:t>Innehållet i förslaget har tidigare legat på bordet under förhandlingarna och vann då ett starkt stöd bland användarna.</w:t>
      </w:r>
    </w:p>
    <w:p w:rsidR="003836EF" w:rsidRPr="006764DD" w:rsidRDefault="003836EF" w:rsidP="003836EF">
      <w:pPr>
        <w:pStyle w:val="RKrubrik"/>
      </w:pPr>
      <w:r w:rsidRPr="006764DD">
        <w:t>III Övrigt</w:t>
      </w:r>
    </w:p>
    <w:p w:rsidR="003836EF" w:rsidRPr="006764DD" w:rsidRDefault="003836EF" w:rsidP="003836EF">
      <w:pPr>
        <w:pStyle w:val="RKrubrik"/>
      </w:pPr>
      <w:r w:rsidRPr="006764DD">
        <w:t>1. Fortsatt behandling av ärendet</w:t>
      </w:r>
    </w:p>
    <w:p w:rsidR="003836EF" w:rsidRPr="006764DD" w:rsidRDefault="003836EF" w:rsidP="003836EF">
      <w:pPr>
        <w:pStyle w:val="RKnormal"/>
      </w:pPr>
      <w:r w:rsidRPr="006764DD">
        <w:t>Kommissionens förslag till förordning för EU-patentets översättnings</w:t>
      </w:r>
      <w:r w:rsidRPr="006764DD">
        <w:softHyphen/>
        <w:t>arrangemang presenterades i början av juli. Det har behandlats vid rådsarbetsgruppsmöte den 14</w:t>
      </w:r>
      <w:r w:rsidR="00D90686" w:rsidRPr="006764DD">
        <w:t>,</w:t>
      </w:r>
      <w:r w:rsidRPr="006764DD">
        <w:t xml:space="preserve"> 28 juli</w:t>
      </w:r>
      <w:r w:rsidR="00D90686" w:rsidRPr="006764DD">
        <w:t xml:space="preserve"> och den 8-9 september</w:t>
      </w:r>
      <w:r w:rsidRPr="006764DD">
        <w:t xml:space="preserve">. Därefter är ytterligare ett antal möten utsatta under hösten. </w:t>
      </w:r>
      <w:r w:rsidR="00D90686" w:rsidRPr="006764DD">
        <w:t>Förslaget kommer att vara föremål för en ministerdiskussion vid informella konkurrens</w:t>
      </w:r>
      <w:r w:rsidR="00994CC9" w:rsidRPr="006764DD">
        <w:softHyphen/>
      </w:r>
      <w:r w:rsidR="00D90686" w:rsidRPr="006764DD">
        <w:t>krafts</w:t>
      </w:r>
      <w:r w:rsidR="00994CC9" w:rsidRPr="006764DD">
        <w:softHyphen/>
      </w:r>
      <w:r w:rsidR="00D90686" w:rsidRPr="006764DD">
        <w:t xml:space="preserve">rådet den 29 september och </w:t>
      </w:r>
      <w:r w:rsidRPr="006764DD">
        <w:t xml:space="preserve">och därefter vid </w:t>
      </w:r>
      <w:r w:rsidR="00D90686" w:rsidRPr="006764DD">
        <w:t xml:space="preserve">konkurrenskraftsrådet </w:t>
      </w:r>
      <w:r w:rsidRPr="006764DD">
        <w:t xml:space="preserve">den 11-12 oktober. Det framstår som </w:t>
      </w:r>
      <w:r w:rsidR="00D90686" w:rsidRPr="006764DD">
        <w:t xml:space="preserve">möjligt att frågan om </w:t>
      </w:r>
      <w:r w:rsidRPr="006764DD">
        <w:t>det är möjligt att nå en lösning baserad på enhällighet i rådet</w:t>
      </w:r>
      <w:r w:rsidR="00D90686" w:rsidRPr="006764DD">
        <w:t xml:space="preserve"> kommer att beha</w:t>
      </w:r>
      <w:r w:rsidR="001B4339" w:rsidRPr="006764DD">
        <w:t>ndlas av rådet i oktober</w:t>
      </w:r>
      <w:r w:rsidRPr="006764DD">
        <w:t>. Det belgiska ordförandeskapet ha</w:t>
      </w:r>
      <w:r w:rsidR="00D90686" w:rsidRPr="006764DD">
        <w:t>r även aviserat att man vid konkurrenskraftsrådet den 10</w:t>
      </w:r>
      <w:r w:rsidRPr="006764DD">
        <w:t xml:space="preserve"> december planerar att behandla förslaget till förordning för EU-patentets översättningsarrangemang och eventuellt även förslaget till EU-patentförordning.</w:t>
      </w:r>
    </w:p>
    <w:p w:rsidR="003836EF" w:rsidRPr="006764DD" w:rsidRDefault="003836EF" w:rsidP="003836EF">
      <w:pPr>
        <w:pStyle w:val="RKrubrik"/>
      </w:pPr>
      <w:r w:rsidRPr="006764DD">
        <w:t>2. Rättslig grund och beslutsförfarande</w:t>
      </w:r>
    </w:p>
    <w:p w:rsidR="003836EF" w:rsidRPr="006764DD" w:rsidRDefault="003836EF" w:rsidP="003836EF">
      <w:r w:rsidRPr="006764DD">
        <w:t>Rättslig grund är artikel 118.2 i fördraget om den Europeiska Unionens funktionssätt (FEUF). Rådet beslutar med enhällighet efter hörande av Europaparlamentet.</w:t>
      </w:r>
    </w:p>
    <w:p w:rsidR="00994CC9" w:rsidRPr="006764DD" w:rsidRDefault="00994CC9" w:rsidP="00994CC9">
      <w:pPr>
        <w:pStyle w:val="RKnormal"/>
        <w:rPr>
          <w:szCs w:val="24"/>
        </w:rPr>
      </w:pPr>
    </w:p>
    <w:p w:rsidR="00994CC9" w:rsidRPr="006764DD" w:rsidRDefault="00994CC9" w:rsidP="00994CC9">
      <w:pPr>
        <w:pStyle w:val="RKnormal"/>
      </w:pPr>
      <w:r w:rsidRPr="006764DD">
        <w:t>Allmänna bestämmelser om förutsättningarna för ett fördjupat samarbete som ska tillämpas på alla områden inom ramen för EU återfinns i artikel 20 i FEU. De närmare förfarandereglerna återfinns i artiklarna 326-334 i FEUF.</w:t>
      </w:r>
    </w:p>
    <w:p w:rsidR="003836EF" w:rsidRPr="006764DD" w:rsidRDefault="003836EF" w:rsidP="003836EF">
      <w:pPr>
        <w:pStyle w:val="RKrubrik"/>
      </w:pPr>
      <w:r w:rsidRPr="006764DD">
        <w:t>3. Fackuttryck/termer</w:t>
      </w:r>
    </w:p>
    <w:p w:rsidR="003836EF" w:rsidRPr="006764DD" w:rsidRDefault="003836EF" w:rsidP="003836EF">
      <w:r w:rsidRPr="006764DD">
        <w:t>Europeiskt patent: Enligt EPC beviljar EPO europeiska patent efter ett centraliserat ansökningsförfarande. Dessa patent är inte enhetliga utan kan sägas utgöra ett knippe nationella patent som gäller i de konvent</w:t>
      </w:r>
      <w:r w:rsidRPr="006764DD">
        <w:softHyphen/>
        <w:t>ions</w:t>
      </w:r>
      <w:r w:rsidRPr="006764DD">
        <w:softHyphen/>
        <w:t>stater som patenthavaren har valt att patentet ska vara giltigt i. Tvister om europeiska patent faller under respektive nationell domstols behörighet.</w:t>
      </w:r>
    </w:p>
    <w:p w:rsidR="003836EF" w:rsidRPr="006764DD" w:rsidRDefault="003836EF" w:rsidP="003836EF"/>
    <w:p w:rsidR="003836EF" w:rsidRPr="006764DD" w:rsidRDefault="003836EF" w:rsidP="003836EF">
      <w:r w:rsidRPr="006764DD">
        <w:t>Patentkrav: Patentskriften består av patentkrav, beskrivning och eventuella ritningar. I patentkraven definieras uppfinningen och patentets skyddsomfång. Patentkraven tolkas med hjälp av beskrivningen. Patentkraven är vanligtvis en volymmässigt liten del av patentskriften.</w:t>
      </w:r>
    </w:p>
    <w:p w:rsidR="003836EF" w:rsidRPr="006764DD" w:rsidRDefault="003836EF" w:rsidP="003836EF">
      <w:pPr>
        <w:pStyle w:val="RKnormal"/>
      </w:pPr>
    </w:p>
    <w:p w:rsidR="004E1C9D" w:rsidRPr="006764DD" w:rsidRDefault="004E1C9D" w:rsidP="004E1C9D">
      <w:pPr>
        <w:pStyle w:val="RKnormal"/>
      </w:pPr>
      <w:r w:rsidRPr="006764DD">
        <w:t>–</w:t>
      </w:r>
    </w:p>
    <w:p w:rsidR="008B78FA" w:rsidRPr="006764DD" w:rsidRDefault="008B78FA">
      <w:pPr>
        <w:pStyle w:val="RKnormal"/>
      </w:pPr>
    </w:p>
    <w:sectPr w:rsidR="008B78FA" w:rsidRPr="006764DD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5110" w:rsidRPr="006764DD" w:rsidRDefault="00705110">
      <w:r w:rsidRPr="006764DD">
        <w:separator/>
      </w:r>
    </w:p>
  </w:endnote>
  <w:endnote w:type="continuationSeparator" w:id="0">
    <w:p w:rsidR="00705110" w:rsidRPr="006764DD" w:rsidRDefault="00705110">
      <w:r w:rsidRPr="006764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5110" w:rsidRPr="006764DD" w:rsidRDefault="00705110">
      <w:r w:rsidRPr="006764DD">
        <w:separator/>
      </w:r>
    </w:p>
  </w:footnote>
  <w:footnote w:type="continuationSeparator" w:id="0">
    <w:p w:rsidR="00705110" w:rsidRPr="006764DD" w:rsidRDefault="00705110">
      <w:r w:rsidRPr="006764DD">
        <w:continuationSeparator/>
      </w:r>
    </w:p>
  </w:footnote>
  <w:footnote w:id="1">
    <w:p w:rsidR="00460EEA" w:rsidRPr="006764DD" w:rsidRDefault="00460EEA" w:rsidP="00251886">
      <w:pPr>
        <w:pStyle w:val="Fotnotstext"/>
      </w:pPr>
      <w:r w:rsidRPr="006764DD">
        <w:rPr>
          <w:rStyle w:val="Fotnotsreferens"/>
        </w:rPr>
        <w:footnoteRef/>
      </w:r>
      <w:r w:rsidRPr="006764DD">
        <w:t xml:space="preserve"> Commission Staff Working Document, Impact Assesment Accompanying document to the Proposal for the translation arrangement for the European Union Patent, COM (2010) 350 final SEC (2010) 797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EEA" w:rsidRPr="006764DD" w:rsidRDefault="00460EEA">
    <w:pPr>
      <w:pStyle w:val="Sidhuvud"/>
      <w:framePr w:wrap="around" w:vAnchor="text" w:hAnchor="margin" w:xAlign="right" w:y="1"/>
      <w:rPr>
        <w:rStyle w:val="Sidnummer"/>
      </w:rPr>
    </w:pPr>
    <w:r w:rsidRPr="006764DD">
      <w:rPr>
        <w:rStyle w:val="Sidnummer"/>
      </w:rPr>
      <w:fldChar w:fldCharType="begin" w:fldLock="1"/>
    </w:r>
    <w:r w:rsidRPr="006764DD">
      <w:rPr>
        <w:rStyle w:val="Sidnummer"/>
      </w:rPr>
      <w:instrText xml:space="preserve">PAGE  </w:instrText>
    </w:r>
    <w:r w:rsidRPr="006764DD">
      <w:rPr>
        <w:rStyle w:val="Sidnummer"/>
      </w:rPr>
      <w:fldChar w:fldCharType="separate"/>
    </w:r>
    <w:r w:rsidR="00CA3E6D" w:rsidRPr="006764DD">
      <w:rPr>
        <w:rStyle w:val="Sidnummer"/>
      </w:rPr>
      <w:t>6</w:t>
    </w:r>
    <w:r w:rsidRPr="006764DD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460EEA" w:rsidRPr="006764DD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60EEA" w:rsidRPr="006764DD" w:rsidRDefault="00460EE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60EEA" w:rsidRPr="006764DD" w:rsidRDefault="00460EEA">
          <w:pPr>
            <w:pStyle w:val="Sidhuvud"/>
            <w:ind w:right="360"/>
          </w:pPr>
        </w:p>
      </w:tc>
      <w:tc>
        <w:tcPr>
          <w:tcW w:w="1525" w:type="dxa"/>
        </w:tcPr>
        <w:p w:rsidR="00460EEA" w:rsidRPr="006764DD" w:rsidRDefault="00460EEA">
          <w:pPr>
            <w:pStyle w:val="Sidhuvud"/>
            <w:ind w:right="360"/>
          </w:pPr>
        </w:p>
      </w:tc>
    </w:tr>
  </w:tbl>
  <w:p w:rsidR="00460EEA" w:rsidRPr="006764DD" w:rsidRDefault="00460EE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EEA" w:rsidRPr="006764DD" w:rsidRDefault="00460EEA">
    <w:pPr>
      <w:pStyle w:val="Sidhuvud"/>
      <w:framePr w:wrap="around" w:vAnchor="text" w:hAnchor="margin" w:xAlign="right" w:y="1"/>
      <w:rPr>
        <w:rStyle w:val="Sidnummer"/>
      </w:rPr>
    </w:pPr>
    <w:r w:rsidRPr="006764DD">
      <w:rPr>
        <w:rStyle w:val="Sidnummer"/>
      </w:rPr>
      <w:fldChar w:fldCharType="begin" w:fldLock="1"/>
    </w:r>
    <w:r w:rsidRPr="006764DD">
      <w:rPr>
        <w:rStyle w:val="Sidnummer"/>
      </w:rPr>
      <w:instrText xml:space="preserve">PAGE  </w:instrText>
    </w:r>
    <w:r w:rsidRPr="006764DD">
      <w:rPr>
        <w:rStyle w:val="Sidnummer"/>
      </w:rPr>
      <w:fldChar w:fldCharType="separate"/>
    </w:r>
    <w:r w:rsidR="00CA3E6D" w:rsidRPr="006764DD">
      <w:rPr>
        <w:rStyle w:val="Sidnummer"/>
      </w:rPr>
      <w:t>5</w:t>
    </w:r>
    <w:r w:rsidRPr="006764DD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460EEA" w:rsidRPr="006764DD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60EEA" w:rsidRPr="006764DD" w:rsidRDefault="00460EE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60EEA" w:rsidRPr="006764DD" w:rsidRDefault="00460EEA">
          <w:pPr>
            <w:pStyle w:val="Sidhuvud"/>
            <w:ind w:right="360"/>
          </w:pPr>
        </w:p>
      </w:tc>
      <w:tc>
        <w:tcPr>
          <w:tcW w:w="1525" w:type="dxa"/>
        </w:tcPr>
        <w:p w:rsidR="00460EEA" w:rsidRPr="006764DD" w:rsidRDefault="00460EEA">
          <w:pPr>
            <w:pStyle w:val="Sidhuvud"/>
            <w:ind w:right="360"/>
          </w:pPr>
        </w:p>
      </w:tc>
    </w:tr>
  </w:tbl>
  <w:p w:rsidR="00460EEA" w:rsidRPr="006764DD" w:rsidRDefault="00460EE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EEA" w:rsidRPr="006764DD" w:rsidRDefault="006764DD">
    <w:pPr>
      <w:framePr w:w="2948" w:h="1321" w:hRule="exact" w:wrap="notBeside" w:vAnchor="page" w:hAnchor="page" w:x="1362" w:y="653"/>
    </w:pPr>
    <w:r w:rsidRPr="006764DD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0EEA" w:rsidRPr="006764DD" w:rsidRDefault="00460EE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60EEA" w:rsidRPr="006764DD" w:rsidRDefault="00460EEA">
    <w:pPr>
      <w:rPr>
        <w:rFonts w:ascii="TradeGothic" w:hAnsi="TradeGothic"/>
        <w:b/>
        <w:bCs/>
        <w:spacing w:val="12"/>
        <w:sz w:val="22"/>
      </w:rPr>
    </w:pPr>
  </w:p>
  <w:p w:rsidR="00460EEA" w:rsidRPr="006764DD" w:rsidRDefault="00460EE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60EEA" w:rsidRPr="006764DD" w:rsidRDefault="00460EE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8B78FA"/>
    <w:rsid w:val="00032226"/>
    <w:rsid w:val="000B47A0"/>
    <w:rsid w:val="00102AF0"/>
    <w:rsid w:val="00111D7A"/>
    <w:rsid w:val="00140A60"/>
    <w:rsid w:val="00150384"/>
    <w:rsid w:val="001805B7"/>
    <w:rsid w:val="00185F1A"/>
    <w:rsid w:val="001B4074"/>
    <w:rsid w:val="001B4339"/>
    <w:rsid w:val="00206A16"/>
    <w:rsid w:val="00251886"/>
    <w:rsid w:val="0027287B"/>
    <w:rsid w:val="002C4657"/>
    <w:rsid w:val="00313C9B"/>
    <w:rsid w:val="00317538"/>
    <w:rsid w:val="00325D66"/>
    <w:rsid w:val="003836EF"/>
    <w:rsid w:val="00452C49"/>
    <w:rsid w:val="00460EEA"/>
    <w:rsid w:val="00475004"/>
    <w:rsid w:val="004A328D"/>
    <w:rsid w:val="004A35A7"/>
    <w:rsid w:val="004B57C6"/>
    <w:rsid w:val="004C60AC"/>
    <w:rsid w:val="004E1C9D"/>
    <w:rsid w:val="00530E25"/>
    <w:rsid w:val="006764DD"/>
    <w:rsid w:val="006E4E11"/>
    <w:rsid w:val="00702886"/>
    <w:rsid w:val="00705110"/>
    <w:rsid w:val="007242A3"/>
    <w:rsid w:val="00802253"/>
    <w:rsid w:val="008942DE"/>
    <w:rsid w:val="008B78FA"/>
    <w:rsid w:val="008D14EC"/>
    <w:rsid w:val="008D6B31"/>
    <w:rsid w:val="008D7564"/>
    <w:rsid w:val="008F6AD7"/>
    <w:rsid w:val="00936352"/>
    <w:rsid w:val="0097601D"/>
    <w:rsid w:val="009914ED"/>
    <w:rsid w:val="00994CC9"/>
    <w:rsid w:val="009B601E"/>
    <w:rsid w:val="00A62831"/>
    <w:rsid w:val="00A705D6"/>
    <w:rsid w:val="00A74623"/>
    <w:rsid w:val="00AF1764"/>
    <w:rsid w:val="00B00F40"/>
    <w:rsid w:val="00B84600"/>
    <w:rsid w:val="00BD4BA0"/>
    <w:rsid w:val="00BD55C8"/>
    <w:rsid w:val="00C103E1"/>
    <w:rsid w:val="00C31705"/>
    <w:rsid w:val="00C502A4"/>
    <w:rsid w:val="00C7319F"/>
    <w:rsid w:val="00CA3E6D"/>
    <w:rsid w:val="00D05661"/>
    <w:rsid w:val="00D602FD"/>
    <w:rsid w:val="00D90686"/>
    <w:rsid w:val="00E415D9"/>
    <w:rsid w:val="00E41959"/>
    <w:rsid w:val="00EB0A25"/>
    <w:rsid w:val="00EC25F9"/>
    <w:rsid w:val="00EE2DAE"/>
    <w:rsid w:val="00EF46A4"/>
    <w:rsid w:val="00F36AE1"/>
    <w:rsid w:val="00F37D1B"/>
    <w:rsid w:val="00FE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62C51A-0B3E-4A35-8C92-9ACDF565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link w:val="Rubrik4Char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8B78FA"/>
    <w:rPr>
      <w:rFonts w:ascii="OrigGarmnd BT" w:hAnsi="OrigGarmnd BT"/>
      <w:sz w:val="24"/>
      <w:lang w:val="sv-SE" w:eastAsia="en-US" w:bidi="ar-SA"/>
    </w:rPr>
  </w:style>
  <w:style w:type="paragraph" w:customStyle="1" w:styleId="EntEmet">
    <w:name w:val="EntEmet"/>
    <w:basedOn w:val="Normal"/>
    <w:rsid w:val="008B78FA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overflowPunct/>
      <w:autoSpaceDE/>
      <w:autoSpaceDN/>
      <w:adjustRightInd/>
      <w:spacing w:before="40" w:line="240" w:lineRule="auto"/>
      <w:textAlignment w:val="auto"/>
    </w:pPr>
    <w:rPr>
      <w:rFonts w:ascii="Times New Roman" w:hAnsi="Times New Roman"/>
      <w:lang w:val="en-GB" w:eastAsia="fr-BE"/>
    </w:rPr>
  </w:style>
  <w:style w:type="character" w:customStyle="1" w:styleId="Rubrik4Char">
    <w:name w:val="Rubrik 4 Char"/>
    <w:basedOn w:val="Standardstycketeckensnitt"/>
    <w:link w:val="Rubrik4"/>
    <w:rsid w:val="00F37D1B"/>
    <w:rPr>
      <w:rFonts w:ascii="OrigGarmnd BT" w:hAnsi="OrigGarmnd BT"/>
      <w:b/>
      <w:i/>
      <w:kern w:val="28"/>
      <w:sz w:val="22"/>
      <w:lang w:val="sv-SE" w:eastAsia="en-US" w:bidi="ar-SA"/>
    </w:rPr>
  </w:style>
  <w:style w:type="paragraph" w:customStyle="1" w:styleId="normal0">
    <w:name w:val="normal"/>
    <w:basedOn w:val="Normal"/>
    <w:rsid w:val="00F37D1B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Verdana" w:hAnsi="Verdana"/>
      <w:szCs w:val="24"/>
      <w:lang w:eastAsia="sv-SE"/>
    </w:rPr>
  </w:style>
  <w:style w:type="paragraph" w:customStyle="1" w:styleId="CitatIndrag">
    <w:name w:val="CitatIndrag"/>
    <w:basedOn w:val="Normal"/>
    <w:rsid w:val="00475004"/>
    <w:pPr>
      <w:overflowPunct/>
      <w:autoSpaceDE/>
      <w:autoSpaceDN/>
      <w:adjustRightInd/>
      <w:spacing w:line="214" w:lineRule="exact"/>
      <w:ind w:firstLine="170"/>
      <w:jc w:val="both"/>
      <w:textAlignment w:val="auto"/>
    </w:pPr>
    <w:rPr>
      <w:rFonts w:ascii="Times New Roman" w:hAnsi="Times New Roman"/>
      <w:sz w:val="19"/>
      <w:lang w:eastAsia="sv-SE"/>
    </w:rPr>
  </w:style>
  <w:style w:type="paragraph" w:styleId="Normaltindrag">
    <w:name w:val="Normal Indent"/>
    <w:basedOn w:val="Normal"/>
    <w:rsid w:val="00475004"/>
    <w:pPr>
      <w:overflowPunct/>
      <w:autoSpaceDE/>
      <w:autoSpaceDN/>
      <w:adjustRightInd/>
      <w:spacing w:line="245" w:lineRule="exact"/>
      <w:ind w:firstLine="170"/>
      <w:jc w:val="both"/>
      <w:textAlignment w:val="auto"/>
    </w:pPr>
    <w:rPr>
      <w:rFonts w:ascii="Times New Roman" w:hAnsi="Times New Roman"/>
      <w:sz w:val="19"/>
      <w:lang w:eastAsia="sv-SE"/>
    </w:rPr>
  </w:style>
  <w:style w:type="character" w:styleId="Fotnotsreferens">
    <w:name w:val="footnote reference"/>
    <w:basedOn w:val="Standardstycketeckensnitt"/>
    <w:semiHidden/>
    <w:rsid w:val="00475004"/>
    <w:rPr>
      <w:vertAlign w:val="superscript"/>
    </w:rPr>
  </w:style>
  <w:style w:type="paragraph" w:styleId="Fotnotstext">
    <w:name w:val="footnote text"/>
    <w:basedOn w:val="Normal"/>
    <w:semiHidden/>
    <w:rsid w:val="00475004"/>
    <w:pPr>
      <w:overflowPunct/>
      <w:autoSpaceDE/>
      <w:autoSpaceDN/>
      <w:adjustRightInd/>
      <w:spacing w:before="122" w:line="170" w:lineRule="exact"/>
      <w:jc w:val="both"/>
      <w:textAlignment w:val="auto"/>
    </w:pPr>
    <w:rPr>
      <w:rFonts w:ascii="Times New Roman" w:hAnsi="Times New Roman"/>
      <w:sz w:val="17"/>
      <w:lang w:eastAsia="sv-SE"/>
    </w:rPr>
  </w:style>
  <w:style w:type="paragraph" w:styleId="Ballongtext">
    <w:name w:val="Balloon Text"/>
    <w:basedOn w:val="Normal"/>
    <w:semiHidden/>
    <w:rsid w:val="00CA3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0094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8061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92676924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81201629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1690</Words>
  <Characters>10755</Characters>
  <Application>Microsoft Office Word</Application>
  <DocSecurity>4</DocSecurity>
  <Lines>250</Lines>
  <Paragraphs>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2010-10-04T10:13:00Z</cp:lastPrinted>
  <dcterms:created xsi:type="dcterms:W3CDTF">2025-12-18T03:47:00Z</dcterms:created>
  <dcterms:modified xsi:type="dcterms:W3CDTF">2025-12-18T03:47:00Z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2;0;0;200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