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A53" w:rsidRPr="00A959AD" w:rsidRDefault="006D5A53">
      <w:pPr>
        <w:pStyle w:val="Hemstlrubrik"/>
      </w:pPr>
      <w:r w:rsidRPr="00A959AD">
        <w:t>Förslag till riksdagsbeslut</w:t>
      </w:r>
    </w:p>
    <w:p w:rsidR="006D5A53" w:rsidRPr="00A959AD" w:rsidRDefault="006D5A53">
      <w:pPr>
        <w:pStyle w:val="Hemstlatt"/>
        <w:numPr>
          <w:ilvl w:val="0"/>
          <w:numId w:val="1"/>
        </w:numPr>
      </w:pPr>
      <w:r w:rsidRPr="00A959AD">
        <w:t>Riksdagen anvisar med följande ändringar i fö</w:t>
      </w:r>
      <w:r w:rsidRPr="00A959AD">
        <w:t>r</w:t>
      </w:r>
      <w:r w:rsidRPr="00A959AD">
        <w:t>hållande till regeringens förslag anslagen under utgiftsområde 3 Skatt, tull och exekution enligt uppställning:</w:t>
      </w:r>
    </w:p>
    <w:tbl>
      <w:tblPr>
        <w:tblW w:w="5956"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40"/>
        <w:gridCol w:w="3236"/>
        <w:gridCol w:w="810"/>
        <w:gridCol w:w="528"/>
        <w:gridCol w:w="542"/>
      </w:tblGrid>
      <w:tr w:rsidR="00000000" w:rsidRPr="00A959AD">
        <w:trPr>
          <w:trHeight w:val="20"/>
        </w:trPr>
        <w:tc>
          <w:tcPr>
            <w:tcW w:w="840" w:type="dxa"/>
            <w:tcBorders>
              <w:top w:val="single" w:sz="4" w:space="0" w:color="auto"/>
              <w:bottom w:val="nil"/>
            </w:tcBorders>
          </w:tcPr>
          <w:p w:rsidR="006D5A53" w:rsidRPr="00A959AD" w:rsidRDefault="006D5A53">
            <w:pPr>
              <w:pStyle w:val="Citat"/>
              <w:spacing w:before="0"/>
              <w:ind w:left="0"/>
              <w:jc w:val="left"/>
              <w:rPr>
                <w:b/>
                <w:sz w:val="16"/>
              </w:rPr>
            </w:pPr>
            <w:r w:rsidRPr="00A959AD">
              <w:rPr>
                <w:b/>
                <w:sz w:val="16"/>
              </w:rPr>
              <w:t>Anslag (nr)</w:t>
            </w:r>
          </w:p>
        </w:tc>
        <w:tc>
          <w:tcPr>
            <w:tcW w:w="3236" w:type="dxa"/>
            <w:tcBorders>
              <w:top w:val="single" w:sz="4" w:space="0" w:color="auto"/>
              <w:bottom w:val="nil"/>
            </w:tcBorders>
          </w:tcPr>
          <w:p w:rsidR="006D5A53" w:rsidRPr="00A959AD" w:rsidRDefault="006D5A53">
            <w:pPr>
              <w:spacing w:line="200" w:lineRule="exact"/>
              <w:rPr>
                <w:b/>
                <w:bCs/>
                <w:sz w:val="16"/>
                <w:szCs w:val="16"/>
              </w:rPr>
            </w:pPr>
          </w:p>
        </w:tc>
        <w:tc>
          <w:tcPr>
            <w:tcW w:w="1880" w:type="dxa"/>
            <w:gridSpan w:val="3"/>
            <w:tcBorders>
              <w:top w:val="single" w:sz="4" w:space="0" w:color="auto"/>
              <w:bottom w:val="nil"/>
            </w:tcBorders>
          </w:tcPr>
          <w:p w:rsidR="006D5A53" w:rsidRPr="00A959AD" w:rsidRDefault="006D5A53">
            <w:pPr>
              <w:pStyle w:val="Citat"/>
              <w:spacing w:before="0"/>
              <w:jc w:val="center"/>
              <w:rPr>
                <w:b/>
                <w:sz w:val="16"/>
                <w:szCs w:val="16"/>
              </w:rPr>
            </w:pPr>
            <w:r w:rsidRPr="00A959AD">
              <w:rPr>
                <w:b/>
                <w:sz w:val="16"/>
                <w:szCs w:val="16"/>
              </w:rPr>
              <w:t xml:space="preserve">Anslagsförändring </w:t>
            </w:r>
            <w:r w:rsidRPr="00A959AD">
              <w:rPr>
                <w:b/>
                <w:sz w:val="16"/>
                <w:szCs w:val="16"/>
              </w:rPr>
              <w:br/>
              <w:t>(miljoner kronor)</w:t>
            </w:r>
          </w:p>
        </w:tc>
      </w:tr>
      <w:tr w:rsidR="00000000" w:rsidRPr="00A959AD">
        <w:trPr>
          <w:trHeight w:val="20"/>
        </w:trPr>
        <w:tc>
          <w:tcPr>
            <w:tcW w:w="840" w:type="dxa"/>
            <w:tcBorders>
              <w:top w:val="nil"/>
              <w:bottom w:val="single" w:sz="4" w:space="0" w:color="auto"/>
            </w:tcBorders>
            <w:vAlign w:val="bottom"/>
          </w:tcPr>
          <w:p w:rsidR="006D5A53" w:rsidRPr="00A959AD" w:rsidRDefault="006D5A53">
            <w:pPr>
              <w:spacing w:before="60" w:line="200" w:lineRule="exact"/>
              <w:rPr>
                <w:b/>
                <w:bCs/>
                <w:sz w:val="16"/>
                <w:szCs w:val="16"/>
              </w:rPr>
            </w:pPr>
          </w:p>
        </w:tc>
        <w:tc>
          <w:tcPr>
            <w:tcW w:w="3236" w:type="dxa"/>
            <w:tcBorders>
              <w:top w:val="nil"/>
              <w:bottom w:val="single" w:sz="4" w:space="0" w:color="auto"/>
            </w:tcBorders>
            <w:vAlign w:val="bottom"/>
          </w:tcPr>
          <w:p w:rsidR="006D5A53" w:rsidRPr="00A959AD" w:rsidRDefault="006D5A53">
            <w:pPr>
              <w:spacing w:before="60" w:line="200" w:lineRule="exact"/>
              <w:rPr>
                <w:b/>
                <w:bCs/>
                <w:sz w:val="16"/>
                <w:szCs w:val="16"/>
              </w:rPr>
            </w:pPr>
          </w:p>
        </w:tc>
        <w:tc>
          <w:tcPr>
            <w:tcW w:w="810" w:type="dxa"/>
            <w:tcBorders>
              <w:top w:val="nil"/>
              <w:bottom w:val="single" w:sz="4" w:space="0" w:color="auto"/>
            </w:tcBorders>
            <w:vAlign w:val="bottom"/>
          </w:tcPr>
          <w:p w:rsidR="006D5A53" w:rsidRPr="00A959AD" w:rsidRDefault="006D5A53">
            <w:pPr>
              <w:spacing w:before="60" w:line="200" w:lineRule="exact"/>
              <w:jc w:val="right"/>
              <w:rPr>
                <w:b/>
                <w:bCs/>
                <w:sz w:val="16"/>
                <w:szCs w:val="16"/>
              </w:rPr>
            </w:pPr>
            <w:r w:rsidRPr="00A959AD">
              <w:rPr>
                <w:b/>
                <w:bCs/>
                <w:sz w:val="16"/>
                <w:szCs w:val="16"/>
              </w:rPr>
              <w:t>2008</w:t>
            </w:r>
          </w:p>
        </w:tc>
        <w:tc>
          <w:tcPr>
            <w:tcW w:w="528" w:type="dxa"/>
            <w:tcBorders>
              <w:top w:val="nil"/>
              <w:bottom w:val="single" w:sz="4" w:space="0" w:color="auto"/>
            </w:tcBorders>
            <w:noWrap/>
            <w:vAlign w:val="bottom"/>
          </w:tcPr>
          <w:p w:rsidR="006D5A53" w:rsidRPr="00A959AD" w:rsidRDefault="006D5A53">
            <w:pPr>
              <w:spacing w:before="60" w:line="200" w:lineRule="exact"/>
              <w:jc w:val="right"/>
              <w:rPr>
                <w:b/>
                <w:bCs/>
                <w:sz w:val="16"/>
                <w:szCs w:val="16"/>
              </w:rPr>
            </w:pPr>
            <w:r w:rsidRPr="00A959AD">
              <w:rPr>
                <w:b/>
                <w:bCs/>
                <w:sz w:val="16"/>
                <w:szCs w:val="16"/>
              </w:rPr>
              <w:t>2009</w:t>
            </w:r>
          </w:p>
        </w:tc>
        <w:tc>
          <w:tcPr>
            <w:tcW w:w="542" w:type="dxa"/>
            <w:tcBorders>
              <w:top w:val="nil"/>
              <w:bottom w:val="single" w:sz="4" w:space="0" w:color="auto"/>
            </w:tcBorders>
            <w:noWrap/>
            <w:vAlign w:val="bottom"/>
          </w:tcPr>
          <w:p w:rsidR="006D5A53" w:rsidRPr="00A959AD" w:rsidRDefault="006D5A53">
            <w:pPr>
              <w:spacing w:before="60" w:line="200" w:lineRule="exact"/>
              <w:jc w:val="right"/>
              <w:rPr>
                <w:b/>
                <w:bCs/>
                <w:sz w:val="16"/>
                <w:szCs w:val="16"/>
              </w:rPr>
            </w:pPr>
            <w:r w:rsidRPr="00A959AD">
              <w:rPr>
                <w:b/>
                <w:bCs/>
                <w:sz w:val="16"/>
                <w:szCs w:val="16"/>
              </w:rPr>
              <w:t>2010</w:t>
            </w:r>
          </w:p>
        </w:tc>
      </w:tr>
      <w:tr w:rsidR="00000000" w:rsidRPr="00A959AD">
        <w:tc>
          <w:tcPr>
            <w:tcW w:w="840" w:type="dxa"/>
            <w:tcBorders>
              <w:top w:val="single" w:sz="4" w:space="0" w:color="auto"/>
            </w:tcBorders>
            <w:vAlign w:val="bottom"/>
          </w:tcPr>
          <w:p w:rsidR="006D5A53" w:rsidRPr="00A959AD" w:rsidRDefault="006D5A53">
            <w:pPr>
              <w:spacing w:before="60" w:line="200" w:lineRule="exact"/>
              <w:rPr>
                <w:sz w:val="16"/>
                <w:szCs w:val="16"/>
              </w:rPr>
            </w:pPr>
            <w:r w:rsidRPr="00A959AD">
              <w:rPr>
                <w:sz w:val="16"/>
                <w:szCs w:val="16"/>
              </w:rPr>
              <w:t>3:3</w:t>
            </w:r>
          </w:p>
        </w:tc>
        <w:tc>
          <w:tcPr>
            <w:tcW w:w="3236" w:type="dxa"/>
            <w:tcBorders>
              <w:top w:val="single" w:sz="4" w:space="0" w:color="auto"/>
            </w:tcBorders>
            <w:vAlign w:val="bottom"/>
          </w:tcPr>
          <w:p w:rsidR="006D5A53" w:rsidRPr="00A959AD" w:rsidRDefault="006D5A53">
            <w:pPr>
              <w:spacing w:before="60" w:line="200" w:lineRule="exact"/>
              <w:rPr>
                <w:sz w:val="16"/>
                <w:szCs w:val="16"/>
              </w:rPr>
            </w:pPr>
            <w:r w:rsidRPr="00A959AD">
              <w:rPr>
                <w:sz w:val="16"/>
                <w:szCs w:val="16"/>
              </w:rPr>
              <w:t>Tullverket</w:t>
            </w:r>
          </w:p>
        </w:tc>
        <w:tc>
          <w:tcPr>
            <w:tcW w:w="810" w:type="dxa"/>
            <w:tcBorders>
              <w:top w:val="single" w:sz="4" w:space="0" w:color="auto"/>
            </w:tcBorders>
            <w:vAlign w:val="bottom"/>
          </w:tcPr>
          <w:p w:rsidR="006D5A53" w:rsidRPr="00A959AD" w:rsidRDefault="006D5A53">
            <w:pPr>
              <w:spacing w:before="60" w:line="200" w:lineRule="exact"/>
              <w:jc w:val="right"/>
              <w:rPr>
                <w:sz w:val="16"/>
                <w:szCs w:val="16"/>
              </w:rPr>
            </w:pPr>
            <w:r w:rsidRPr="00A959AD">
              <w:rPr>
                <w:sz w:val="16"/>
                <w:szCs w:val="16"/>
              </w:rPr>
              <w:t>25</w:t>
            </w:r>
          </w:p>
        </w:tc>
        <w:tc>
          <w:tcPr>
            <w:tcW w:w="528" w:type="dxa"/>
            <w:tcBorders>
              <w:top w:val="single" w:sz="4" w:space="0" w:color="auto"/>
            </w:tcBorders>
            <w:noWrap/>
            <w:vAlign w:val="bottom"/>
          </w:tcPr>
          <w:p w:rsidR="006D5A53" w:rsidRPr="00A959AD" w:rsidRDefault="006D5A53">
            <w:pPr>
              <w:spacing w:before="60" w:line="200" w:lineRule="exact"/>
              <w:jc w:val="right"/>
              <w:rPr>
                <w:sz w:val="16"/>
                <w:szCs w:val="16"/>
              </w:rPr>
            </w:pPr>
            <w:r w:rsidRPr="00A959AD">
              <w:rPr>
                <w:sz w:val="16"/>
                <w:szCs w:val="16"/>
              </w:rPr>
              <w:t>25</w:t>
            </w:r>
          </w:p>
        </w:tc>
        <w:tc>
          <w:tcPr>
            <w:tcW w:w="542" w:type="dxa"/>
            <w:tcBorders>
              <w:top w:val="single" w:sz="4" w:space="0" w:color="auto"/>
            </w:tcBorders>
            <w:noWrap/>
            <w:vAlign w:val="bottom"/>
          </w:tcPr>
          <w:p w:rsidR="006D5A53" w:rsidRPr="00A959AD" w:rsidRDefault="006D5A53">
            <w:pPr>
              <w:spacing w:before="60" w:line="200" w:lineRule="exact"/>
              <w:jc w:val="right"/>
              <w:rPr>
                <w:sz w:val="16"/>
                <w:szCs w:val="16"/>
              </w:rPr>
            </w:pPr>
            <w:r w:rsidRPr="00A959AD">
              <w:rPr>
                <w:sz w:val="16"/>
                <w:szCs w:val="16"/>
              </w:rPr>
              <w:t>25</w:t>
            </w:r>
          </w:p>
        </w:tc>
      </w:tr>
      <w:tr w:rsidR="00000000" w:rsidRPr="00A959AD">
        <w:trPr>
          <w:trHeight w:val="255"/>
        </w:trPr>
        <w:tc>
          <w:tcPr>
            <w:tcW w:w="840" w:type="dxa"/>
            <w:noWrap/>
            <w:vAlign w:val="bottom"/>
          </w:tcPr>
          <w:p w:rsidR="006D5A53" w:rsidRPr="00A959AD" w:rsidRDefault="006D5A53">
            <w:pPr>
              <w:spacing w:before="60" w:line="200" w:lineRule="exact"/>
              <w:rPr>
                <w:sz w:val="16"/>
                <w:szCs w:val="16"/>
              </w:rPr>
            </w:pPr>
          </w:p>
        </w:tc>
        <w:tc>
          <w:tcPr>
            <w:tcW w:w="3236" w:type="dxa"/>
            <w:noWrap/>
            <w:vAlign w:val="bottom"/>
          </w:tcPr>
          <w:p w:rsidR="006D5A53" w:rsidRPr="00A959AD" w:rsidRDefault="006D5A53">
            <w:pPr>
              <w:spacing w:before="60" w:line="200" w:lineRule="exact"/>
              <w:rPr>
                <w:b/>
                <w:bCs/>
                <w:sz w:val="16"/>
                <w:szCs w:val="16"/>
              </w:rPr>
            </w:pPr>
            <w:r w:rsidRPr="00A959AD">
              <w:rPr>
                <w:b/>
                <w:bCs/>
                <w:sz w:val="16"/>
                <w:szCs w:val="16"/>
              </w:rPr>
              <w:t>Summa för utgiftsområdet</w:t>
            </w:r>
          </w:p>
        </w:tc>
        <w:tc>
          <w:tcPr>
            <w:tcW w:w="810" w:type="dxa"/>
            <w:noWrap/>
            <w:vAlign w:val="bottom"/>
          </w:tcPr>
          <w:p w:rsidR="006D5A53" w:rsidRPr="00A959AD" w:rsidRDefault="006D5A53">
            <w:pPr>
              <w:spacing w:before="60" w:line="200" w:lineRule="exact"/>
              <w:jc w:val="right"/>
              <w:rPr>
                <w:b/>
                <w:bCs/>
                <w:sz w:val="16"/>
                <w:szCs w:val="16"/>
              </w:rPr>
            </w:pPr>
            <w:r w:rsidRPr="00A959AD">
              <w:rPr>
                <w:b/>
                <w:bCs/>
                <w:sz w:val="16"/>
                <w:szCs w:val="16"/>
              </w:rPr>
              <w:t>25</w:t>
            </w:r>
          </w:p>
        </w:tc>
        <w:tc>
          <w:tcPr>
            <w:tcW w:w="528" w:type="dxa"/>
            <w:noWrap/>
            <w:vAlign w:val="bottom"/>
          </w:tcPr>
          <w:p w:rsidR="006D5A53" w:rsidRPr="00A959AD" w:rsidRDefault="006D5A53">
            <w:pPr>
              <w:spacing w:before="60" w:line="200" w:lineRule="exact"/>
              <w:jc w:val="right"/>
              <w:rPr>
                <w:b/>
                <w:bCs/>
                <w:sz w:val="16"/>
                <w:szCs w:val="16"/>
              </w:rPr>
            </w:pPr>
            <w:r w:rsidRPr="00A959AD">
              <w:rPr>
                <w:b/>
                <w:bCs/>
                <w:sz w:val="16"/>
                <w:szCs w:val="16"/>
              </w:rPr>
              <w:t>25</w:t>
            </w:r>
          </w:p>
        </w:tc>
        <w:tc>
          <w:tcPr>
            <w:tcW w:w="542" w:type="dxa"/>
            <w:noWrap/>
            <w:vAlign w:val="bottom"/>
          </w:tcPr>
          <w:p w:rsidR="006D5A53" w:rsidRPr="00A959AD" w:rsidRDefault="006D5A53">
            <w:pPr>
              <w:spacing w:before="60" w:line="200" w:lineRule="exact"/>
              <w:jc w:val="right"/>
              <w:rPr>
                <w:b/>
                <w:bCs/>
                <w:sz w:val="16"/>
                <w:szCs w:val="16"/>
              </w:rPr>
            </w:pPr>
            <w:r w:rsidRPr="00A959AD">
              <w:rPr>
                <w:b/>
                <w:bCs/>
                <w:sz w:val="16"/>
                <w:szCs w:val="16"/>
              </w:rPr>
              <w:t>25</w:t>
            </w:r>
          </w:p>
        </w:tc>
      </w:tr>
    </w:tbl>
    <w:p w:rsidR="006D5A53" w:rsidRPr="00A959AD" w:rsidRDefault="006D5A53">
      <w:pPr>
        <w:pStyle w:val="Hemstlatt"/>
        <w:numPr>
          <w:ilvl w:val="0"/>
          <w:numId w:val="1"/>
        </w:numPr>
      </w:pPr>
      <w:r w:rsidRPr="00A959AD">
        <w:t>Riksdagen tillkännager för regeringen som sin mening vad som anförs i motionen om höjda miniskatter på alkohol i EU.</w:t>
      </w:r>
    </w:p>
    <w:p w:rsidR="006D5A53" w:rsidRPr="00A959AD" w:rsidRDefault="006D5A53">
      <w:pPr>
        <w:pStyle w:val="Hemstlatt"/>
        <w:numPr>
          <w:ilvl w:val="0"/>
          <w:numId w:val="1"/>
        </w:numPr>
      </w:pPr>
      <w:r w:rsidRPr="00A959AD">
        <w:t>Riksdagen tillkännager för regeringen som sin mening vad som anförs i motionen om att sänka de indikativa nivåerna för privati</w:t>
      </w:r>
      <w:r w:rsidRPr="00A959AD">
        <w:t>n</w:t>
      </w:r>
      <w:r w:rsidRPr="00A959AD">
        <w:t>försel av alkohol och göra om dessa till absoluta kvoter, såsom gällde före Sveriges EU-medlemskap.</w:t>
      </w:r>
    </w:p>
    <w:p w:rsidR="006D5A53" w:rsidRPr="00A959AD" w:rsidRDefault="006D5A53">
      <w:pPr>
        <w:pStyle w:val="Rubrik1"/>
      </w:pPr>
      <w:r w:rsidRPr="00A959AD">
        <w:t>Utgiftsområde 3 Skatt, tull och exekution</w:t>
      </w:r>
    </w:p>
    <w:p w:rsidR="006D5A53" w:rsidRPr="00A959AD" w:rsidRDefault="006D5A53">
      <w:r w:rsidRPr="00A959AD">
        <w:t>De stora mängder alkohol som nu får föras in för privat bruk har skapat en marknad för personer som satt i system att föra in stora mängder alkohol som sedan illegalt säljs vidare, helt utan den prispolitik och de åldersgränser och andra restriktioner som gäller på systembolaget. Problemet är mest omfatta</w:t>
      </w:r>
      <w:r w:rsidRPr="00A959AD">
        <w:t>n</w:t>
      </w:r>
      <w:r w:rsidRPr="00A959AD">
        <w:t>de i Skåne och andra gränsområden, men förekommer även i andra delar av landet. Som svar på detta har det rests krav på att alkoholskatterna ska sänkas, vilket Miljöpartiet de gröna dock tror skulle skapa fler problem än det löser. För att kunna konkurrera prismässigt med alkohol från kontinenten skulle skattesänkningarna behöva bli mycket stora, med ökad konsumtion och dä</w:t>
      </w:r>
      <w:r w:rsidRPr="00A959AD">
        <w:t>r</w:t>
      </w:r>
      <w:r w:rsidRPr="00A959AD">
        <w:t xml:space="preserve">med relaterade skador som följd. De problem vi ser i gränsområden skulle </w:t>
      </w:r>
      <w:r w:rsidRPr="00A959AD">
        <w:lastRenderedPageBreak/>
        <w:t xml:space="preserve">vi alltså få i hela landet. Det är inte heller säkert att det </w:t>
      </w:r>
      <w:r w:rsidRPr="00A959AD">
        <w:t>skulle hjälpa mot alk</w:t>
      </w:r>
      <w:r w:rsidRPr="00A959AD">
        <w:t>o</w:t>
      </w:r>
      <w:r w:rsidRPr="00A959AD">
        <w:t>hol</w:t>
      </w:r>
      <w:r w:rsidRPr="00A959AD">
        <w:softHyphen/>
        <w:t>försäljningen till unga, eftersom de fortfarande inte kan handla på syste</w:t>
      </w:r>
      <w:r w:rsidRPr="00A959AD">
        <w:t>m</w:t>
      </w:r>
      <w:r w:rsidRPr="00A959AD">
        <w:t>bolaget även om priserna sänks och därför fortfarande kommer att efterfråga den illegala alkoholen.</w:t>
      </w:r>
    </w:p>
    <w:p w:rsidR="006D5A53" w:rsidRPr="00A959AD" w:rsidRDefault="006D5A53">
      <w:pPr>
        <w:pStyle w:val="Normaltindrag"/>
      </w:pPr>
      <w:r w:rsidRPr="00A959AD">
        <w:t>Lösningen på detta är därför inte sänkta alkoholskatter. I första hand bör Sverige verka för höjda minimiskatter i EU och att EU ska sänka och göra om de indikativa nivåerna för privatinförsel till de absoluta kvoter som gällde före Sveriges EU-inträde, det vill säga då kvoterna inte som nu kunde överskridas om</w:t>
      </w:r>
      <w:r w:rsidRPr="00A959AD">
        <w:t xml:space="preserve"> man gör sannolikt att alkoholen ändå ska användas för privat bruk. Om så behövs borde Sverige ensidigt återinföra de gamla kvoterna och få det rättsligt prövat mot EU:s folkhälsoparagrafer. I väntan på det bör tullen ges utökade resurser för att motverka den illegala alkohol</w:t>
      </w:r>
      <w:r w:rsidRPr="00A959AD">
        <w:softHyphen/>
        <w:t>införseln. För 2007 fick Tullverket en tillfällig förstärkning på 25 miljoner kronor för att ytterl</w:t>
      </w:r>
      <w:r w:rsidRPr="00A959AD">
        <w:t>i</w:t>
      </w:r>
      <w:r w:rsidRPr="00A959AD">
        <w:t>gare förbättra gränskontrollen och i övrigt stärka brottsbekämpningen. Dessa 25 miljoner kronor bör permanentas och användas för att mo</w:t>
      </w:r>
      <w:r w:rsidRPr="00A959AD">
        <w:t>tverka den illeg</w:t>
      </w:r>
      <w:r w:rsidRPr="00A959AD">
        <w:t>a</w:t>
      </w:r>
      <w:r w:rsidRPr="00A959AD">
        <w:t>la alkohol</w:t>
      </w:r>
      <w:r w:rsidRPr="00A959AD">
        <w:softHyphen/>
        <w:t>införseln.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9AD">
        <w:trPr>
          <w:cantSplit/>
        </w:trPr>
        <w:tc>
          <w:tcPr>
            <w:tcW w:w="3046" w:type="dxa"/>
          </w:tcPr>
          <w:p w:rsidR="006D5A53" w:rsidRPr="00A959AD" w:rsidRDefault="006D5A53">
            <w:pPr>
              <w:pStyle w:val="UnderskriftDatum"/>
              <w:spacing w:before="240"/>
            </w:pPr>
            <w:r w:rsidRPr="00A959AD">
              <w:t>Stockholm den 4 oktober 2007</w:t>
            </w:r>
          </w:p>
        </w:tc>
        <w:tc>
          <w:tcPr>
            <w:tcW w:w="3047" w:type="dxa"/>
          </w:tcPr>
          <w:p w:rsidR="006D5A53" w:rsidRPr="00A959AD" w:rsidRDefault="006D5A53">
            <w:pPr>
              <w:pStyle w:val="Underskrifter"/>
              <w:spacing w:before="240"/>
            </w:pPr>
          </w:p>
        </w:tc>
      </w:tr>
      <w:tr w:rsidR="00000000" w:rsidRPr="00A959AD">
        <w:trPr>
          <w:cantSplit/>
        </w:trPr>
        <w:tc>
          <w:tcPr>
            <w:tcW w:w="3046" w:type="dxa"/>
          </w:tcPr>
          <w:p w:rsidR="006D5A53" w:rsidRPr="00A959AD" w:rsidRDefault="006D5A53">
            <w:pPr>
              <w:pStyle w:val="Underskrifter"/>
            </w:pPr>
            <w:r w:rsidRPr="00A959AD">
              <w:t>Helena Leander (mp)</w:t>
            </w:r>
          </w:p>
        </w:tc>
        <w:tc>
          <w:tcPr>
            <w:tcW w:w="3046" w:type="dxa"/>
          </w:tcPr>
          <w:p w:rsidR="006D5A53" w:rsidRPr="00A959AD" w:rsidRDefault="006D5A53">
            <w:pPr>
              <w:pStyle w:val="Underskrifter"/>
            </w:pPr>
          </w:p>
        </w:tc>
      </w:tr>
      <w:tr w:rsidR="00000000" w:rsidRPr="00A959AD">
        <w:trPr>
          <w:cantSplit/>
        </w:trPr>
        <w:tc>
          <w:tcPr>
            <w:tcW w:w="3046" w:type="dxa"/>
          </w:tcPr>
          <w:p w:rsidR="006D5A53" w:rsidRPr="00A959AD" w:rsidRDefault="006D5A53">
            <w:pPr>
              <w:pStyle w:val="Underskrifter"/>
            </w:pPr>
            <w:r w:rsidRPr="00A959AD">
              <w:t>Ulf Holm (mp)</w:t>
            </w:r>
          </w:p>
        </w:tc>
        <w:tc>
          <w:tcPr>
            <w:tcW w:w="3046" w:type="dxa"/>
          </w:tcPr>
          <w:p w:rsidR="006D5A53" w:rsidRPr="00A959AD" w:rsidRDefault="006D5A53">
            <w:pPr>
              <w:pStyle w:val="Underskrifter"/>
            </w:pPr>
            <w:r w:rsidRPr="00A959AD">
              <w:t>Mikaela Valtersson (mp)</w:t>
            </w:r>
          </w:p>
        </w:tc>
      </w:tr>
      <w:tr w:rsidR="00000000" w:rsidRPr="00A959AD">
        <w:trPr>
          <w:cantSplit/>
        </w:trPr>
        <w:tc>
          <w:tcPr>
            <w:tcW w:w="3046" w:type="dxa"/>
          </w:tcPr>
          <w:p w:rsidR="006D5A53" w:rsidRPr="00A959AD" w:rsidRDefault="006D5A53">
            <w:pPr>
              <w:pStyle w:val="Underskrifter"/>
            </w:pPr>
            <w:r w:rsidRPr="00A959AD">
              <w:t>Per Bolund (mp)</w:t>
            </w:r>
          </w:p>
        </w:tc>
        <w:tc>
          <w:tcPr>
            <w:tcW w:w="3046" w:type="dxa"/>
          </w:tcPr>
          <w:p w:rsidR="006D5A53" w:rsidRPr="00A959AD" w:rsidRDefault="006D5A53">
            <w:pPr>
              <w:pStyle w:val="Underskrifter"/>
            </w:pPr>
          </w:p>
        </w:tc>
      </w:tr>
    </w:tbl>
    <w:p w:rsidR="006D5A53" w:rsidRPr="00A959AD" w:rsidRDefault="006D5A53">
      <w:pPr>
        <w:pStyle w:val="Normaltindrag"/>
      </w:pPr>
    </w:p>
    <w:sectPr w:rsidR="006D5A53" w:rsidRPr="00A959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A53" w:rsidRPr="00A959AD" w:rsidRDefault="006D5A53">
      <w:r w:rsidRPr="00A959AD">
        <w:separator/>
      </w:r>
    </w:p>
  </w:endnote>
  <w:endnote w:type="continuationSeparator" w:id="0">
    <w:p w:rsidR="006D5A53" w:rsidRPr="00A959AD" w:rsidRDefault="006D5A53">
      <w:r w:rsidRPr="00A95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53" w:rsidRPr="00A959AD" w:rsidRDefault="00A959AD">
    <w:pPr>
      <w:pStyle w:val="Sidfot"/>
    </w:pPr>
    <w:r w:rsidRPr="00A959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594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53" w:rsidRDefault="006D5A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A53" w:rsidRDefault="006D5A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53" w:rsidRPr="00A959AD" w:rsidRDefault="00A959AD">
    <w:pPr>
      <w:pStyle w:val="Sidfot"/>
    </w:pPr>
    <w:r w:rsidRPr="00A959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975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53" w:rsidRDefault="006D5A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A53" w:rsidRDefault="006D5A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53" w:rsidRPr="00A959AD" w:rsidRDefault="00A959AD">
    <w:pPr>
      <w:pStyle w:val="Sidfot"/>
    </w:pPr>
    <w:r w:rsidRPr="00A959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099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53" w:rsidRDefault="006D5A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A53" w:rsidRDefault="006D5A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A53" w:rsidRPr="00A959AD" w:rsidRDefault="006D5A53">
      <w:r w:rsidRPr="00A959AD">
        <w:separator/>
      </w:r>
    </w:p>
  </w:footnote>
  <w:footnote w:type="continuationSeparator" w:id="0">
    <w:p w:rsidR="006D5A53" w:rsidRPr="00A959AD" w:rsidRDefault="006D5A53">
      <w:r w:rsidRPr="00A95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53" w:rsidRPr="00A959AD" w:rsidRDefault="00A959AD">
    <w:pPr>
      <w:pStyle w:val="Sidhuvud"/>
    </w:pPr>
    <w:r w:rsidRPr="00A959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870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53" w:rsidRDefault="006D5A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A53" w:rsidRDefault="006D5A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53" w:rsidRPr="00A959AD" w:rsidRDefault="00A959AD">
    <w:pPr>
      <w:pStyle w:val="Sidhuvud"/>
    </w:pPr>
    <w:r w:rsidRPr="00A959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013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A53" w:rsidRDefault="006D5A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A53" w:rsidRDefault="006D5A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53" w:rsidRPr="00A959AD" w:rsidRDefault="006D5A53">
    <w:pPr>
      <w:pStyle w:val="FSHNormal"/>
      <w:tabs>
        <w:tab w:val="right" w:pos="5840"/>
      </w:tabs>
    </w:pPr>
    <w:r w:rsidRPr="00A959AD">
      <w:br/>
    </w:r>
    <w:r w:rsidRPr="00A959AD">
      <w:fldChar w:fldCharType="begin" w:fldLock="1"/>
    </w:r>
    <w:r w:rsidRPr="00A959AD">
      <w:instrText xml:space="preserve"> DOCPROPERTY</w:instrText>
    </w:r>
    <w:r w:rsidRPr="00A959AD">
      <w:rPr>
        <w:sz w:val="18"/>
      </w:rPr>
      <w:instrText xml:space="preserve"> "YearUser" *\charformat </w:instrText>
    </w:r>
    <w:r w:rsidRPr="00A959AD">
      <w:fldChar w:fldCharType="separate"/>
    </w:r>
    <w:r w:rsidRPr="00A959AD">
      <w:t>2007/08</w:t>
    </w:r>
    <w:r w:rsidRPr="00A959AD">
      <w:fldChar w:fldCharType="end"/>
    </w:r>
    <w:r w:rsidRPr="00A959AD">
      <w:t xml:space="preserve"> </w:t>
    </w:r>
    <w:r w:rsidRPr="00A959AD">
      <w:tab/>
      <w:t xml:space="preserve">mnr: </w:t>
    </w:r>
    <w:r w:rsidRPr="00A959AD">
      <w:fldChar w:fldCharType="begin" w:fldLock="1"/>
    </w:r>
    <w:r w:rsidRPr="00A959AD">
      <w:instrText xml:space="preserve"> DOCPROPERTY</w:instrText>
    </w:r>
    <w:r w:rsidRPr="00A959AD">
      <w:rPr>
        <w:sz w:val="18"/>
      </w:rPr>
      <w:instrText xml:space="preserve"> "Motionsnummer" *\charformat </w:instrText>
    </w:r>
    <w:r w:rsidRPr="00A959AD">
      <w:fldChar w:fldCharType="separate"/>
    </w:r>
    <w:r w:rsidRPr="00A959AD">
      <w:t>Sk363</w:t>
    </w:r>
    <w:r w:rsidRPr="00A959AD">
      <w:fldChar w:fldCharType="end"/>
    </w:r>
    <w:r w:rsidRPr="00A959AD">
      <w:br/>
    </w:r>
    <w:r w:rsidRPr="00A959AD">
      <w:fldChar w:fldCharType="begin" w:fldLock="1"/>
    </w:r>
    <w:r w:rsidRPr="00A959AD">
      <w:instrText xml:space="preserve"> DOCPROPERTY</w:instrText>
    </w:r>
    <w:r w:rsidRPr="00A959AD">
      <w:rPr>
        <w:sz w:val="18"/>
      </w:rPr>
      <w:instrText xml:space="preserve"> "Samling" *\charformat </w:instrText>
    </w:r>
    <w:r w:rsidRPr="00A959AD">
      <w:fldChar w:fldCharType="end"/>
    </w:r>
    <w:r w:rsidRPr="00A959AD">
      <w:tab/>
      <w:t xml:space="preserve">pnr: </w:t>
    </w:r>
    <w:r w:rsidRPr="00A959AD">
      <w:fldChar w:fldCharType="begin" w:fldLock="1"/>
    </w:r>
    <w:r w:rsidRPr="00A959AD">
      <w:instrText xml:space="preserve"> DOCPROPERTY</w:instrText>
    </w:r>
    <w:r w:rsidRPr="00A959AD">
      <w:rPr>
        <w:sz w:val="18"/>
      </w:rPr>
      <w:instrText xml:space="preserve"> "Partinummer" *\charformat </w:instrText>
    </w:r>
    <w:r w:rsidRPr="00A959AD">
      <w:fldChar w:fldCharType="separate"/>
    </w:r>
    <w:r w:rsidRPr="00A959AD">
      <w:t>mp407</w:t>
    </w:r>
    <w:r w:rsidRPr="00A959AD">
      <w:fldChar w:fldCharType="end"/>
    </w:r>
  </w:p>
  <w:p w:rsidR="006D5A53" w:rsidRPr="00A959AD" w:rsidRDefault="006D5A53">
    <w:pPr>
      <w:pStyle w:val="FSHRub1"/>
    </w:pPr>
    <w:r w:rsidRPr="00A959AD">
      <w:t>Motion till riksdagen</w:t>
    </w:r>
    <w:r w:rsidRPr="00A959AD">
      <w:br/>
    </w:r>
    <w:r w:rsidRPr="00A959AD">
      <w:fldChar w:fldCharType="begin" w:fldLock="1"/>
    </w:r>
    <w:r w:rsidRPr="00A959AD">
      <w:instrText xml:space="preserve"> DOCPROPERTY "YearUser" *\charformat </w:instrText>
    </w:r>
    <w:r w:rsidRPr="00A959AD">
      <w:fldChar w:fldCharType="separate"/>
    </w:r>
    <w:r w:rsidRPr="00A959AD">
      <w:t>2007/08</w:t>
    </w:r>
    <w:r w:rsidRPr="00A959AD">
      <w:fldChar w:fldCharType="end"/>
    </w:r>
    <w:r w:rsidRPr="00A959AD">
      <w:t>:</w:t>
    </w:r>
    <w:r w:rsidRPr="00A959AD">
      <w:fldChar w:fldCharType="begin" w:fldLock="1"/>
    </w:r>
    <w:r w:rsidRPr="00A959AD">
      <w:instrText xml:space="preserve"> DOCPROPERTY "Motionsnummer" *\charformat </w:instrText>
    </w:r>
    <w:r w:rsidRPr="00A959AD">
      <w:fldChar w:fldCharType="separate"/>
    </w:r>
    <w:r w:rsidRPr="00A959AD">
      <w:t>Sk363</w:t>
    </w:r>
    <w:r w:rsidRPr="00A959AD">
      <w:fldChar w:fldCharType="end"/>
    </w:r>
  </w:p>
  <w:p w:rsidR="006D5A53" w:rsidRPr="00A959AD" w:rsidRDefault="006D5A53">
    <w:pPr>
      <w:pStyle w:val="FSHNormalS5"/>
    </w:pPr>
    <w:r w:rsidRPr="00A959AD">
      <w:fldChar w:fldCharType="begin" w:fldLock="1"/>
    </w:r>
    <w:r w:rsidRPr="00A959AD">
      <w:instrText xml:space="preserve"> DOCPROPERTY "MotionarText" *\charformat </w:instrText>
    </w:r>
    <w:r w:rsidRPr="00A959AD">
      <w:fldChar w:fldCharType="separate"/>
    </w:r>
    <w:r w:rsidRPr="00A959AD">
      <w:t>av Helena Leander m.fl. (mp)</w:t>
    </w:r>
    <w:r w:rsidRPr="00A959AD">
      <w:fldChar w:fldCharType="end"/>
    </w:r>
    <w:r w:rsidRPr="00A959AD">
      <w:br/>
    </w:r>
    <w:r w:rsidRPr="00A959AD">
      <w:fldChar w:fldCharType="begin" w:fldLock="1"/>
    </w:r>
    <w:r w:rsidRPr="00A959AD">
      <w:instrText xml:space="preserve"> DOCPROPERTY "SvarFrasKort" *\charformat </w:instrText>
    </w:r>
    <w:r w:rsidRPr="00A959AD">
      <w:fldChar w:fldCharType="end"/>
    </w:r>
  </w:p>
  <w:p w:rsidR="006D5A53" w:rsidRPr="00A959AD" w:rsidRDefault="006D5A53">
    <w:pPr>
      <w:pStyle w:val="FSHTitel"/>
    </w:pPr>
    <w:r w:rsidRPr="00A959AD">
      <w:fldChar w:fldCharType="begin" w:fldLock="1"/>
    </w:r>
    <w:r w:rsidRPr="00A959AD">
      <w:instrText xml:space="preserve"> DOCPROPERTY</w:instrText>
    </w:r>
    <w:r w:rsidRPr="00A959AD">
      <w:rPr>
        <w:sz w:val="18"/>
      </w:rPr>
      <w:instrText xml:space="preserve"> "RubrikSvar" *\charformat </w:instrText>
    </w:r>
    <w:r w:rsidRPr="00A959AD">
      <w:fldChar w:fldCharType="separate"/>
    </w:r>
    <w:r w:rsidRPr="00A959AD">
      <w:t>Utgiftsområde 3 Skatt, tull och exekution</w:t>
    </w:r>
    <w:r w:rsidRPr="00A959AD">
      <w:fldChar w:fldCharType="end"/>
    </w:r>
  </w:p>
  <w:p w:rsidR="006D5A53" w:rsidRPr="00A959AD" w:rsidRDefault="006D5A53">
    <w:pPr>
      <w:pStyle w:val="Normal00"/>
    </w:pPr>
  </w:p>
  <w:p w:rsidR="006D5A53" w:rsidRPr="00A959AD" w:rsidRDefault="006D5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3976BA"/>
    <w:multiLevelType w:val="hybridMultilevel"/>
    <w:tmpl w:val="FAF29D34"/>
    <w:lvl w:ilvl="0" w:tplc="4A8894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500149">
    <w:abstractNumId w:val="8"/>
  </w:num>
  <w:num w:numId="2" w16cid:durableId="2114083819">
    <w:abstractNumId w:val="9"/>
  </w:num>
  <w:num w:numId="3" w16cid:durableId="218902894">
    <w:abstractNumId w:val="8"/>
  </w:num>
  <w:num w:numId="4" w16cid:durableId="2116365261">
    <w:abstractNumId w:val="9"/>
  </w:num>
  <w:num w:numId="5" w16cid:durableId="2905665">
    <w:abstractNumId w:val="14"/>
  </w:num>
  <w:num w:numId="6" w16cid:durableId="1281572057">
    <w:abstractNumId w:val="10"/>
  </w:num>
  <w:num w:numId="7" w16cid:durableId="83065637">
    <w:abstractNumId w:val="12"/>
  </w:num>
  <w:num w:numId="8" w16cid:durableId="135730922">
    <w:abstractNumId w:val="13"/>
  </w:num>
  <w:num w:numId="9" w16cid:durableId="1051998950">
    <w:abstractNumId w:val="8"/>
  </w:num>
  <w:num w:numId="10" w16cid:durableId="1027484104">
    <w:abstractNumId w:val="3"/>
  </w:num>
  <w:num w:numId="11" w16cid:durableId="303236160">
    <w:abstractNumId w:val="2"/>
  </w:num>
  <w:num w:numId="12" w16cid:durableId="1022827574">
    <w:abstractNumId w:val="1"/>
  </w:num>
  <w:num w:numId="13" w16cid:durableId="2096048145">
    <w:abstractNumId w:val="0"/>
  </w:num>
  <w:num w:numId="14" w16cid:durableId="1312250313">
    <w:abstractNumId w:val="9"/>
  </w:num>
  <w:num w:numId="15" w16cid:durableId="1133445349">
    <w:abstractNumId w:val="7"/>
  </w:num>
  <w:num w:numId="16" w16cid:durableId="108622520">
    <w:abstractNumId w:val="6"/>
  </w:num>
  <w:num w:numId="17" w16cid:durableId="1499609940">
    <w:abstractNumId w:val="5"/>
  </w:num>
  <w:num w:numId="18" w16cid:durableId="1472600495">
    <w:abstractNumId w:val="4"/>
  </w:num>
  <w:num w:numId="19" w16cid:durableId="1926452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49A5C4-EF8B-4128-8058-67D1E519C3AA},{DA08321F-F0BC-4060-A586-E39C9BA97177},{7C31CD86-53C7-4E1C-A073-157C1FC7DBDC},{7CC9A58C-3141-48A3-86B8-8EA19B911E01}"/>
  </w:docVars>
  <w:rsids>
    <w:rsidRoot w:val="00F72938"/>
    <w:rsid w:val="006D5A53"/>
    <w:rsid w:val="00A959AD"/>
    <w:rsid w:val="00F729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B2F287-8BEF-40DC-BDB4-CFB55F5D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2279</Characters>
  <Application>Microsoft Office Word</Application>
  <DocSecurity>4</DocSecurity>
  <Lines>67</Lines>
  <Paragraphs>30</Paragraphs>
  <ScaleCrop>false</ScaleCrop>
  <HeadingPairs>
    <vt:vector size="2" baseType="variant">
      <vt:variant>
        <vt:lpstr>Rubrik</vt:lpstr>
      </vt:variant>
      <vt:variant>
        <vt:i4>1</vt:i4>
      </vt:variant>
    </vt:vector>
  </HeadingPairs>
  <TitlesOfParts>
    <vt:vector size="1" baseType="lpstr">
      <vt:lpstr>mp407</vt:lpstr>
    </vt:vector>
  </TitlesOfParts>
  <Company>Riksdagen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mp407</dc:title>
  <dc:subject>mp407</dc:subject>
  <dc:creator>Riksdagen</dc:creator>
  <cp:keywords>Riksdagen</cp:keywords>
  <dc:description>TKG-ktrl, MSMQ4mb, PersReg-Distribution mm</dc:description>
  <cp:lastModifiedBy>Lars Brink</cp:lastModifiedBy>
  <cp:revision>2</cp:revision>
  <cp:lastPrinted>2007-10-31T11:13:00Z</cp:lastPrinted>
  <dcterms:created xsi:type="dcterms:W3CDTF">2025-12-17T08:24:00Z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(mp)\Holm, Ulf (mp)\Valtersson, Mikaela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Ulf Holm (mp), Mikaela Valtersson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20072008000001090112000004070075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20072008000001090112000004070075</vt:lpwstr>
  </property>
  <property fmtid="{D5CDD505-2E9C-101B-9397-08002B2CF9AE}" pid="50" name="nummer">
    <vt:lpwstr>363</vt:lpwstr>
  </property>
  <property fmtid="{D5CDD505-2E9C-101B-9397-08002B2CF9AE}" pid="51" name="utskottsbeteckning">
    <vt:lpwstr>Sk</vt:lpwstr>
  </property>
  <property fmtid="{D5CDD505-2E9C-101B-9397-08002B2CF9AE}" pid="52" name="GlobalUID">
    <vt:lpwstr>{409DB47B-E937-4529-80A4-08EFDEE4688D}</vt:lpwstr>
  </property>
  <property fmtid="{D5CDD505-2E9C-101B-9397-08002B2CF9AE}" pid="53" name="Överföringar">
    <vt:i4>0</vt:i4>
  </property>
  <property fmtid="{D5CDD505-2E9C-101B-9397-08002B2CF9AE}" pid="54" name="Checksum">
    <vt:lpwstr>*1001635371939*</vt:lpwstr>
  </property>
  <property fmtid="{D5CDD505-2E9C-101B-9397-08002B2CF9AE}" pid="55" name="skuggnummer">
    <vt:lpwstr>2730</vt:lpwstr>
  </property>
  <property fmtid="{D5CDD505-2E9C-101B-9397-08002B2CF9AE}" pid="56" name="urixVersion">
    <vt:lpwstr>3.2.0.8</vt:lpwstr>
  </property>
  <property fmtid="{D5CDD505-2E9C-101B-9397-08002B2CF9AE}" pid="57" name="urixOrigin">
    <vt:lpwstr>080827 13:30:07.269</vt:lpwstr>
  </property>
  <property fmtid="{D5CDD505-2E9C-101B-9397-08002B2CF9AE}" pid="58" name="urixGuid">
    <vt:lpwstr>{4D897CD5-48A5-4044-95D2-9148E0A0BF99}</vt:lpwstr>
  </property>
</Properties>
</file>