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E4821" w:rsidRDefault="0040691C" w14:paraId="651B82C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595030E54524E5A8E6F2BCFFEDA68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b91da88-10d5-4c97-8f1a-a8245407dfaf"/>
        <w:id w:val="795953277"/>
        <w:lock w:val="sdtLocked"/>
      </w:sdtPr>
      <w:sdtEndPr/>
      <w:sdtContent>
        <w:p w:rsidR="000E1A6E" w:rsidRDefault="008858FC" w14:paraId="1AA71A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vidta åtgärder för att sanera miljöfarliga vrak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2F196BFAFA9437093667D428106018C"/>
        </w:placeholder>
        <w:text/>
      </w:sdtPr>
      <w:sdtEndPr/>
      <w:sdtContent>
        <w:p w:rsidRPr="009B062B" w:rsidR="006D79C9" w:rsidP="00333E95" w:rsidRDefault="006D79C9" w14:paraId="0D3230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11280" w:rsidP="00B11280" w:rsidRDefault="00B11280" w14:paraId="73BA7E2D" w14:textId="322A0510">
      <w:pPr>
        <w:pStyle w:val="Normalutanindragellerluft"/>
      </w:pPr>
      <w:r>
        <w:t>Sjöfartsverket har i två rapporter, publicerade 2014 respektive 2015, redovisat miljö</w:t>
      </w:r>
      <w:r w:rsidR="0040691C">
        <w:softHyphen/>
      </w:r>
      <w:r>
        <w:t>riskerna kring sjunkna vrak. Sjöfartsverket bedömde att det fanns 31 vrak på svenskt vatten, som utifrån tidigare inventering pekats ut som högst prioriterade och är risk</w:t>
      </w:r>
      <w:r w:rsidR="0040691C">
        <w:softHyphen/>
      </w:r>
      <w:r>
        <w:t>bedömda till år 2030. Skulle ett vrak börja läcka olja i stor skala blir emellertid kost</w:t>
      </w:r>
      <w:r w:rsidR="0040691C">
        <w:softHyphen/>
      </w:r>
      <w:r>
        <w:t>naden för sanering av kusten mycket hög. Därför är det viktigt att välja de mest akuta objekten för sanering.</w:t>
      </w:r>
    </w:p>
    <w:p w:rsidR="00B11280" w:rsidP="0040691C" w:rsidRDefault="00B11280" w14:paraId="548782C0" w14:textId="5718EFCA">
      <w:r>
        <w:t>Exempel: Väster om Måseskär i Skagerrak finns ett område där 28 fartyg sänktes efter andra världskrigets slut. Låga halter av kemiska stridsmedel har uppmätts i sedi</w:t>
      </w:r>
      <w:r w:rsidR="0040691C">
        <w:softHyphen/>
      </w:r>
      <w:r>
        <w:t>ment och fisk under årens lopp, vilket tyder på att det finns kemiska stridsmedel i far</w:t>
      </w:r>
      <w:r w:rsidR="0040691C">
        <w:softHyphen/>
      </w:r>
      <w:r>
        <w:t>tygens laster. 1992 återfanns låga koncentrationer av senapsgas i sedimenten i området och 2016–2017 uppmättes låga koncentrationer av stridsgasen Clark</w:t>
      </w:r>
      <w:r w:rsidR="008858FC">
        <w:t> </w:t>
      </w:r>
      <w:r w:rsidR="00BD2D24">
        <w:t>1</w:t>
      </w:r>
      <w:r>
        <w:t xml:space="preserve"> i havskräfta, platt</w:t>
      </w:r>
      <w:r w:rsidR="0040691C">
        <w:softHyphen/>
      </w:r>
      <w:r>
        <w:t>fisk och nordhavsräka.</w:t>
      </w:r>
    </w:p>
    <w:p w:rsidRPr="00422B9E" w:rsidR="00422B9E" w:rsidP="0040691C" w:rsidRDefault="00B11280" w14:paraId="59872C45" w14:textId="6EAF7D1B">
      <w:r>
        <w:t xml:space="preserve">Regeringen bör prioritera arbetet med att förbättra havsmiljön längs våra kuster och vidta åtgärder för att sanera miljöfarliga vrak. Detta bör ges regeringen tillkänna.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A8F4390B48494FAB1FF678AE3A211B"/>
        </w:placeholder>
      </w:sdtPr>
      <w:sdtEndPr>
        <w:rPr>
          <w:i w:val="0"/>
          <w:noProof w:val="0"/>
        </w:rPr>
      </w:sdtEndPr>
      <w:sdtContent>
        <w:p w:rsidR="00FE4821" w:rsidP="00FE4821" w:rsidRDefault="00FE4821" w14:paraId="23E63E64" w14:textId="77777777"/>
        <w:p w:rsidRPr="008E0FE2" w:rsidR="004801AC" w:rsidP="00FE4821" w:rsidRDefault="0040691C" w14:paraId="6E7E38B6" w14:textId="1BA4199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1A6E" w14:paraId="147796CA" w14:textId="77777777">
        <w:trPr>
          <w:cantSplit/>
        </w:trPr>
        <w:tc>
          <w:tcPr>
            <w:tcW w:w="50" w:type="pct"/>
            <w:vAlign w:val="bottom"/>
          </w:tcPr>
          <w:p w:rsidR="000E1A6E" w:rsidRDefault="008858FC" w14:paraId="1E85E1E2" w14:textId="77777777"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0E1A6E" w:rsidRDefault="000E1A6E" w14:paraId="11376057" w14:textId="77777777">
            <w:pPr>
              <w:pStyle w:val="Underskrifter"/>
              <w:spacing w:after="0"/>
            </w:pPr>
          </w:p>
        </w:tc>
      </w:tr>
    </w:tbl>
    <w:p w:rsidR="00A44C7F" w:rsidRDefault="00A44C7F" w14:paraId="3BFF8A01" w14:textId="77777777"/>
    <w:sectPr w:rsidR="00A44C7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679E" w14:textId="77777777" w:rsidR="00B11280" w:rsidRDefault="00B11280" w:rsidP="000C1CAD">
      <w:pPr>
        <w:spacing w:line="240" w:lineRule="auto"/>
      </w:pPr>
      <w:r>
        <w:separator/>
      </w:r>
    </w:p>
  </w:endnote>
  <w:endnote w:type="continuationSeparator" w:id="0">
    <w:p w14:paraId="57146789" w14:textId="77777777" w:rsidR="00B11280" w:rsidRDefault="00B112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A9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92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761C" w14:textId="1E810BF6" w:rsidR="00262EA3" w:rsidRPr="00FE4821" w:rsidRDefault="00262EA3" w:rsidP="00FE48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34C0" w14:textId="77777777" w:rsidR="00B11280" w:rsidRDefault="00B11280" w:rsidP="000C1CAD">
      <w:pPr>
        <w:spacing w:line="240" w:lineRule="auto"/>
      </w:pPr>
      <w:r>
        <w:separator/>
      </w:r>
    </w:p>
  </w:footnote>
  <w:footnote w:type="continuationSeparator" w:id="0">
    <w:p w14:paraId="744D9CAA" w14:textId="77777777" w:rsidR="00B11280" w:rsidRDefault="00B112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70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ADAEF1" wp14:editId="7A1D19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307F4" w14:textId="5E9A5C27" w:rsidR="00262EA3" w:rsidRDefault="004069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1128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DAE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C307F4" w14:textId="5E9A5C27" w:rsidR="00262EA3" w:rsidRDefault="004069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1128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AF573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D0CA" w14:textId="77777777" w:rsidR="00262EA3" w:rsidRDefault="00262EA3" w:rsidP="008563AC">
    <w:pPr>
      <w:jc w:val="right"/>
    </w:pPr>
  </w:p>
  <w:p w14:paraId="3BDD80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B4DB" w14:textId="77777777" w:rsidR="00262EA3" w:rsidRDefault="004069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60C9A9" wp14:editId="212529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88E37D" w14:textId="19C0CBA0" w:rsidR="00262EA3" w:rsidRDefault="004069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48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128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38C1984" w14:textId="77777777" w:rsidR="00262EA3" w:rsidRPr="008227B3" w:rsidRDefault="004069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BB8E09" w14:textId="6E229F16" w:rsidR="00262EA3" w:rsidRPr="008227B3" w:rsidRDefault="004069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82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821">
          <w:t>:1030</w:t>
        </w:r>
      </w:sdtContent>
    </w:sdt>
  </w:p>
  <w:p w14:paraId="3644A1C6" w14:textId="69BBEBF2" w:rsidR="00262EA3" w:rsidRDefault="004069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4821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FEECBF" w14:textId="272C704C" w:rsidR="00262EA3" w:rsidRDefault="00B11280" w:rsidP="00283E0F">
        <w:pPr>
          <w:pStyle w:val="FSHRub2"/>
        </w:pPr>
        <w:r>
          <w:t>Sanering av miljöfarliga vrak på havets botten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CD02B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112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A6E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91C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8FC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C7F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80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D2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1D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821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BA4109"/>
  <w15:chartTrackingRefBased/>
  <w15:docId w15:val="{3EE12EE5-0DE5-4C49-AF29-266AD016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5030E54524E5A8E6F2BCFFEDA6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9D6D6-7714-4254-BE04-8A3A358AFA21}"/>
      </w:docPartPr>
      <w:docPartBody>
        <w:p w:rsidR="0018534E" w:rsidRDefault="0018534E">
          <w:pPr>
            <w:pStyle w:val="F595030E54524E5A8E6F2BCFFEDA68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F196BFAFA9437093667D4281060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969EA-F3E8-4341-9007-275D04810806}"/>
      </w:docPartPr>
      <w:docPartBody>
        <w:p w:rsidR="0018534E" w:rsidRDefault="0018534E">
          <w:pPr>
            <w:pStyle w:val="32F196BFAFA9437093667D42810601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A8F4390B48494FAB1FF678AE3A2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923DC-87EF-4C63-ACED-7A9BDACA0CB4}"/>
      </w:docPartPr>
      <w:docPartBody>
        <w:p w:rsidR="00734007" w:rsidRDefault="007340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4E"/>
    <w:rsid w:val="0018534E"/>
    <w:rsid w:val="007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95030E54524E5A8E6F2BCFFEDA6871">
    <w:name w:val="F595030E54524E5A8E6F2BCFFEDA6871"/>
  </w:style>
  <w:style w:type="paragraph" w:customStyle="1" w:styleId="32F196BFAFA9437093667D428106018C">
    <w:name w:val="32F196BFAFA9437093667D4281060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E7721-1671-412D-841E-75F319523E8E}"/>
</file>

<file path=customXml/itemProps2.xml><?xml version="1.0" encoding="utf-8"?>
<ds:datastoreItem xmlns:ds="http://schemas.openxmlformats.org/officeDocument/2006/customXml" ds:itemID="{13D67ADB-811F-45C9-B7DE-002B3829EAA1}"/>
</file>

<file path=customXml/itemProps3.xml><?xml version="1.0" encoding="utf-8"?>
<ds:datastoreItem xmlns:ds="http://schemas.openxmlformats.org/officeDocument/2006/customXml" ds:itemID="{A83525FE-CFFA-45D8-849A-59F8A1A90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1114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