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65D57" w:rsidTr="00A71D6D">
        <w:tc>
          <w:tcPr>
            <w:tcW w:w="2268" w:type="dxa"/>
          </w:tcPr>
          <w:p w:rsidR="00765D57" w:rsidRDefault="00765D57" w:rsidP="007242A3">
            <w:pPr>
              <w:framePr w:w="5035" w:h="1644" w:wrap="notBeside" w:vAnchor="page" w:hAnchor="page" w:x="6573" w:y="721"/>
              <w:rPr>
                <w:rFonts w:ascii="TradeGothic" w:hAnsi="TradeGothic"/>
                <w:i/>
                <w:sz w:val="18"/>
              </w:rPr>
            </w:pPr>
          </w:p>
        </w:tc>
        <w:tc>
          <w:tcPr>
            <w:tcW w:w="2999" w:type="dxa"/>
            <w:gridSpan w:val="2"/>
          </w:tcPr>
          <w:p w:rsidR="00765D57" w:rsidRPr="002A4EC0" w:rsidRDefault="00765D57" w:rsidP="002A4EC0">
            <w:pPr>
              <w:framePr w:w="5035" w:h="1644" w:wrap="notBeside" w:vAnchor="page" w:hAnchor="page" w:x="6573" w:y="721"/>
              <w:jc w:val="right"/>
              <w:rPr>
                <w:rFonts w:ascii="TradeGothic" w:hAnsi="TradeGothic"/>
                <w:sz w:val="18"/>
              </w:rPr>
            </w:pPr>
          </w:p>
        </w:tc>
      </w:tr>
      <w:tr w:rsidR="00765D57" w:rsidTr="00A71D6D">
        <w:tc>
          <w:tcPr>
            <w:tcW w:w="5267" w:type="dxa"/>
            <w:gridSpan w:val="3"/>
          </w:tcPr>
          <w:p w:rsidR="00765D57" w:rsidRDefault="00765D5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765D57" w:rsidTr="00A71D6D">
        <w:tc>
          <w:tcPr>
            <w:tcW w:w="3402" w:type="dxa"/>
            <w:gridSpan w:val="2"/>
          </w:tcPr>
          <w:p w:rsidR="00765D57" w:rsidRDefault="00765D57" w:rsidP="007242A3">
            <w:pPr>
              <w:framePr w:w="5035" w:h="1644" w:wrap="notBeside" w:vAnchor="page" w:hAnchor="page" w:x="6573" w:y="721"/>
            </w:pPr>
          </w:p>
        </w:tc>
        <w:tc>
          <w:tcPr>
            <w:tcW w:w="1865" w:type="dxa"/>
          </w:tcPr>
          <w:p w:rsidR="00765D57" w:rsidRDefault="00765D57" w:rsidP="007242A3">
            <w:pPr>
              <w:framePr w:w="5035" w:h="1644" w:wrap="notBeside" w:vAnchor="page" w:hAnchor="page" w:x="6573" w:y="721"/>
            </w:pPr>
          </w:p>
        </w:tc>
      </w:tr>
      <w:tr w:rsidR="00765D57" w:rsidTr="00A71D6D">
        <w:tc>
          <w:tcPr>
            <w:tcW w:w="2268" w:type="dxa"/>
          </w:tcPr>
          <w:p w:rsidR="00765D57" w:rsidRDefault="00765D57" w:rsidP="007242A3">
            <w:pPr>
              <w:framePr w:w="5035" w:h="1644" w:wrap="notBeside" w:vAnchor="page" w:hAnchor="page" w:x="6573" w:y="721"/>
            </w:pPr>
            <w:r>
              <w:t>2013-11-20</w:t>
            </w:r>
          </w:p>
        </w:tc>
        <w:tc>
          <w:tcPr>
            <w:tcW w:w="2999" w:type="dxa"/>
            <w:gridSpan w:val="2"/>
          </w:tcPr>
          <w:p w:rsidR="00765D57" w:rsidRPr="00ED583F" w:rsidRDefault="00765D57" w:rsidP="007242A3">
            <w:pPr>
              <w:framePr w:w="5035" w:h="1644" w:wrap="notBeside" w:vAnchor="page" w:hAnchor="page" w:x="6573" w:y="721"/>
              <w:rPr>
                <w:sz w:val="20"/>
              </w:rPr>
            </w:pPr>
          </w:p>
        </w:tc>
      </w:tr>
      <w:tr w:rsidR="00765D57" w:rsidTr="00A71D6D">
        <w:tc>
          <w:tcPr>
            <w:tcW w:w="2268" w:type="dxa"/>
          </w:tcPr>
          <w:p w:rsidR="00765D57" w:rsidRDefault="00765D57" w:rsidP="007242A3">
            <w:pPr>
              <w:framePr w:w="5035" w:h="1644" w:wrap="notBeside" w:vAnchor="page" w:hAnchor="page" w:x="6573" w:y="721"/>
            </w:pPr>
          </w:p>
        </w:tc>
        <w:tc>
          <w:tcPr>
            <w:tcW w:w="2999" w:type="dxa"/>
            <w:gridSpan w:val="2"/>
          </w:tcPr>
          <w:p w:rsidR="00765D57" w:rsidRDefault="00765D57" w:rsidP="007242A3">
            <w:pPr>
              <w:framePr w:w="5035" w:h="1644" w:wrap="notBeside" w:vAnchor="page" w:hAnchor="page" w:x="6573" w:y="721"/>
            </w:pPr>
          </w:p>
        </w:tc>
      </w:tr>
    </w:tbl>
    <w:tbl>
      <w:tblPr>
        <w:tblW w:w="0" w:type="auto"/>
        <w:tblLayout w:type="fixed"/>
        <w:tblLook w:val="0000"/>
      </w:tblPr>
      <w:tblGrid>
        <w:gridCol w:w="4911"/>
      </w:tblGrid>
      <w:tr w:rsidR="00765D57">
        <w:trPr>
          <w:trHeight w:val="284"/>
        </w:trPr>
        <w:tc>
          <w:tcPr>
            <w:tcW w:w="4911" w:type="dxa"/>
          </w:tcPr>
          <w:p w:rsidR="00765D57" w:rsidRDefault="00765D57">
            <w:pPr>
              <w:pStyle w:val="Avsndare"/>
              <w:framePr w:h="2483" w:wrap="notBeside" w:x="1504"/>
              <w:rPr>
                <w:b/>
                <w:i w:val="0"/>
                <w:sz w:val="22"/>
              </w:rPr>
            </w:pPr>
            <w:r>
              <w:rPr>
                <w:b/>
                <w:i w:val="0"/>
                <w:sz w:val="22"/>
              </w:rPr>
              <w:t>Näringsdepartementet</w:t>
            </w:r>
          </w:p>
        </w:tc>
      </w:tr>
      <w:tr w:rsidR="00765D57">
        <w:trPr>
          <w:trHeight w:val="284"/>
        </w:trPr>
        <w:tc>
          <w:tcPr>
            <w:tcW w:w="4911" w:type="dxa"/>
          </w:tcPr>
          <w:p w:rsidR="00765D57" w:rsidRDefault="00765D57">
            <w:pPr>
              <w:pStyle w:val="Avsndare"/>
              <w:framePr w:h="2483" w:wrap="notBeside" w:x="1504"/>
              <w:rPr>
                <w:bCs/>
                <w:iCs/>
              </w:rPr>
            </w:pPr>
          </w:p>
        </w:tc>
      </w:tr>
      <w:tr w:rsidR="00765D57">
        <w:trPr>
          <w:trHeight w:val="284"/>
        </w:trPr>
        <w:tc>
          <w:tcPr>
            <w:tcW w:w="4911" w:type="dxa"/>
          </w:tcPr>
          <w:p w:rsidR="00765D57" w:rsidRDefault="00765D57">
            <w:pPr>
              <w:pStyle w:val="Avsndare"/>
              <w:framePr w:h="2483" w:wrap="notBeside" w:x="1504"/>
              <w:rPr>
                <w:bCs/>
                <w:iCs/>
              </w:rPr>
            </w:pPr>
            <w:r>
              <w:rPr>
                <w:bCs/>
                <w:iCs/>
              </w:rPr>
              <w:t>IT-politik</w:t>
            </w:r>
          </w:p>
        </w:tc>
      </w:tr>
      <w:tr w:rsidR="00765D57">
        <w:trPr>
          <w:trHeight w:val="284"/>
        </w:trPr>
        <w:tc>
          <w:tcPr>
            <w:tcW w:w="4911" w:type="dxa"/>
          </w:tcPr>
          <w:p w:rsidR="00765D57" w:rsidRDefault="00765D57">
            <w:pPr>
              <w:pStyle w:val="Avsndare"/>
              <w:framePr w:h="2483" w:wrap="notBeside" w:x="1504"/>
              <w:rPr>
                <w:bCs/>
                <w:iCs/>
              </w:rPr>
            </w:pPr>
          </w:p>
        </w:tc>
      </w:tr>
      <w:tr w:rsidR="00765D57">
        <w:trPr>
          <w:trHeight w:val="284"/>
        </w:trPr>
        <w:tc>
          <w:tcPr>
            <w:tcW w:w="4911" w:type="dxa"/>
          </w:tcPr>
          <w:p w:rsidR="00765D57" w:rsidRDefault="00765D57">
            <w:pPr>
              <w:pStyle w:val="Avsndare"/>
              <w:framePr w:h="2483" w:wrap="notBeside" w:x="1504"/>
              <w:rPr>
                <w:bCs/>
                <w:iCs/>
              </w:rPr>
            </w:pPr>
          </w:p>
        </w:tc>
      </w:tr>
      <w:tr w:rsidR="00765D57">
        <w:trPr>
          <w:trHeight w:val="284"/>
        </w:trPr>
        <w:tc>
          <w:tcPr>
            <w:tcW w:w="4911" w:type="dxa"/>
          </w:tcPr>
          <w:p w:rsidR="00765D57" w:rsidRDefault="00765D57">
            <w:pPr>
              <w:pStyle w:val="Avsndare"/>
              <w:framePr w:h="2483" w:wrap="notBeside" w:x="1504"/>
              <w:rPr>
                <w:bCs/>
                <w:iCs/>
              </w:rPr>
            </w:pPr>
          </w:p>
        </w:tc>
      </w:tr>
      <w:tr w:rsidR="00765D57">
        <w:trPr>
          <w:trHeight w:val="284"/>
        </w:trPr>
        <w:tc>
          <w:tcPr>
            <w:tcW w:w="4911" w:type="dxa"/>
          </w:tcPr>
          <w:p w:rsidR="00765D57" w:rsidRDefault="00765D57">
            <w:pPr>
              <w:pStyle w:val="Avsndare"/>
              <w:framePr w:h="2483" w:wrap="notBeside" w:x="1504"/>
              <w:rPr>
                <w:bCs/>
                <w:iCs/>
              </w:rPr>
            </w:pPr>
          </w:p>
        </w:tc>
      </w:tr>
      <w:tr w:rsidR="00765D57">
        <w:trPr>
          <w:trHeight w:val="284"/>
        </w:trPr>
        <w:tc>
          <w:tcPr>
            <w:tcW w:w="4911" w:type="dxa"/>
          </w:tcPr>
          <w:p w:rsidR="00765D57" w:rsidRDefault="00765D57">
            <w:pPr>
              <w:pStyle w:val="Avsndare"/>
              <w:framePr w:h="2483" w:wrap="notBeside" w:x="1504"/>
              <w:rPr>
                <w:bCs/>
                <w:iCs/>
              </w:rPr>
            </w:pPr>
          </w:p>
        </w:tc>
      </w:tr>
      <w:tr w:rsidR="00765D57">
        <w:trPr>
          <w:trHeight w:val="284"/>
        </w:trPr>
        <w:tc>
          <w:tcPr>
            <w:tcW w:w="4911" w:type="dxa"/>
          </w:tcPr>
          <w:p w:rsidR="00765D57" w:rsidRDefault="00765D57">
            <w:pPr>
              <w:pStyle w:val="Avsndare"/>
              <w:framePr w:h="2483" w:wrap="notBeside" w:x="1504"/>
              <w:rPr>
                <w:bCs/>
                <w:iCs/>
              </w:rPr>
            </w:pPr>
          </w:p>
        </w:tc>
      </w:tr>
    </w:tbl>
    <w:p w:rsidR="00765D57" w:rsidRPr="00A71D6D" w:rsidRDefault="00765D57">
      <w:pPr>
        <w:framePr w:w="4400" w:h="2523" w:wrap="notBeside" w:vAnchor="page" w:hAnchor="page" w:x="6453" w:y="2445"/>
        <w:ind w:left="142"/>
        <w:rPr>
          <w:b/>
        </w:rPr>
      </w:pPr>
    </w:p>
    <w:p w:rsidR="00765D57" w:rsidRDefault="00765D57">
      <w:pPr>
        <w:pStyle w:val="RKrubrik"/>
        <w:pBdr>
          <w:bottom w:val="single" w:sz="6" w:space="1" w:color="auto"/>
        </w:pBdr>
      </w:pPr>
      <w:bookmarkStart w:id="0" w:name="bRubrik"/>
      <w:bookmarkEnd w:id="0"/>
      <w:r w:rsidRPr="00A71D6D">
        <w:t>Rådets möte KKR - Konkurrenskraft den 2 december 2013</w:t>
      </w:r>
    </w:p>
    <w:p w:rsidR="00765D57" w:rsidRDefault="00765D57">
      <w:pPr>
        <w:pStyle w:val="RKnormal"/>
      </w:pPr>
    </w:p>
    <w:p w:rsidR="00765D57" w:rsidRDefault="00765D57" w:rsidP="00A71D6D">
      <w:pPr>
        <w:pStyle w:val="RKnormal"/>
      </w:pPr>
      <w:r>
        <w:t>Dagordningspunkt 4</w:t>
      </w:r>
    </w:p>
    <w:p w:rsidR="00765D57" w:rsidRDefault="00765D57" w:rsidP="00A71D6D">
      <w:pPr>
        <w:pStyle w:val="RKnormal"/>
      </w:pPr>
    </w:p>
    <w:p w:rsidR="00765D57" w:rsidRDefault="00765D57" w:rsidP="00A71D6D">
      <w:pPr>
        <w:pStyle w:val="RKnormal"/>
      </w:pPr>
      <w:r>
        <w:t xml:space="preserve">Rubrik: Förslag till Europaparlamentets och rådets direktiv om elektronisk fakturering vid offentlig upphandling. (Första behandlingen)  - Allmän inriktning. </w:t>
      </w:r>
    </w:p>
    <w:p w:rsidR="00765D57" w:rsidRDefault="00765D57" w:rsidP="00A71D6D">
      <w:pPr>
        <w:pStyle w:val="RKnormal"/>
      </w:pPr>
    </w:p>
    <w:p w:rsidR="00765D57" w:rsidRDefault="00765D57" w:rsidP="00A71D6D">
      <w:pPr>
        <w:pStyle w:val="RKnormal"/>
      </w:pPr>
      <w:r>
        <w:t>Dokument: Lagstiftningsförslag KOM (2013) 449 slutlig</w:t>
      </w:r>
    </w:p>
    <w:p w:rsidR="00765D57" w:rsidRDefault="00765D57" w:rsidP="00A71D6D">
      <w:pPr>
        <w:pStyle w:val="RKnormal"/>
      </w:pPr>
    </w:p>
    <w:p w:rsidR="00765D57" w:rsidRDefault="00765D57" w:rsidP="00A71D6D">
      <w:pPr>
        <w:pStyle w:val="RKnormal"/>
      </w:pPr>
      <w:r>
        <w:t>Tidigare dokument: Fakta-PM N-dep 2012/2013:FPM142</w:t>
      </w:r>
    </w:p>
    <w:p w:rsidR="00765D57" w:rsidRDefault="00765D57" w:rsidP="00A71D6D">
      <w:pPr>
        <w:pStyle w:val="RKnormal"/>
      </w:pPr>
    </w:p>
    <w:p w:rsidR="00765D57" w:rsidRDefault="00765D57" w:rsidP="00A71D6D">
      <w:pPr>
        <w:pStyle w:val="RKnormal"/>
      </w:pPr>
      <w:r>
        <w:t>Tidigare behandlad vid samråd med EU-nämnden: -</w:t>
      </w:r>
    </w:p>
    <w:p w:rsidR="00765D57" w:rsidRDefault="00765D57">
      <w:pPr>
        <w:pStyle w:val="RKrubrik"/>
      </w:pPr>
      <w:r>
        <w:t>Bakgrund</w:t>
      </w:r>
    </w:p>
    <w:p w:rsidR="00765D57" w:rsidRDefault="00765D57">
      <w:pPr>
        <w:pStyle w:val="RKnormal"/>
      </w:pPr>
      <w:r w:rsidRPr="00114544">
        <w:t>Förslaget om ett direktiv för e-faktura presenterades av KOM den 26 juni 2013 och har identifierats som en av nyckelåtgärderna i Single Market Act II. Europeiska rådet uttryckte i sina slutsatser den 28 och 29 juni 2012 att särskild prioritet bör ges åtgärder som syftar till ytterligare utveckling av gränsöverskridande e-handel, bland annat genom underlättande av övergången till e-fakturering. I slutsatserna från Europeiska rådet den 24 och 25 oktober 2013 understryks att moderniseringen av offentlig sektor ska fortsätta genom ett snabbt införande av elektronisk fakturering. IMCO kommer att rösta den 17 december.</w:t>
      </w:r>
    </w:p>
    <w:p w:rsidR="00765D57" w:rsidRDefault="00765D57">
      <w:pPr>
        <w:pStyle w:val="RKrubrik"/>
      </w:pPr>
      <w:r>
        <w:t>Rättslig grund och beslutsförfarande</w:t>
      </w:r>
    </w:p>
    <w:p w:rsidR="00765D57" w:rsidRDefault="00765D57">
      <w:pPr>
        <w:pStyle w:val="RKnormal"/>
      </w:pPr>
      <w:r>
        <w:t>Förslaget baseras på artikel 114 i fördraget om Europeiska unionens funktionssätt (nedan kallat EUF-fördraget). Detta förslag undanröjer hinder för marknadstillträde vid gränsöverskridande offentlig upphandling och handelshinder, genom att skapa förutsättningar för införandet av en gemensam europeisk standard och ålägga medlemsstaterna att säkerställa att upphandlande myndigheter och enheter inte vägrar ta emot elektroniska fakturor som överensstämmer med denna standard. Beslut fattas i enlighet med det ordinarie lagstiftningsförfarandet efter hörande av Ekonomiska och sociala kommittén.</w:t>
      </w:r>
    </w:p>
    <w:p w:rsidR="00765D57" w:rsidRDefault="00765D57">
      <w:pPr>
        <w:pStyle w:val="RKrubrik"/>
        <w:rPr>
          <w:i/>
          <w:iCs/>
        </w:rPr>
      </w:pPr>
      <w:r>
        <w:rPr>
          <w:i/>
          <w:iCs/>
        </w:rPr>
        <w:t>Svensk ståndpunkt</w:t>
      </w:r>
    </w:p>
    <w:p w:rsidR="00765D57" w:rsidRDefault="00765D57" w:rsidP="00A71D6D">
      <w:pPr>
        <w:pStyle w:val="RKnormal"/>
      </w:pPr>
      <w:r>
        <w:t>Regeringen är</w:t>
      </w:r>
      <w:r w:rsidRPr="007028F3">
        <w:t xml:space="preserve"> positiv till åtgärder som främjar gränsöverskridande upphandling. </w:t>
      </w:r>
      <w:r>
        <w:t>Regeringens mål i strategin ”Med medborgaren i centrum – regeringens strategi för en digitalt samverkande förvaltning” är att åstadkomma högre kvalitet och effektivitet i verksamheten. Digitaliseringen skapar möjligheter till effektivisering inom statsförvaltningen och gemensamma standarder och regler inom EU medverkar till att uppnå detta mål. Standarder är en viktig grund för att skapa återanvändbara lösningar och hållbar samverkansförmåga. Digitala tjänster bör i så stor utsträckning som möjligt bygga på öppna standarder och använda programvara som frigör statsförvaltningen från beroendet av enskilda tekniker och lösningar.</w:t>
      </w:r>
    </w:p>
    <w:p w:rsidR="00765D57" w:rsidRDefault="00765D57" w:rsidP="00A71D6D">
      <w:pPr>
        <w:pStyle w:val="RKnormal"/>
      </w:pPr>
    </w:p>
    <w:p w:rsidR="00765D57" w:rsidRDefault="00765D57" w:rsidP="00A71D6D">
      <w:pPr>
        <w:pStyle w:val="RKnormal"/>
      </w:pPr>
      <w:r>
        <w:t>SE är nöjda med förhandlingsresultatet i rådsarbetsgruppen och</w:t>
      </w:r>
      <w:r w:rsidRPr="004871AF">
        <w:t xml:space="preserve"> kan därför godkänna den allmänna inriktningen</w:t>
      </w:r>
      <w:r>
        <w:t xml:space="preserve">. SE har i rådsarbetsgruppen drivit linjen att den europeiska standarden ska bli kostnadsfri och öppen. En öppen standard </w:t>
      </w:r>
      <w:r w:rsidRPr="00AF4205">
        <w:t>är en förutsättning för att skapa en marknad med fri konkurrens och att säkerställa kompatibilitet med olika leverantörers system.</w:t>
      </w:r>
    </w:p>
    <w:p w:rsidR="00765D57" w:rsidRDefault="00765D57">
      <w:pPr>
        <w:pStyle w:val="RKrubrik"/>
      </w:pPr>
      <w:r>
        <w:t>Europaparlamentets inställning</w:t>
      </w:r>
    </w:p>
    <w:p w:rsidR="00765D57" w:rsidRDefault="00765D57" w:rsidP="00A71D6D">
      <w:pPr>
        <w:pStyle w:val="RKnormal"/>
      </w:pPr>
      <w:r>
        <w:t>Inte känd i nuläget.</w:t>
      </w:r>
    </w:p>
    <w:p w:rsidR="00765D57" w:rsidRDefault="00765D57">
      <w:pPr>
        <w:pStyle w:val="RKrubrik"/>
        <w:rPr>
          <w:i/>
          <w:iCs/>
        </w:rPr>
      </w:pPr>
      <w:r>
        <w:rPr>
          <w:i/>
          <w:iCs/>
        </w:rPr>
        <w:t>Förslaget</w:t>
      </w:r>
    </w:p>
    <w:p w:rsidR="00765D57" w:rsidRDefault="00765D57" w:rsidP="00A71D6D">
      <w:pPr>
        <w:pStyle w:val="RKnormal"/>
      </w:pPr>
      <w:r>
        <w:t>Förslaget förutser att en ny europeisk standard för e-fakturering ska utarbetas av den Europeiska standardiseringskommittén (CEN). Detta kommer att göras på grundval av ett mandat från kommissionen som förbereds i ett senare skede. Detta mandat kommer att innefatta en lista över minimikrav som standarden ska innehålla. Arbetet utförs sedan i linje med vad som anges i förordning (EU) nr 1025/2012 av den 25 oktober 2012 om europeisk standardisering och ändring av rådets direktiv 89/686/EEG och 93/15/EEG och Europarlamentets och rådets direktiv 94/9/EG, 94/25/EG, 95/16/EG, 97/23/EG, 98/34/EG, 2004/22/EG, 2007/23/EG, 2009/105/EG och 2009/23/EG.</w:t>
      </w:r>
    </w:p>
    <w:p w:rsidR="00765D57" w:rsidRDefault="00765D57" w:rsidP="00A71D6D">
      <w:pPr>
        <w:pStyle w:val="RKnormal"/>
      </w:pPr>
    </w:p>
    <w:p w:rsidR="00765D57" w:rsidRDefault="00765D57" w:rsidP="00A71D6D">
      <w:pPr>
        <w:pStyle w:val="RKnormal"/>
      </w:pPr>
      <w:r>
        <w:t>Den nya europeiska standarden som ska tas fram ska omfatta den semantiska datamodellen för kärnan (ofta kallat basinnehållet) i den elektroniska fakturan. Standarden ska vara tekniskt neutral och säkerställa skyddet av personuppgifter i enlighet med direktiv 95/46/EG av den 24 oktober 1995 om skydd för enskilda personer med avseende på behandling av personuppgifter och om det fria flödet av sådana uppgifter. Om den nya europeiska standarden uppfyller kraven i föreliggande direktiv, ska kommissionen offentliggöra hänvisningen till denna europeiska standard i Europeiska unionens officiella tidning.</w:t>
      </w:r>
    </w:p>
    <w:p w:rsidR="00765D57" w:rsidRDefault="00765D57" w:rsidP="00A71D6D">
      <w:pPr>
        <w:pStyle w:val="RKnormal"/>
      </w:pPr>
      <w:r>
        <w:t>Medlemsstaterna ska säkerställa att upphandlande myndigheter och upphandlande enheter inte vägrar att ta emot elektroniska fakturor som överensstämmer med den nya europeiska standarden till vilken en hänvisning har offentliggjorts.</w:t>
      </w:r>
    </w:p>
    <w:p w:rsidR="00765D57" w:rsidRDefault="00765D57">
      <w:pPr>
        <w:pStyle w:val="RKrubrik"/>
        <w:rPr>
          <w:i/>
          <w:iCs/>
        </w:rPr>
      </w:pPr>
      <w:r>
        <w:rPr>
          <w:i/>
          <w:iCs/>
        </w:rPr>
        <w:t>Gällande svenska regler och förslagets effekter på dessa</w:t>
      </w:r>
    </w:p>
    <w:p w:rsidR="00765D57" w:rsidRDefault="00765D57" w:rsidP="00A71D6D">
      <w:pPr>
        <w:pStyle w:val="RKnormal"/>
      </w:pPr>
      <w:r>
        <w:t>Statliga myndigheter införde elektronisk fakturahantering vid halvårsskiftet 2008. Formerna för myndigheternas hantering av fakturor regleras i förordning (2000:606) om statliga myndigheters bokföring samt i förordning (2003:770) om statliga myndigheters elektroniska informationsutbyte. Ekonomistyrningsverket (ESV) har föreskriftsrätt på området för båda förordningarna.</w:t>
      </w:r>
    </w:p>
    <w:p w:rsidR="00765D57" w:rsidRDefault="00765D57" w:rsidP="00A71D6D">
      <w:pPr>
        <w:pStyle w:val="RKnormal"/>
      </w:pPr>
    </w:p>
    <w:p w:rsidR="00765D57" w:rsidRDefault="00765D57" w:rsidP="00A71D6D">
      <w:pPr>
        <w:pStyle w:val="RKnormal"/>
      </w:pPr>
      <w:r>
        <w:t xml:space="preserve">Förslaget innebär att även kommuner, landsting och sådana juridiska personer som omfattas av upphandlingslagstiftningen måste kunna ta emot e-fakturor som överensstämmer med den nya europeiska standarden. </w:t>
      </w:r>
    </w:p>
    <w:p w:rsidR="00765D57" w:rsidRDefault="00765D57" w:rsidP="00A71D6D">
      <w:pPr>
        <w:pStyle w:val="RKnormal"/>
      </w:pPr>
    </w:p>
    <w:p w:rsidR="00765D57" w:rsidRDefault="00765D57" w:rsidP="00A71D6D">
      <w:pPr>
        <w:pStyle w:val="RKnormal"/>
      </w:pPr>
      <w:r>
        <w:t>Förslaget kan komma att medföra mindre ändringar i de föreskrifter som ESV utfärdar på e-handelsområdet. ESV har ansvarat för det svenska deltagandet i projektet Pan-European Public Procurement Online (PEPPOL) samt är representerade i kommissionens flerpartsforum för e-faktura. ESV förbereder redan att i november 2013 fastställa en uppdatering av dagens föreskrifter som därmed skulle tillgodose dessa nya krav.</w:t>
      </w:r>
    </w:p>
    <w:p w:rsidR="00765D57" w:rsidRDefault="00765D57">
      <w:pPr>
        <w:pStyle w:val="RKrubrik"/>
      </w:pPr>
      <w:r>
        <w:t>Ekonomiska konsekvenser</w:t>
      </w:r>
    </w:p>
    <w:p w:rsidR="00765D57" w:rsidRDefault="00765D57" w:rsidP="00A71D6D">
      <w:pPr>
        <w:pStyle w:val="RKnormal"/>
      </w:pPr>
      <w:r>
        <w:t xml:space="preserve">Kommissionens konsekvensbedömning omfattar fem olika alternativ och anför att den bäst lämpade lösningen är att göra det obligatoriskt för upphandlande myndigheter och enheter att acceptera fakturor som uppfyller en ny allmän europeisk faktureringsstandard. Detta skulle hjälpa till med att få bukt med splittringen i det nuvarande lapptäcket av nationella e-faktureringssystem.  Den valda ansatsen skulle kombinera den starka stimulansen som fås genom åläggandet att säkerställa interoperabilitet när det gäller e-fakturering vid offentlig upphandling, med en flexiblare ansats när det gäller de lämpligaste sätten att säkerställa användning av e-fakturering i sig. </w:t>
      </w:r>
    </w:p>
    <w:p w:rsidR="00765D57" w:rsidRDefault="00765D57" w:rsidP="00A71D6D">
      <w:pPr>
        <w:pStyle w:val="RKnormal"/>
      </w:pPr>
    </w:p>
    <w:p w:rsidR="00765D57" w:rsidRDefault="00765D57" w:rsidP="00A71D6D">
      <w:pPr>
        <w:pStyle w:val="RKnormal"/>
      </w:pPr>
      <w:r>
        <w:t>Kommissionen gör bedömningen att förslaget inte påverkar unionens budget utöver de resurser som redan anslagits för standardiserings-åtgärder i den nuvarande och framtida budgetramen. De budgetära konsekvenserna för Sverige kommer att utredas. Det kan dock redan nu konstateras att direktivets nuvarande lydelse riskerar att medföra betydande kostnader om upphandlande myndigheter såsom bl.a. statliga myndigheter, kommuner och landsting måste ha kapacitet att ta emot alla de fakturaformat som överensstämmer med den nya europeiska standardens semantiska datamodell.</w:t>
      </w:r>
    </w:p>
    <w:p w:rsidR="00765D57" w:rsidRDefault="00765D57" w:rsidP="00A71D6D">
      <w:pPr>
        <w:pStyle w:val="RKnormal"/>
      </w:pPr>
    </w:p>
    <w:p w:rsidR="00765D57" w:rsidRDefault="00765D57" w:rsidP="00A71D6D">
      <w:pPr>
        <w:pStyle w:val="RKnormal"/>
      </w:pPr>
      <w:r>
        <w:t>Kommissionen har beräknat att elektronisk hantering av fakturor medför en besparing på 40 euro/faktura.</w:t>
      </w:r>
    </w:p>
    <w:p w:rsidR="00765D57" w:rsidRDefault="00765D57" w:rsidP="00A71D6D">
      <w:pPr>
        <w:pStyle w:val="RKnormal"/>
      </w:pPr>
    </w:p>
    <w:p w:rsidR="00765D57" w:rsidRDefault="00765D57" w:rsidP="00A71D6D">
      <w:pPr>
        <w:pStyle w:val="RKnormal"/>
      </w:pPr>
      <w:r>
        <w:t>Ekonomistyrningsverket uppskattar i sin konsekvensanalys att kostnaderna för offentlig sektor att införa it-stöd för hantering av fakturor enligt den nya standard som föreslås uppgår till ca 50 miljoner kronor. Därutöver uppskattar ESV att kostnaden för att hantera formatkonverteringar är den enskilt största kostnadsposten som förslaget medför. Dessa kostnader uppskattas till ungefär 95 miljoner kronor.</w:t>
      </w:r>
    </w:p>
    <w:p w:rsidR="00765D57" w:rsidRDefault="00765D57">
      <w:pPr>
        <w:pStyle w:val="RKrubrik"/>
      </w:pPr>
      <w:bookmarkStart w:id="1" w:name="_GoBack"/>
      <w:bookmarkEnd w:id="1"/>
      <w:r>
        <w:t>Övrigt</w:t>
      </w:r>
    </w:p>
    <w:p w:rsidR="00765D57" w:rsidRDefault="00765D57">
      <w:pPr>
        <w:pStyle w:val="RKnormal"/>
      </w:pPr>
    </w:p>
    <w:p w:rsidR="00765D57" w:rsidRDefault="00765D57">
      <w:pPr>
        <w:pStyle w:val="RKnormal"/>
        <w:rPr>
          <w:i/>
          <w:iCs/>
        </w:rPr>
      </w:pPr>
    </w:p>
    <w:p w:rsidR="00765D57" w:rsidRDefault="00765D57">
      <w:pPr>
        <w:pStyle w:val="RKnormal"/>
        <w:ind w:left="-1134"/>
      </w:pPr>
    </w:p>
    <w:p w:rsidR="00765D57" w:rsidRDefault="00765D57">
      <w:pPr>
        <w:pStyle w:val="RKrubrik"/>
        <w:spacing w:before="0" w:after="0"/>
      </w:pPr>
    </w:p>
    <w:p w:rsidR="00765D57" w:rsidRDefault="00765D57">
      <w:pPr>
        <w:pStyle w:val="RKnormal"/>
      </w:pPr>
    </w:p>
    <w:sectPr w:rsidR="00765D57" w:rsidSect="00B8629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D57" w:rsidRDefault="00765D57">
      <w:r>
        <w:separator/>
      </w:r>
    </w:p>
  </w:endnote>
  <w:endnote w:type="continuationSeparator" w:id="1">
    <w:p w:rsidR="00765D57" w:rsidRDefault="00765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D57" w:rsidRDefault="00765D57">
      <w:r>
        <w:separator/>
      </w:r>
    </w:p>
  </w:footnote>
  <w:footnote w:type="continuationSeparator" w:id="1">
    <w:p w:rsidR="00765D57" w:rsidRDefault="00765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57" w:rsidRDefault="00765D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65D57">
      <w:trPr>
        <w:cantSplit/>
      </w:trPr>
      <w:tc>
        <w:tcPr>
          <w:tcW w:w="3119" w:type="dxa"/>
        </w:tcPr>
        <w:p w:rsidR="00765D57" w:rsidRDefault="00765D57">
          <w:pPr>
            <w:pStyle w:val="Header"/>
            <w:spacing w:line="200" w:lineRule="atLeast"/>
            <w:ind w:right="357"/>
            <w:rPr>
              <w:rFonts w:ascii="TradeGothic" w:hAnsi="TradeGothic"/>
              <w:b/>
              <w:bCs/>
              <w:sz w:val="16"/>
            </w:rPr>
          </w:pPr>
        </w:p>
      </w:tc>
      <w:tc>
        <w:tcPr>
          <w:tcW w:w="4111" w:type="dxa"/>
          <w:tcMar>
            <w:left w:w="567" w:type="dxa"/>
          </w:tcMar>
        </w:tcPr>
        <w:p w:rsidR="00765D57" w:rsidRDefault="00765D57">
          <w:pPr>
            <w:pStyle w:val="Header"/>
            <w:ind w:right="360"/>
          </w:pPr>
        </w:p>
      </w:tc>
      <w:tc>
        <w:tcPr>
          <w:tcW w:w="1525" w:type="dxa"/>
        </w:tcPr>
        <w:p w:rsidR="00765D57" w:rsidRDefault="00765D57">
          <w:pPr>
            <w:pStyle w:val="Header"/>
            <w:ind w:right="360"/>
          </w:pPr>
        </w:p>
      </w:tc>
    </w:tr>
  </w:tbl>
  <w:p w:rsidR="00765D57" w:rsidRDefault="00765D5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57" w:rsidRDefault="00765D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765D57">
      <w:trPr>
        <w:cantSplit/>
      </w:trPr>
      <w:tc>
        <w:tcPr>
          <w:tcW w:w="3119" w:type="dxa"/>
        </w:tcPr>
        <w:p w:rsidR="00765D57" w:rsidRDefault="00765D57">
          <w:pPr>
            <w:pStyle w:val="Header"/>
            <w:spacing w:line="200" w:lineRule="atLeast"/>
            <w:ind w:right="357"/>
            <w:rPr>
              <w:rFonts w:ascii="TradeGothic" w:hAnsi="TradeGothic"/>
              <w:b/>
              <w:bCs/>
              <w:sz w:val="16"/>
            </w:rPr>
          </w:pPr>
        </w:p>
      </w:tc>
      <w:tc>
        <w:tcPr>
          <w:tcW w:w="4111" w:type="dxa"/>
          <w:tcMar>
            <w:left w:w="567" w:type="dxa"/>
          </w:tcMar>
        </w:tcPr>
        <w:p w:rsidR="00765D57" w:rsidRDefault="00765D57">
          <w:pPr>
            <w:pStyle w:val="Header"/>
            <w:ind w:right="360"/>
          </w:pPr>
        </w:p>
      </w:tc>
      <w:tc>
        <w:tcPr>
          <w:tcW w:w="1525" w:type="dxa"/>
        </w:tcPr>
        <w:p w:rsidR="00765D57" w:rsidRDefault="00765D57">
          <w:pPr>
            <w:pStyle w:val="Header"/>
            <w:ind w:right="360"/>
          </w:pPr>
        </w:p>
      </w:tc>
    </w:tr>
  </w:tbl>
  <w:p w:rsidR="00765D57" w:rsidRDefault="00765D5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D57" w:rsidRDefault="00765D57">
    <w:pPr>
      <w:framePr w:w="2948" w:h="1321" w:hRule="exact" w:wrap="notBeside" w:vAnchor="page" w:hAnchor="page" w:x="1362" w:y="653"/>
    </w:pPr>
    <w:r w:rsidRPr="0074784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65D57" w:rsidRDefault="00765D57">
    <w:pPr>
      <w:pStyle w:val="RKrubrik"/>
      <w:keepNext w:val="0"/>
      <w:tabs>
        <w:tab w:val="clear" w:pos="1134"/>
        <w:tab w:val="clear" w:pos="2835"/>
      </w:tabs>
      <w:spacing w:before="0" w:after="0" w:line="320" w:lineRule="atLeast"/>
      <w:rPr>
        <w:bCs/>
      </w:rPr>
    </w:pPr>
  </w:p>
  <w:p w:rsidR="00765D57" w:rsidRDefault="00765D57">
    <w:pPr>
      <w:rPr>
        <w:rFonts w:ascii="TradeGothic" w:hAnsi="TradeGothic"/>
        <w:b/>
        <w:bCs/>
        <w:spacing w:val="12"/>
        <w:sz w:val="22"/>
      </w:rPr>
    </w:pPr>
  </w:p>
  <w:p w:rsidR="00765D57" w:rsidRDefault="00765D57">
    <w:pPr>
      <w:pStyle w:val="RKrubrik"/>
      <w:keepNext w:val="0"/>
      <w:tabs>
        <w:tab w:val="clear" w:pos="1134"/>
        <w:tab w:val="clear" w:pos="2835"/>
      </w:tabs>
      <w:spacing w:before="0" w:after="0" w:line="320" w:lineRule="atLeast"/>
      <w:rPr>
        <w:bCs/>
      </w:rPr>
    </w:pPr>
  </w:p>
  <w:p w:rsidR="00765D57" w:rsidRDefault="00765D57">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A71D6D"/>
    <w:rsid w:val="00114544"/>
    <w:rsid w:val="00150384"/>
    <w:rsid w:val="00160901"/>
    <w:rsid w:val="001805B7"/>
    <w:rsid w:val="002A4EC0"/>
    <w:rsid w:val="00367B1C"/>
    <w:rsid w:val="004871AF"/>
    <w:rsid w:val="004A328D"/>
    <w:rsid w:val="0058762B"/>
    <w:rsid w:val="006E4E11"/>
    <w:rsid w:val="007028F3"/>
    <w:rsid w:val="007242A3"/>
    <w:rsid w:val="00747846"/>
    <w:rsid w:val="00765D57"/>
    <w:rsid w:val="007A6855"/>
    <w:rsid w:val="0092027A"/>
    <w:rsid w:val="00955E31"/>
    <w:rsid w:val="00992E72"/>
    <w:rsid w:val="00A71D6D"/>
    <w:rsid w:val="00AF26D1"/>
    <w:rsid w:val="00AF4205"/>
    <w:rsid w:val="00B86291"/>
    <w:rsid w:val="00CB15C1"/>
    <w:rsid w:val="00CB4C57"/>
    <w:rsid w:val="00D133D7"/>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9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8629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86291"/>
    <w:pPr>
      <w:spacing w:before="360"/>
      <w:outlineLvl w:val="1"/>
    </w:pPr>
  </w:style>
  <w:style w:type="paragraph" w:styleId="Heading3">
    <w:name w:val="heading 3"/>
    <w:basedOn w:val="Heading2"/>
    <w:next w:val="RKnormal"/>
    <w:link w:val="Heading3Char"/>
    <w:uiPriority w:val="99"/>
    <w:qFormat/>
    <w:rsid w:val="00B86291"/>
    <w:pPr>
      <w:spacing w:after="120" w:line="240" w:lineRule="atLeast"/>
      <w:outlineLvl w:val="2"/>
    </w:pPr>
    <w:rPr>
      <w:b w:val="0"/>
    </w:rPr>
  </w:style>
  <w:style w:type="paragraph" w:styleId="Heading4">
    <w:name w:val="heading 4"/>
    <w:basedOn w:val="Heading3"/>
    <w:next w:val="RKnormal"/>
    <w:link w:val="Heading4Char"/>
    <w:uiPriority w:val="99"/>
    <w:qFormat/>
    <w:rsid w:val="00B8629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8D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908D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908D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908D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8629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8629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908D2"/>
    <w:rPr>
      <w:rFonts w:ascii="OrigGarmnd BT" w:hAnsi="OrigGarmnd BT"/>
      <w:sz w:val="24"/>
      <w:szCs w:val="20"/>
      <w:lang w:eastAsia="en-US"/>
    </w:rPr>
  </w:style>
  <w:style w:type="paragraph" w:styleId="Header">
    <w:name w:val="header"/>
    <w:basedOn w:val="Normal"/>
    <w:link w:val="HeaderChar"/>
    <w:uiPriority w:val="99"/>
    <w:rsid w:val="00B86291"/>
    <w:pPr>
      <w:tabs>
        <w:tab w:val="center" w:pos="4153"/>
        <w:tab w:val="right" w:pos="8306"/>
      </w:tabs>
    </w:pPr>
  </w:style>
  <w:style w:type="character" w:customStyle="1" w:styleId="HeaderChar">
    <w:name w:val="Header Char"/>
    <w:basedOn w:val="DefaultParagraphFont"/>
    <w:link w:val="Header"/>
    <w:uiPriority w:val="99"/>
    <w:semiHidden/>
    <w:rsid w:val="006908D2"/>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8629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862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950</Words>
  <Characters>6270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Anneli Hagdahl</dc:creator>
  <cp:keywords/>
  <dc:description/>
  <cp:lastModifiedBy>jb0525aa</cp:lastModifiedBy>
  <cp:revision>2</cp:revision>
  <cp:lastPrinted>2013-11-25T11:32:00Z</cp:lastPrinted>
  <dcterms:created xsi:type="dcterms:W3CDTF">2013-11-25T11:32:00Z</dcterms:created>
  <dcterms:modified xsi:type="dcterms:W3CDTF">2013-11-25T11:32:00Z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0x01010053E1D612BA3F4E21AA250ECD751942B300CCCF643F3307594C89D8775C84C9664B</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c48914d3-15f6-4524-938b-01b28333c8a7</vt:lpwstr>
  </property>
  <property fmtid="{D5CDD505-2E9C-101B-9397-08002B2CF9AE}" pid="9" name="k46d94c0acf84ab9a79866a9d8b1905f">
    <vt:lpwstr/>
  </property>
  <property fmtid="{D5CDD505-2E9C-101B-9397-08002B2CF9AE}" pid="10" name="Nyckelord">
    <vt:lpwstr/>
  </property>
  <property fmtid="{D5CDD505-2E9C-101B-9397-08002B2CF9AE}" pid="11" name="TaxCatchAll">
    <vt:lpwstr/>
  </property>
  <property fmtid="{D5CDD505-2E9C-101B-9397-08002B2CF9AE}" pid="12" name="RKOrdnaCheckInComment">
    <vt:lpwstr/>
  </property>
  <property fmtid="{D5CDD505-2E9C-101B-9397-08002B2CF9AE}" pid="13" name="Sekretess">
    <vt:lpwstr/>
  </property>
  <property fmtid="{D5CDD505-2E9C-101B-9397-08002B2CF9AE}" pid="14" name="RKOrdnaClass">
    <vt:lpwstr/>
  </property>
  <property fmtid="{D5CDD505-2E9C-101B-9397-08002B2CF9AE}" pid="15" name="c9cd366cc722410295b9eacffbd73909">
    <vt:lpwstr/>
  </property>
  <property fmtid="{D5CDD505-2E9C-101B-9397-08002B2CF9AE}" pid="16" name="Diarienummer">
    <vt:lpwstr/>
  </property>
  <property fmtid="{D5CDD505-2E9C-101B-9397-08002B2CF9AE}" pid="17" name="_dlc_DocId">
    <vt:lpwstr>7ZWTC3K3FPSE-4-3387</vt:lpwstr>
  </property>
  <property fmtid="{D5CDD505-2E9C-101B-9397-08002B2CF9AE}" pid="18" name="_dlc_DocIdUrl">
    <vt:lpwstr>http://rkdhs-n/enhet/itp/_layouts/DocIdRedir.aspx?ID=7ZWTC3K3FPSE-4-3387, 7ZWTC3K3FPSE-4-3387</vt:lpwstr>
  </property>
</Properties>
</file>