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D81" w:rsidRPr="00B77D81" w:rsidRDefault="00B77D81">
      <w:pPr>
        <w:pStyle w:val="Frslagsrubrik"/>
      </w:pPr>
      <w:r w:rsidRPr="00B77D81">
        <w:t>Förslag till riksdagsbeslut</w:t>
      </w:r>
    </w:p>
    <w:p w:rsidR="00B77D81" w:rsidRPr="00B77D81" w:rsidRDefault="00B77D81">
      <w:pPr>
        <w:pStyle w:val="Hemstlatt"/>
        <w:numPr>
          <w:ilvl w:val="0"/>
          <w:numId w:val="1"/>
        </w:numPr>
      </w:pPr>
      <w:r w:rsidRPr="00B77D81">
        <w:t>Riksdagen tillkännager för regeringen som sin mening vad som anförs i motionen om att skattereduktionen för hushåll</w:t>
      </w:r>
      <w:r w:rsidRPr="00B77D81">
        <w:t>s</w:t>
      </w:r>
      <w:r w:rsidRPr="00B77D81">
        <w:t>tjänster bör reformeras så att den införda förenklingen av skatteredukti</w:t>
      </w:r>
      <w:r w:rsidRPr="00B77D81">
        <w:t>o</w:t>
      </w:r>
      <w:r w:rsidRPr="00B77D81">
        <w:t>nen för ROT-avdrag inte påverkar företagens likviditet och administrat</w:t>
      </w:r>
      <w:r w:rsidRPr="00B77D81">
        <w:t>i</w:t>
      </w:r>
      <w:r w:rsidRPr="00B77D81">
        <w:t>va arbetsbörda.</w:t>
      </w:r>
    </w:p>
    <w:p w:rsidR="00B77D81" w:rsidRPr="00B77D81" w:rsidRDefault="00B77D81">
      <w:pPr>
        <w:pStyle w:val="Hemstlatt"/>
        <w:numPr>
          <w:ilvl w:val="0"/>
          <w:numId w:val="1"/>
        </w:numPr>
      </w:pPr>
      <w:r w:rsidRPr="00B77D81">
        <w:t>Riksdagen tillkännager för regeringen som sin mening vad som anförs i motionen om at</w:t>
      </w:r>
      <w:r w:rsidRPr="00B77D81">
        <w:rPr>
          <w:szCs w:val="24"/>
        </w:rPr>
        <w:t>t kontrollansvaret för ROT-avdrag bör ålä</w:t>
      </w:r>
      <w:r w:rsidRPr="00B77D81">
        <w:rPr>
          <w:szCs w:val="24"/>
        </w:rPr>
        <w:t>g</w:t>
      </w:r>
      <w:r w:rsidRPr="00B77D81">
        <w:rPr>
          <w:szCs w:val="24"/>
        </w:rPr>
        <w:t>gas Skatteverket.</w:t>
      </w:r>
    </w:p>
    <w:p w:rsidR="00B77D81" w:rsidRPr="00B77D81" w:rsidRDefault="00B77D81">
      <w:pPr>
        <w:pStyle w:val="Rubrik1"/>
      </w:pPr>
      <w:r w:rsidRPr="00B77D81">
        <w:t>Motivering</w:t>
      </w:r>
    </w:p>
    <w:p w:rsidR="00B77D81" w:rsidRPr="00B77D81" w:rsidRDefault="00B77D81">
      <w:pPr>
        <w:autoSpaceDE w:val="0"/>
        <w:autoSpaceDN w:val="0"/>
        <w:adjustRightInd w:val="0"/>
        <w:rPr>
          <w:szCs w:val="24"/>
        </w:rPr>
      </w:pPr>
      <w:r w:rsidRPr="00B77D81">
        <w:rPr>
          <w:szCs w:val="24"/>
        </w:rPr>
        <w:t>Drömmen om att få hjälp med att få vardagspusslet att gå ihop har förverkl</w:t>
      </w:r>
      <w:r w:rsidRPr="00B77D81">
        <w:rPr>
          <w:szCs w:val="24"/>
        </w:rPr>
        <w:t>i</w:t>
      </w:r>
      <w:r w:rsidRPr="00B77D81">
        <w:rPr>
          <w:szCs w:val="24"/>
        </w:rPr>
        <w:t>gats. Detta tack vare Centerpartiets avgörande roll i pådrivandet och realis</w:t>
      </w:r>
      <w:r w:rsidRPr="00B77D81">
        <w:rPr>
          <w:szCs w:val="24"/>
        </w:rPr>
        <w:t>e</w:t>
      </w:r>
      <w:r w:rsidRPr="00B77D81">
        <w:rPr>
          <w:szCs w:val="24"/>
        </w:rPr>
        <w:t>ringen av skatteavdraget för hushållstjänster och reparation av bostäder, det så kallade ROT-avdraget.</w:t>
      </w:r>
    </w:p>
    <w:p w:rsidR="00B77D81" w:rsidRPr="00B77D81" w:rsidRDefault="00B77D81">
      <w:pPr>
        <w:pStyle w:val="Normaltindrag"/>
      </w:pPr>
      <w:r w:rsidRPr="00B77D81">
        <w:t>Skatteavdraget för hushållstjänster blev snabbt en stor succé. Avdraget i</w:t>
      </w:r>
      <w:r w:rsidRPr="00B77D81">
        <w:t>n</w:t>
      </w:r>
      <w:r w:rsidRPr="00B77D81">
        <w:t>fö</w:t>
      </w:r>
      <w:r w:rsidRPr="00B77D81">
        <w:t>r</w:t>
      </w:r>
      <w:r w:rsidRPr="00B77D81">
        <w:t>des i syfte att skapa fler jobb, stimulera företagandet, öka jämställdheten samt göra svarta jobb vita. Under andra halvan av år 2007 ansökte 52 000 personer om avdrag. Det var 7 000 fler än vad Skatteverket beräknade. Efte</w:t>
      </w:r>
      <w:r w:rsidRPr="00B77D81">
        <w:t>r</w:t>
      </w:r>
      <w:r w:rsidRPr="00B77D81">
        <w:t>frågan har varit stor bland samtliga samhällsgrupper. Över 40 procent av dem som a</w:t>
      </w:r>
      <w:r w:rsidRPr="00B77D81">
        <w:t>n</w:t>
      </w:r>
      <w:r w:rsidRPr="00B77D81">
        <w:t>sökte om avdrag tjänar mindre än 290 000 kronor om året. Reformen har alltså möjliggjort för fler än höginkomsttagare att skaffa sig avlastning i hemmet.</w:t>
      </w:r>
    </w:p>
    <w:p w:rsidR="00B77D81" w:rsidRPr="00B77D81" w:rsidRDefault="00B77D81">
      <w:pPr>
        <w:pStyle w:val="Normaltindrag"/>
      </w:pPr>
      <w:r w:rsidRPr="00B77D81">
        <w:t xml:space="preserve">Sedan i december 2008 är reformen utbyggd till </w:t>
      </w:r>
      <w:r w:rsidRPr="00B77D81">
        <w:t>att också omfatta repar</w:t>
      </w:r>
      <w:r w:rsidRPr="00B77D81">
        <w:t>a</w:t>
      </w:r>
      <w:r w:rsidRPr="00B77D81">
        <w:t>tion och ombyggnad av bostäder. Detta var en logisk komplettering och även denna reform har inneburit en stor succé och motsvarande positiva effekter som vid införande av skatteavdrag för hushållstjänster har noterats. Ett pr</w:t>
      </w:r>
      <w:r w:rsidRPr="00B77D81">
        <w:t>o</w:t>
      </w:r>
      <w:r w:rsidRPr="00B77D81">
        <w:t>blem med hur ROT-avdraget – efter en för konsumenten genomförd fören</w:t>
      </w:r>
      <w:r w:rsidRPr="00B77D81">
        <w:t>k</w:t>
      </w:r>
      <w:r w:rsidRPr="00B77D81">
        <w:t>ling – idag är konstruerat är att företaget nu måste ligga ute med halva arbet</w:t>
      </w:r>
      <w:r w:rsidRPr="00B77D81">
        <w:t>s</w:t>
      </w:r>
      <w:r w:rsidRPr="00B77D81">
        <w:lastRenderedPageBreak/>
        <w:t>kostnaden för tjänsteutförandet under lång tid innan man får ersättning för sitt arbete, från Skatteverket!</w:t>
      </w:r>
    </w:p>
    <w:p w:rsidR="00B77D81" w:rsidRPr="00B77D81" w:rsidRDefault="00B77D81">
      <w:pPr>
        <w:pStyle w:val="Normaltindrag"/>
      </w:pPr>
      <w:r w:rsidRPr="00B77D81">
        <w:t>ROT-av</w:t>
      </w:r>
      <w:r w:rsidRPr="00B77D81">
        <w:t>draget är en folklig reform som färgar svarta jobb vita samtidigt som nya riktiga jobb har skapats och nya företag växt fram. Vi har fått ett samhälle med fler välmående människor, fler i arbete och därmed fler som är med och bidrar till vår välfärd. Parallellt med allt detta har vi fått ett mer jämställt och jämlikt samhälle, allt detta är självklart bra. Nu är det viktigt att vi tar ytterl</w:t>
      </w:r>
      <w:r w:rsidRPr="00B77D81">
        <w:t>i</w:t>
      </w:r>
      <w:r w:rsidRPr="00B77D81">
        <w:t>gare ett steg och skapar ett effektivt och administrativt enkelt avdragssystem för ROT-avdraget. Den sedan halvårsski</w:t>
      </w:r>
      <w:r w:rsidRPr="00B77D81">
        <w:t>ftet genomförda fö</w:t>
      </w:r>
      <w:r w:rsidRPr="00B77D81">
        <w:t>r</w:t>
      </w:r>
      <w:r w:rsidRPr="00B77D81">
        <w:t>enklingen för konsumenten får inte, som nu skett, innebära att företagens administrativa börda ökar och att deras likviditet försämras.</w:t>
      </w:r>
    </w:p>
    <w:p w:rsidR="00B77D81" w:rsidRPr="00B77D81" w:rsidRDefault="00B77D81">
      <w:pPr>
        <w:pStyle w:val="Normaltindrag"/>
      </w:pPr>
      <w:r w:rsidRPr="00B77D81">
        <w:t>Vi föreslår därför att följande faktureringsmodell, som kombinerar både avdrags- och betalningsprocessen vid köp av ROT-avdragstjänst, införs. Vår föreslagna modell är inspirerad av både det danska avdragssystemet och vårt egna momssystem. I Danmark har skattemyndigheten en handläggningstid på sex dagar för liknande avdrag. Vi förordar att Skatteverket få</w:t>
      </w:r>
      <w:r w:rsidRPr="00B77D81">
        <w:t>r i uppdrag att ta fram en standardmodell på en faktura med utgångspunkt i vårt framlagda förslag. Företagen kan sedan enkelt anpassa standardfakturamodellen till sina befintliga system. Fakturan bör bestå av följande tre delar. Första delen inn</w:t>
      </w:r>
      <w:r w:rsidRPr="00B77D81">
        <w:t>e</w:t>
      </w:r>
      <w:r w:rsidRPr="00B77D81">
        <w:t>håller en redovisning av vilka tjänster som genomförts och vilka kostnader som ska skattejämkas samt sedvanliga fakturauppgifter, såsom exempelvis faktura- och kundnummer m.m. I en annan del av fakturan redovisar företaget vilken tjänst som utförts och vilken kostna</w:t>
      </w:r>
      <w:r w:rsidRPr="00B77D81">
        <w:t>d som ska jämkas. Den delen bör utformas som ett brevkort där adress till Skatteverket förtrycks och utrymme ges för köparen att intyga att arbetet utförts enligt beskrivningen innan denna del skickas in till Skatteverket. Slutligen bör fakturan innehålla en del med ett sedvanligt inbetalningskort som kunden enkelt använder för att betala för tjänsten inom vanligtvis 30 dagar.</w:t>
      </w:r>
    </w:p>
    <w:p w:rsidR="00B77D81" w:rsidRPr="00B77D81" w:rsidRDefault="00B77D81">
      <w:pPr>
        <w:pStyle w:val="Normaltindrag"/>
      </w:pPr>
      <w:r w:rsidRPr="00B77D81">
        <w:t>När tjänsten beställts och utförts skickar företaget ut sin enkla faktura till köparen, som i sin tur skickar iväg det förtryckta br</w:t>
      </w:r>
      <w:r w:rsidRPr="00B77D81">
        <w:t>evkortet till Skatteverket. Myndigheten ansvarar sedan för att kontrollera att det yrkade avdraget är giltigt för att sedan sätta in den jämkade summan på köparens konto inom rimlig tid innan fakturans förfallodatum. Köparen har därefter rimlig tid på sig att betala fakturan, vilket vanligtvis sker inom 30 dagar. Förslaget innebär att köparen får pengar i handen, dvs. den del av köpeskillingen som motsvarar avdraget, före det att betalning ska ske. Skatteverket får en verifierad han</w:t>
      </w:r>
      <w:r w:rsidRPr="00B77D81">
        <w:t>d</w:t>
      </w:r>
      <w:r w:rsidRPr="00B77D81">
        <w:t>ling som bekräftar köpet</w:t>
      </w:r>
      <w:r w:rsidRPr="00B77D81">
        <w:t xml:space="preserve"> och kontrollerar samtidigt att köparen inte övertra</w:t>
      </w:r>
      <w:r w:rsidRPr="00B77D81">
        <w:t>s</w:t>
      </w:r>
      <w:r w:rsidRPr="00B77D81">
        <w:t>serat taket för giltiga avdrag på 50 000 kronor. Detta stärker rättstryggheten.</w:t>
      </w:r>
    </w:p>
    <w:p w:rsidR="00B77D81" w:rsidRPr="00B77D81" w:rsidRDefault="00B77D81">
      <w:pPr>
        <w:pStyle w:val="Normaltindrag"/>
      </w:pPr>
      <w:r w:rsidRPr="00B77D81">
        <w:t>Med vår modell får företaget inom bruklig betalningstid pengar för tjän</w:t>
      </w:r>
      <w:r w:rsidRPr="00B77D81">
        <w:t>s</w:t>
      </w:r>
      <w:r w:rsidRPr="00B77D81">
        <w:t>ten. Vårt föreslagna förfaringssätt säkerställer dessutom sedvanlig avtalsrätt som råder mellan säljare och köpare. För att kontrollera att godkänt köp ägt rum kan Skatteverket utföra stickprov samt på annat sätt få bekräftat att köpet ägt rum. På så vis kan eventuella felaktigheter som visar sig justeras, då a</w:t>
      </w:r>
      <w:r w:rsidRPr="00B77D81">
        <w:t>v</w:t>
      </w:r>
      <w:r w:rsidRPr="00B77D81">
        <w:t>draget enligt vår modell kommer att erhållas innan själva köpet kan styrkas fullt ut.</w:t>
      </w:r>
    </w:p>
    <w:p w:rsidR="00B77D81" w:rsidRPr="00B77D81" w:rsidRDefault="00B77D81">
      <w:pPr>
        <w:pStyle w:val="Normaltindrag"/>
      </w:pPr>
      <w:r w:rsidRPr="00B77D81">
        <w:t>Sammantaget konstaterar vi att vårt förslag om en kombinerad avdrags- och betalningsmodell är enkelt och effekti</w:t>
      </w:r>
      <w:r w:rsidRPr="00B77D81">
        <w:t>vt för alla inblandade parter. Likv</w:t>
      </w:r>
      <w:r w:rsidRPr="00B77D81">
        <w:t>i</w:t>
      </w:r>
      <w:r w:rsidRPr="00B77D81">
        <w:t>dit</w:t>
      </w:r>
      <w:r w:rsidRPr="00B77D81">
        <w:t>e</w:t>
      </w:r>
      <w:r w:rsidRPr="00B77D81">
        <w:t>ten stärks för konsumenterna utan att den administrativa bördan ökar för för</w:t>
      </w:r>
      <w:r w:rsidRPr="00B77D81">
        <w:t>e</w:t>
      </w:r>
      <w:r w:rsidRPr="00B77D81">
        <w:t>tagarna. Kontrollskyldigheten åläggs Skatteverket. Enskilda företag löper ingen ökad risk att inte få betalt för den del av köpeskillingen som utgörs av skatteavdraget om det visar sig att köparen av tjänsten redan uppnått taket om 50 000 kronor per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7D81">
        <w:trPr>
          <w:cantSplit/>
        </w:trPr>
        <w:tc>
          <w:tcPr>
            <w:tcW w:w="3046" w:type="dxa"/>
          </w:tcPr>
          <w:p w:rsidR="00B77D81" w:rsidRPr="00B77D81" w:rsidRDefault="00B77D81">
            <w:pPr>
              <w:pStyle w:val="UnderskriftDatum"/>
              <w:spacing w:before="240"/>
            </w:pPr>
            <w:r w:rsidRPr="00B77D81">
              <w:t>Stockholm den 2 oktober 2009</w:t>
            </w:r>
          </w:p>
        </w:tc>
        <w:tc>
          <w:tcPr>
            <w:tcW w:w="3047" w:type="dxa"/>
          </w:tcPr>
          <w:p w:rsidR="00B77D81" w:rsidRPr="00B77D81" w:rsidRDefault="00B77D81">
            <w:pPr>
              <w:pStyle w:val="Underskrifter"/>
              <w:spacing w:before="240"/>
            </w:pPr>
          </w:p>
        </w:tc>
      </w:tr>
      <w:tr w:rsidR="00000000" w:rsidRPr="00B77D81">
        <w:trPr>
          <w:cantSplit/>
        </w:trPr>
        <w:tc>
          <w:tcPr>
            <w:tcW w:w="3046" w:type="dxa"/>
          </w:tcPr>
          <w:p w:rsidR="00B77D81" w:rsidRPr="00B77D81" w:rsidRDefault="00B77D81">
            <w:pPr>
              <w:pStyle w:val="Underskrifter"/>
            </w:pPr>
            <w:r w:rsidRPr="00B77D81">
              <w:t>Anders Åkesson (c)</w:t>
            </w:r>
          </w:p>
        </w:tc>
        <w:tc>
          <w:tcPr>
            <w:tcW w:w="3046" w:type="dxa"/>
          </w:tcPr>
          <w:p w:rsidR="00B77D81" w:rsidRPr="00B77D81" w:rsidRDefault="00B77D81">
            <w:pPr>
              <w:pStyle w:val="Underskrifter"/>
            </w:pPr>
            <w:r w:rsidRPr="00B77D81">
              <w:t>Per Åsling (c)</w:t>
            </w:r>
          </w:p>
        </w:tc>
      </w:tr>
    </w:tbl>
    <w:p w:rsidR="00B77D81" w:rsidRPr="00B77D81" w:rsidRDefault="00B77D81">
      <w:pPr>
        <w:pStyle w:val="Normaltindrag"/>
      </w:pPr>
    </w:p>
    <w:sectPr w:rsidR="00000000" w:rsidRPr="00B77D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D81" w:rsidRPr="00B77D81" w:rsidRDefault="00B77D81">
      <w:r w:rsidRPr="00B77D81">
        <w:separator/>
      </w:r>
    </w:p>
  </w:endnote>
  <w:endnote w:type="continuationSeparator" w:id="0">
    <w:p w:rsidR="00B77D81" w:rsidRPr="00B77D81" w:rsidRDefault="00B77D81">
      <w:r w:rsidRPr="00B77D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81" w:rsidRPr="00B77D81" w:rsidRDefault="00B77D81">
    <w:pPr>
      <w:pStyle w:val="Sidfot"/>
    </w:pPr>
    <w:r w:rsidRPr="00B77D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6132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81" w:rsidRDefault="00B77D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7D81" w:rsidRDefault="00B77D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81" w:rsidRPr="00B77D81" w:rsidRDefault="00B77D81">
    <w:pPr>
      <w:pStyle w:val="Sidfot"/>
    </w:pPr>
    <w:r w:rsidRPr="00B77D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700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81" w:rsidRDefault="00B77D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7D81" w:rsidRDefault="00B77D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81" w:rsidRPr="00B77D81" w:rsidRDefault="00B77D81">
    <w:pPr>
      <w:pStyle w:val="Sidfot"/>
    </w:pPr>
    <w:r w:rsidRPr="00B77D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5865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81" w:rsidRDefault="00B77D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7D81" w:rsidRDefault="00B77D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D81" w:rsidRPr="00B77D81" w:rsidRDefault="00B77D81">
      <w:r w:rsidRPr="00B77D81">
        <w:separator/>
      </w:r>
    </w:p>
  </w:footnote>
  <w:footnote w:type="continuationSeparator" w:id="0">
    <w:p w:rsidR="00B77D81" w:rsidRPr="00B77D81" w:rsidRDefault="00B77D81">
      <w:r w:rsidRPr="00B77D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81" w:rsidRPr="00B77D81" w:rsidRDefault="00B77D81">
    <w:pPr>
      <w:pStyle w:val="Sidhuvud"/>
    </w:pPr>
    <w:r w:rsidRPr="00B77D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5908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81" w:rsidRDefault="00B77D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7D81" w:rsidRDefault="00B77D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81" w:rsidRPr="00B77D81" w:rsidRDefault="00B77D81">
    <w:pPr>
      <w:pStyle w:val="Sidhuvud"/>
    </w:pPr>
    <w:r w:rsidRPr="00B77D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2877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81" w:rsidRDefault="00B77D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7D81" w:rsidRDefault="00B77D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81" w:rsidRPr="00B77D81" w:rsidRDefault="00B77D81">
    <w:pPr>
      <w:pStyle w:val="FSHNormal"/>
      <w:tabs>
        <w:tab w:val="right" w:pos="5840"/>
      </w:tabs>
    </w:pPr>
    <w:r w:rsidRPr="00B77D81">
      <w:br/>
    </w:r>
    <w:r w:rsidRPr="00B77D81">
      <w:fldChar w:fldCharType="begin" w:fldLock="1"/>
    </w:r>
    <w:r w:rsidRPr="00B77D81">
      <w:instrText xml:space="preserve"> DOCPROPERTY</w:instrText>
    </w:r>
    <w:r w:rsidRPr="00B77D81">
      <w:rPr>
        <w:sz w:val="18"/>
      </w:rPr>
      <w:instrText xml:space="preserve"> "YearUser" *\charformat </w:instrText>
    </w:r>
    <w:r w:rsidRPr="00B77D81">
      <w:fldChar w:fldCharType="separate"/>
    </w:r>
    <w:r w:rsidRPr="00B77D81">
      <w:t>2009/10</w:t>
    </w:r>
    <w:r w:rsidRPr="00B77D81">
      <w:fldChar w:fldCharType="end"/>
    </w:r>
    <w:r w:rsidRPr="00B77D81">
      <w:t xml:space="preserve"> </w:t>
    </w:r>
    <w:r w:rsidRPr="00B77D81">
      <w:tab/>
      <w:t xml:space="preserve">mnr: </w:t>
    </w:r>
    <w:r w:rsidRPr="00B77D81">
      <w:fldChar w:fldCharType="begin" w:fldLock="1"/>
    </w:r>
    <w:r w:rsidRPr="00B77D81">
      <w:instrText xml:space="preserve"> DOCPROPERTY</w:instrText>
    </w:r>
    <w:r w:rsidRPr="00B77D81">
      <w:rPr>
        <w:sz w:val="18"/>
      </w:rPr>
      <w:instrText xml:space="preserve"> "Motionsnummer" *\charformat </w:instrText>
    </w:r>
    <w:r w:rsidRPr="00B77D81">
      <w:fldChar w:fldCharType="separate"/>
    </w:r>
    <w:r w:rsidRPr="00B77D81">
      <w:t>Sk406</w:t>
    </w:r>
    <w:r w:rsidRPr="00B77D81">
      <w:fldChar w:fldCharType="end"/>
    </w:r>
    <w:r w:rsidRPr="00B77D81">
      <w:br/>
    </w:r>
    <w:r w:rsidRPr="00B77D81">
      <w:fldChar w:fldCharType="begin" w:fldLock="1"/>
    </w:r>
    <w:r w:rsidRPr="00B77D81">
      <w:instrText xml:space="preserve"> DOCPROPERTY</w:instrText>
    </w:r>
    <w:r w:rsidRPr="00B77D81">
      <w:rPr>
        <w:sz w:val="18"/>
      </w:rPr>
      <w:instrText xml:space="preserve"> "Samling" *\charformat </w:instrText>
    </w:r>
    <w:r w:rsidRPr="00B77D81">
      <w:fldChar w:fldCharType="end"/>
    </w:r>
    <w:r w:rsidRPr="00B77D81">
      <w:tab/>
      <w:t xml:space="preserve">pnr: </w:t>
    </w:r>
    <w:r w:rsidRPr="00B77D81">
      <w:fldChar w:fldCharType="begin" w:fldLock="1"/>
    </w:r>
    <w:r w:rsidRPr="00B77D81">
      <w:instrText xml:space="preserve"> DOCPROPERTY</w:instrText>
    </w:r>
    <w:r w:rsidRPr="00B77D81">
      <w:rPr>
        <w:sz w:val="18"/>
      </w:rPr>
      <w:instrText xml:space="preserve"> "Partinummer" *\charformat </w:instrText>
    </w:r>
    <w:r w:rsidRPr="00B77D81">
      <w:fldChar w:fldCharType="separate"/>
    </w:r>
    <w:r w:rsidRPr="00B77D81">
      <w:t>c536</w:t>
    </w:r>
    <w:r w:rsidRPr="00B77D81">
      <w:fldChar w:fldCharType="end"/>
    </w:r>
  </w:p>
  <w:p w:rsidR="00B77D81" w:rsidRPr="00B77D81" w:rsidRDefault="00B77D81">
    <w:pPr>
      <w:pStyle w:val="FSHRub1"/>
    </w:pPr>
    <w:r w:rsidRPr="00B77D81">
      <w:t>Motion till riksdagen</w:t>
    </w:r>
    <w:r w:rsidRPr="00B77D81">
      <w:br/>
    </w:r>
    <w:r w:rsidRPr="00B77D81">
      <w:fldChar w:fldCharType="begin" w:fldLock="1"/>
    </w:r>
    <w:r w:rsidRPr="00B77D81">
      <w:instrText xml:space="preserve"> DOCPROPERTY "YearUser" *\charformat </w:instrText>
    </w:r>
    <w:r w:rsidRPr="00B77D81">
      <w:fldChar w:fldCharType="separate"/>
    </w:r>
    <w:r w:rsidRPr="00B77D81">
      <w:t>2009/10</w:t>
    </w:r>
    <w:r w:rsidRPr="00B77D81">
      <w:fldChar w:fldCharType="end"/>
    </w:r>
    <w:r w:rsidRPr="00B77D81">
      <w:t>:</w:t>
    </w:r>
    <w:r w:rsidRPr="00B77D81">
      <w:fldChar w:fldCharType="begin" w:fldLock="1"/>
    </w:r>
    <w:r w:rsidRPr="00B77D81">
      <w:instrText xml:space="preserve"> DOCPROPERTY "Motionsnummer" *\charformat </w:instrText>
    </w:r>
    <w:r w:rsidRPr="00B77D81">
      <w:fldChar w:fldCharType="separate"/>
    </w:r>
    <w:r w:rsidRPr="00B77D81">
      <w:t>Sk406</w:t>
    </w:r>
    <w:r w:rsidRPr="00B77D81">
      <w:fldChar w:fldCharType="end"/>
    </w:r>
  </w:p>
  <w:p w:rsidR="00B77D81" w:rsidRPr="00B77D81" w:rsidRDefault="00B77D81">
    <w:pPr>
      <w:pStyle w:val="FSHNormalS5"/>
    </w:pPr>
    <w:r w:rsidRPr="00B77D81">
      <w:fldChar w:fldCharType="begin" w:fldLock="1"/>
    </w:r>
    <w:r w:rsidRPr="00B77D81">
      <w:instrText xml:space="preserve"> DOCPROPERTY "MotionarText" *\charformat </w:instrText>
    </w:r>
    <w:r w:rsidRPr="00B77D81">
      <w:fldChar w:fldCharType="separate"/>
    </w:r>
    <w:r w:rsidRPr="00B77D81">
      <w:t>av Anders Åkesson och Per Åsling (c)</w:t>
    </w:r>
    <w:r w:rsidRPr="00B77D81">
      <w:fldChar w:fldCharType="end"/>
    </w:r>
    <w:r w:rsidRPr="00B77D81">
      <w:br/>
    </w:r>
    <w:r w:rsidRPr="00B77D81">
      <w:fldChar w:fldCharType="begin" w:fldLock="1"/>
    </w:r>
    <w:r w:rsidRPr="00B77D81">
      <w:instrText xml:space="preserve"> DOCPROPERTY "SvarFrasKort" *\charformat </w:instrText>
    </w:r>
    <w:r w:rsidRPr="00B77D81">
      <w:fldChar w:fldCharType="end"/>
    </w:r>
  </w:p>
  <w:p w:rsidR="00B77D81" w:rsidRPr="00B77D81" w:rsidRDefault="00B77D81">
    <w:pPr>
      <w:pStyle w:val="FSHTitel"/>
    </w:pPr>
    <w:r w:rsidRPr="00B77D81">
      <w:fldChar w:fldCharType="begin" w:fldLock="1"/>
    </w:r>
    <w:r w:rsidRPr="00B77D81">
      <w:instrText xml:space="preserve"> DOCPROPERTY</w:instrText>
    </w:r>
    <w:r w:rsidRPr="00B77D81">
      <w:rPr>
        <w:sz w:val="18"/>
      </w:rPr>
      <w:instrText xml:space="preserve"> "RubrikSvar" *\charformat </w:instrText>
    </w:r>
    <w:r w:rsidRPr="00B77D81">
      <w:fldChar w:fldCharType="separate"/>
    </w:r>
    <w:r w:rsidRPr="00B77D81">
      <w:t>Reformering av ROT-avdraget</w:t>
    </w:r>
    <w:r w:rsidRPr="00B77D81">
      <w:fldChar w:fldCharType="end"/>
    </w:r>
  </w:p>
  <w:p w:rsidR="00B77D81" w:rsidRPr="00B77D81" w:rsidRDefault="00B77D81">
    <w:pPr>
      <w:pStyle w:val="Normal00"/>
    </w:pPr>
  </w:p>
  <w:p w:rsidR="00B77D81" w:rsidRPr="00B77D81" w:rsidRDefault="00B77D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173A4"/>
    <w:multiLevelType w:val="hybridMultilevel"/>
    <w:tmpl w:val="983CC7B2"/>
    <w:lvl w:ilvl="0" w:tplc="1A62A3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44C043C"/>
    <w:multiLevelType w:val="hybridMultilevel"/>
    <w:tmpl w:val="8A2416DC"/>
    <w:lvl w:ilvl="0" w:tplc="C67AB15C">
      <w:start w:val="1"/>
      <w:numFmt w:val="decimal"/>
      <w:lvlText w:val="%1."/>
      <w:lvlJc w:val="left"/>
      <w:pPr>
        <w:tabs>
          <w:tab w:val="num" w:pos="720"/>
        </w:tabs>
        <w:ind w:left="720" w:hanging="360"/>
      </w:pPr>
      <w:rPr>
        <w:rFonts w:ascii="SymbolMT" w:hAnsi="SymbolMT" w:cs="SymbolMT" w:hint="default"/>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2"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ADE535D"/>
    <w:multiLevelType w:val="hybridMultilevel"/>
    <w:tmpl w:val="2EBC4AC0"/>
    <w:lvl w:ilvl="0" w:tplc="C2A6E8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4130932">
    <w:abstractNumId w:val="8"/>
  </w:num>
  <w:num w:numId="2" w16cid:durableId="1586527773">
    <w:abstractNumId w:val="9"/>
  </w:num>
  <w:num w:numId="3" w16cid:durableId="4864643">
    <w:abstractNumId w:val="8"/>
  </w:num>
  <w:num w:numId="4" w16cid:durableId="2099281682">
    <w:abstractNumId w:val="9"/>
  </w:num>
  <w:num w:numId="5" w16cid:durableId="911040218">
    <w:abstractNumId w:val="16"/>
  </w:num>
  <w:num w:numId="6" w16cid:durableId="633024545">
    <w:abstractNumId w:val="12"/>
  </w:num>
  <w:num w:numId="7" w16cid:durableId="519515707">
    <w:abstractNumId w:val="13"/>
  </w:num>
  <w:num w:numId="8" w16cid:durableId="1067654285">
    <w:abstractNumId w:val="15"/>
  </w:num>
  <w:num w:numId="9" w16cid:durableId="1940019111">
    <w:abstractNumId w:val="8"/>
  </w:num>
  <w:num w:numId="10" w16cid:durableId="1623684302">
    <w:abstractNumId w:val="3"/>
  </w:num>
  <w:num w:numId="11" w16cid:durableId="1418209218">
    <w:abstractNumId w:val="2"/>
  </w:num>
  <w:num w:numId="12" w16cid:durableId="2062092953">
    <w:abstractNumId w:val="1"/>
  </w:num>
  <w:num w:numId="13" w16cid:durableId="867720092">
    <w:abstractNumId w:val="0"/>
  </w:num>
  <w:num w:numId="14" w16cid:durableId="795028050">
    <w:abstractNumId w:val="9"/>
  </w:num>
  <w:num w:numId="15" w16cid:durableId="1422146086">
    <w:abstractNumId w:val="7"/>
  </w:num>
  <w:num w:numId="16" w16cid:durableId="2003971198">
    <w:abstractNumId w:val="6"/>
  </w:num>
  <w:num w:numId="17" w16cid:durableId="231430340">
    <w:abstractNumId w:val="5"/>
  </w:num>
  <w:num w:numId="18" w16cid:durableId="314187786">
    <w:abstractNumId w:val="4"/>
  </w:num>
  <w:num w:numId="19" w16cid:durableId="12613741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4921368">
    <w:abstractNumId w:val="10"/>
  </w:num>
  <w:num w:numId="21" w16cid:durableId="1431966460">
    <w:abstractNumId w:val="13"/>
  </w:num>
  <w:num w:numId="22" w16cid:durableId="184756015">
    <w:abstractNumId w:val="12"/>
  </w:num>
  <w:num w:numId="23" w16cid:durableId="1793743076">
    <w:abstractNumId w:val="15"/>
  </w:num>
  <w:num w:numId="24" w16cid:durableId="21093523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33509719-CD2F-4B79-8ED9-F88FE7888905},{28D2BDE6-F3AE-4FE2-B29B-B875E9FC0803}"/>
  </w:docVars>
  <w:rsids>
    <w:rsidRoot w:val="00856EF0"/>
    <w:rsid w:val="00856EF0"/>
    <w:rsid w:val="00B77D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BBD89EF-F94A-4D13-90C1-C295834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7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4709</Characters>
  <Application>Microsoft Office Word</Application>
  <DocSecurity>4</DocSecurity>
  <Lines>84</Lines>
  <Paragraphs>17</Paragraphs>
  <ScaleCrop>false</ScaleCrop>
  <HeadingPairs>
    <vt:vector size="2" baseType="variant">
      <vt:variant>
        <vt:lpstr>Rubrik</vt:lpstr>
      </vt:variant>
      <vt:variant>
        <vt:i4>1</vt:i4>
      </vt:variant>
    </vt:vector>
  </HeadingPairs>
  <TitlesOfParts>
    <vt:vector size="1" baseType="lpstr">
      <vt:lpstr>c536</vt:lpstr>
    </vt:vector>
  </TitlesOfParts>
  <Company>Riksdagen</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c536</dc:title>
  <dc:subject>c536</dc:subject>
  <dc:creator>Riksdagen</dc:creator>
  <cp:keywords>Riksdagen</cp:keywords>
  <dc:description>Nya formatmallshantering för förslag+urix bakåtkomp+könamn</dc:description>
  <cp:lastModifiedBy>Lars Brink</cp:lastModifiedBy>
  <cp:revision>2</cp:revision>
  <cp:lastPrinted>2009-11-11T11:35:00Z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Reformering av ROT-avdraget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Reformering av ROT-avdraget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Per Åsling (c)</vt:lpwstr>
  </property>
  <property fmtid="{D5CDD505-2E9C-101B-9397-08002B2CF9AE}" pid="26" name="MotionarLista">
    <vt:lpwstr>Åkesson, Anders (c)\Åsling,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20092010000000000099000005360069</vt:lpwstr>
  </property>
  <property fmtid="{D5CDD505-2E9C-101B-9397-08002B2CF9AE}" pid="47" name="datum">
    <vt:lpwstr>091002</vt:lpwstr>
  </property>
  <property fmtid="{D5CDD505-2E9C-101B-9397-08002B2CF9AE}" pid="48" name="avsändar-e-post">
    <vt:lpwstr>elisabeth.borelius@riksdagen.se</vt:lpwstr>
  </property>
  <property fmtid="{D5CDD505-2E9C-101B-9397-08002B2CF9AE}" pid="49" name="id">
    <vt:lpwstr>20092010000000000099000005360069</vt:lpwstr>
  </property>
  <property fmtid="{D5CDD505-2E9C-101B-9397-08002B2CF9AE}" pid="50" name="nummer">
    <vt:lpwstr>406</vt:lpwstr>
  </property>
  <property fmtid="{D5CDD505-2E9C-101B-9397-08002B2CF9AE}" pid="51" name="utskottsbeteckning">
    <vt:lpwstr>Sk</vt:lpwstr>
  </property>
  <property fmtid="{D5CDD505-2E9C-101B-9397-08002B2CF9AE}" pid="52" name="GlobalUID">
    <vt:lpwstr>{D0FE3FE2-150E-4341-B631-C32FB7AF0B1A}</vt:lpwstr>
  </property>
  <property fmtid="{D5CDD505-2E9C-101B-9397-08002B2CF9AE}" pid="53" name="Överföringar">
    <vt:i4>0</vt:i4>
  </property>
  <property fmtid="{D5CDD505-2E9C-101B-9397-08002B2CF9AE}" pid="54" name="Checksum">
    <vt:lpwstr>*0020489936928*</vt:lpwstr>
  </property>
  <property fmtid="{D5CDD505-2E9C-101B-9397-08002B2CF9AE}" pid="55" name="skuggnummer">
    <vt:lpwstr>2007</vt:lpwstr>
  </property>
  <property fmtid="{D5CDD505-2E9C-101B-9397-08002B2CF9AE}" pid="56" name="urixVersion">
    <vt:lpwstr>4.0.0.9</vt:lpwstr>
  </property>
  <property fmtid="{D5CDD505-2E9C-101B-9397-08002B2CF9AE}" pid="57" name="urixOrigin">
    <vt:lpwstr>091111 12:37:24.553</vt:lpwstr>
  </property>
  <property fmtid="{D5CDD505-2E9C-101B-9397-08002B2CF9AE}" pid="58" name="urixGuid">
    <vt:lpwstr>{C9723E91-783D-4A38-9042-CCDB5AEE900B}</vt:lpwstr>
  </property>
</Properties>
</file>