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BCF" w:rsidRPr="00B34BCF" w:rsidRDefault="00B34BCF">
      <w:pPr>
        <w:pStyle w:val="RubrikInnehllsf"/>
        <w:shd w:val="clear" w:color="000000" w:fill="auto"/>
      </w:pPr>
      <w:bookmarkStart w:id="0" w:name="_Toc206923767"/>
      <w:bookmarkStart w:id="1" w:name="_Toc208848279"/>
      <w:bookmarkStart w:id="2" w:name="_Toc208848318"/>
      <w:r w:rsidRPr="00B34BCF">
        <w:t>Innehållsförteckning</w:t>
      </w:r>
    </w:p>
    <w:p w:rsidR="00B34BCF" w:rsidRPr="00B34BCF" w:rsidRDefault="00B34BCF">
      <w:pPr>
        <w:pStyle w:val="Innehll1"/>
        <w:shd w:val="clear" w:color="000000" w:fill="auto"/>
        <w:rPr>
          <w:sz w:val="24"/>
          <w:szCs w:val="24"/>
        </w:rPr>
      </w:pPr>
      <w:r w:rsidRPr="00B34BCF">
        <w:fldChar w:fldCharType="begin" w:fldLock="1"/>
      </w:r>
      <w:r w:rsidRPr="00B34BCF">
        <w:instrText xml:space="preserve"> TOC \o "2-3" \t "Rubrik 1;1;Hemstl_rubrik;1;RubrikSammanf;1" </w:instrText>
      </w:r>
      <w:r w:rsidRPr="00B34BCF">
        <w:fldChar w:fldCharType="separate"/>
      </w:r>
      <w:r w:rsidRPr="00B34BCF">
        <w:t>2</w:t>
      </w:r>
      <w:r w:rsidRPr="00B34BCF">
        <w:rPr>
          <w:sz w:val="24"/>
          <w:szCs w:val="24"/>
        </w:rPr>
        <w:tab/>
      </w:r>
      <w:r w:rsidRPr="00B34BCF">
        <w:t>Förslag till riksdagsbeslut</w:t>
      </w:r>
      <w:r w:rsidRPr="00B34BCF">
        <w:tab/>
      </w:r>
      <w:r w:rsidRPr="00B34BCF">
        <w:fldChar w:fldCharType="begin" w:fldLock="1"/>
      </w:r>
      <w:r w:rsidRPr="00B34BCF">
        <w:instrText xml:space="preserve"> PAGEREF _Toc214362381 \h </w:instrText>
      </w:r>
      <w:r w:rsidRPr="00B34BCF">
        <w:fldChar w:fldCharType="separate"/>
      </w:r>
      <w:r w:rsidRPr="00B34BCF">
        <w:t>3</w:t>
      </w:r>
      <w:r w:rsidRPr="00B34BCF">
        <w:fldChar w:fldCharType="end"/>
      </w:r>
    </w:p>
    <w:p w:rsidR="00B34BCF" w:rsidRPr="00B34BCF" w:rsidRDefault="00B34BCF">
      <w:pPr>
        <w:pStyle w:val="Innehll1"/>
        <w:shd w:val="clear" w:color="000000" w:fill="auto"/>
        <w:rPr>
          <w:sz w:val="24"/>
          <w:szCs w:val="24"/>
        </w:rPr>
      </w:pPr>
      <w:r w:rsidRPr="00B34BCF">
        <w:t>3</w:t>
      </w:r>
      <w:r w:rsidRPr="00B34BCF">
        <w:rPr>
          <w:sz w:val="24"/>
          <w:szCs w:val="24"/>
        </w:rPr>
        <w:tab/>
      </w:r>
      <w:r w:rsidRPr="00B34BCF">
        <w:t>Inledning</w:t>
      </w:r>
      <w:r w:rsidRPr="00B34BCF">
        <w:tab/>
      </w:r>
      <w:r w:rsidRPr="00B34BCF">
        <w:fldChar w:fldCharType="begin" w:fldLock="1"/>
      </w:r>
      <w:r w:rsidRPr="00B34BCF">
        <w:instrText xml:space="preserve"> PAGEREF _Toc214362382 \h </w:instrText>
      </w:r>
      <w:r w:rsidRPr="00B34BCF">
        <w:fldChar w:fldCharType="separate"/>
      </w:r>
      <w:r w:rsidRPr="00B34BCF">
        <w:t>7</w:t>
      </w:r>
      <w:r w:rsidRPr="00B34BCF">
        <w:fldChar w:fldCharType="end"/>
      </w:r>
    </w:p>
    <w:p w:rsidR="00B34BCF" w:rsidRPr="00B34BCF" w:rsidRDefault="00B34BCF">
      <w:pPr>
        <w:pStyle w:val="Innehll1"/>
        <w:shd w:val="clear" w:color="000000" w:fill="auto"/>
        <w:rPr>
          <w:sz w:val="24"/>
          <w:szCs w:val="24"/>
        </w:rPr>
      </w:pPr>
      <w:r w:rsidRPr="00B34BCF">
        <w:t>4</w:t>
      </w:r>
      <w:r w:rsidRPr="00B34BCF">
        <w:rPr>
          <w:sz w:val="24"/>
          <w:szCs w:val="24"/>
        </w:rPr>
        <w:tab/>
      </w:r>
      <w:r w:rsidRPr="00B34BCF">
        <w:t>Varför drivs människor på flykt?</w:t>
      </w:r>
      <w:r w:rsidRPr="00B34BCF">
        <w:tab/>
      </w:r>
      <w:r w:rsidRPr="00B34BCF">
        <w:fldChar w:fldCharType="begin" w:fldLock="1"/>
      </w:r>
      <w:r w:rsidRPr="00B34BCF">
        <w:instrText xml:space="preserve"> PAGEREF _Toc214362383 \h </w:instrText>
      </w:r>
      <w:r w:rsidRPr="00B34BCF">
        <w:fldChar w:fldCharType="separate"/>
      </w:r>
      <w:r w:rsidRPr="00B34BCF">
        <w:t>7</w:t>
      </w:r>
      <w:r w:rsidRPr="00B34BCF">
        <w:fldChar w:fldCharType="end"/>
      </w:r>
    </w:p>
    <w:p w:rsidR="00B34BCF" w:rsidRPr="00B34BCF" w:rsidRDefault="00B34BCF">
      <w:pPr>
        <w:pStyle w:val="Innehll2"/>
        <w:shd w:val="clear" w:color="000000" w:fill="auto"/>
        <w:rPr>
          <w:sz w:val="24"/>
          <w:szCs w:val="24"/>
        </w:rPr>
      </w:pPr>
      <w:r w:rsidRPr="00B34BCF">
        <w:t>4.1</w:t>
      </w:r>
      <w:r w:rsidRPr="00B34BCF">
        <w:rPr>
          <w:sz w:val="24"/>
          <w:szCs w:val="24"/>
        </w:rPr>
        <w:tab/>
      </w:r>
      <w:r w:rsidRPr="00B34BCF">
        <w:t>Vapenexport</w:t>
      </w:r>
      <w:r w:rsidRPr="00B34BCF">
        <w:tab/>
      </w:r>
      <w:r w:rsidRPr="00B34BCF">
        <w:fldChar w:fldCharType="begin" w:fldLock="1"/>
      </w:r>
      <w:r w:rsidRPr="00B34BCF">
        <w:instrText xml:space="preserve"> PAGEREF _Toc214362384 \h </w:instrText>
      </w:r>
      <w:r w:rsidRPr="00B34BCF">
        <w:fldChar w:fldCharType="separate"/>
      </w:r>
      <w:r w:rsidRPr="00B34BCF">
        <w:t>7</w:t>
      </w:r>
      <w:r w:rsidRPr="00B34BCF">
        <w:fldChar w:fldCharType="end"/>
      </w:r>
    </w:p>
    <w:p w:rsidR="00B34BCF" w:rsidRPr="00B34BCF" w:rsidRDefault="00B34BCF">
      <w:pPr>
        <w:pStyle w:val="Innehll2"/>
        <w:shd w:val="clear" w:color="000000" w:fill="auto"/>
        <w:rPr>
          <w:sz w:val="24"/>
          <w:szCs w:val="24"/>
        </w:rPr>
      </w:pPr>
      <w:r w:rsidRPr="00B34BCF">
        <w:t>4.2</w:t>
      </w:r>
      <w:r w:rsidRPr="00B34BCF">
        <w:rPr>
          <w:sz w:val="24"/>
          <w:szCs w:val="24"/>
        </w:rPr>
        <w:tab/>
      </w:r>
      <w:r w:rsidRPr="00B34BCF">
        <w:t>Konkurrens om råvaror</w:t>
      </w:r>
      <w:r w:rsidRPr="00B34BCF">
        <w:tab/>
      </w:r>
      <w:r w:rsidRPr="00B34BCF">
        <w:fldChar w:fldCharType="begin" w:fldLock="1"/>
      </w:r>
      <w:r w:rsidRPr="00B34BCF">
        <w:instrText xml:space="preserve"> PAGEREF _Toc214362385 \h </w:instrText>
      </w:r>
      <w:r w:rsidRPr="00B34BCF">
        <w:fldChar w:fldCharType="separate"/>
      </w:r>
      <w:r w:rsidRPr="00B34BCF">
        <w:t>9</w:t>
      </w:r>
      <w:r w:rsidRPr="00B34BCF">
        <w:fldChar w:fldCharType="end"/>
      </w:r>
    </w:p>
    <w:p w:rsidR="00B34BCF" w:rsidRPr="00B34BCF" w:rsidRDefault="00B34BCF">
      <w:pPr>
        <w:pStyle w:val="Innehll2"/>
        <w:shd w:val="clear" w:color="000000" w:fill="auto"/>
        <w:rPr>
          <w:sz w:val="24"/>
          <w:szCs w:val="24"/>
        </w:rPr>
      </w:pPr>
      <w:r w:rsidRPr="00B34BCF">
        <w:t>4.3</w:t>
      </w:r>
      <w:r w:rsidRPr="00B34BCF">
        <w:rPr>
          <w:sz w:val="24"/>
          <w:szCs w:val="24"/>
        </w:rPr>
        <w:tab/>
      </w:r>
      <w:r w:rsidRPr="00B34BCF">
        <w:t>Etniska konflikter och inhemskt förtryck</w:t>
      </w:r>
      <w:r w:rsidRPr="00B34BCF">
        <w:tab/>
      </w:r>
      <w:r w:rsidRPr="00B34BCF">
        <w:fldChar w:fldCharType="begin" w:fldLock="1"/>
      </w:r>
      <w:r w:rsidRPr="00B34BCF">
        <w:instrText xml:space="preserve"> PAGEREF _Toc214362386 \h </w:instrText>
      </w:r>
      <w:r w:rsidRPr="00B34BCF">
        <w:fldChar w:fldCharType="separate"/>
      </w:r>
      <w:r w:rsidRPr="00B34BCF">
        <w:t>9</w:t>
      </w:r>
      <w:r w:rsidRPr="00B34BCF">
        <w:fldChar w:fldCharType="end"/>
      </w:r>
    </w:p>
    <w:p w:rsidR="00B34BCF" w:rsidRPr="00B34BCF" w:rsidRDefault="00B34BCF">
      <w:pPr>
        <w:pStyle w:val="Innehll2"/>
        <w:shd w:val="clear" w:color="000000" w:fill="auto"/>
        <w:rPr>
          <w:sz w:val="24"/>
          <w:szCs w:val="24"/>
        </w:rPr>
      </w:pPr>
      <w:r w:rsidRPr="00B34BCF">
        <w:t>4.4</w:t>
      </w:r>
      <w:r w:rsidRPr="00B34BCF">
        <w:rPr>
          <w:sz w:val="24"/>
          <w:szCs w:val="24"/>
        </w:rPr>
        <w:tab/>
      </w:r>
      <w:r w:rsidRPr="00B34BCF">
        <w:t>Riktiga flyktingar?</w:t>
      </w:r>
      <w:r w:rsidRPr="00B34BCF">
        <w:tab/>
      </w:r>
      <w:r w:rsidRPr="00B34BCF">
        <w:fldChar w:fldCharType="begin" w:fldLock="1"/>
      </w:r>
      <w:r w:rsidRPr="00B34BCF">
        <w:instrText xml:space="preserve"> PAGEREF _Toc214362387 \h </w:instrText>
      </w:r>
      <w:r w:rsidRPr="00B34BCF">
        <w:fldChar w:fldCharType="separate"/>
      </w:r>
      <w:r w:rsidRPr="00B34BCF">
        <w:t>10</w:t>
      </w:r>
      <w:r w:rsidRPr="00B34BCF">
        <w:fldChar w:fldCharType="end"/>
      </w:r>
    </w:p>
    <w:p w:rsidR="00B34BCF" w:rsidRPr="00B34BCF" w:rsidRDefault="00B34BCF">
      <w:pPr>
        <w:pStyle w:val="Innehll1"/>
        <w:shd w:val="clear" w:color="000000" w:fill="auto"/>
        <w:rPr>
          <w:sz w:val="24"/>
          <w:szCs w:val="24"/>
        </w:rPr>
      </w:pPr>
      <w:r w:rsidRPr="00B34BCF">
        <w:t>5</w:t>
      </w:r>
      <w:r w:rsidRPr="00B34BCF">
        <w:rPr>
          <w:sz w:val="24"/>
          <w:szCs w:val="24"/>
        </w:rPr>
        <w:tab/>
      </w:r>
      <w:r w:rsidRPr="00B34BCF">
        <w:t>Sveriges medlemskap i IOM</w:t>
      </w:r>
      <w:r w:rsidRPr="00B34BCF">
        <w:tab/>
      </w:r>
      <w:r w:rsidRPr="00B34BCF">
        <w:fldChar w:fldCharType="begin" w:fldLock="1"/>
      </w:r>
      <w:r w:rsidRPr="00B34BCF">
        <w:instrText xml:space="preserve"> PAGEREF _Toc214362388 \h </w:instrText>
      </w:r>
      <w:r w:rsidRPr="00B34BCF">
        <w:fldChar w:fldCharType="separate"/>
      </w:r>
      <w:r w:rsidRPr="00B34BCF">
        <w:t>10</w:t>
      </w:r>
      <w:r w:rsidRPr="00B34BCF">
        <w:fldChar w:fldCharType="end"/>
      </w:r>
    </w:p>
    <w:p w:rsidR="00B34BCF" w:rsidRPr="00B34BCF" w:rsidRDefault="00B34BCF">
      <w:pPr>
        <w:pStyle w:val="Innehll1"/>
        <w:shd w:val="clear" w:color="000000" w:fill="auto"/>
        <w:rPr>
          <w:sz w:val="24"/>
          <w:szCs w:val="24"/>
        </w:rPr>
      </w:pPr>
      <w:r w:rsidRPr="00B34BCF">
        <w:t>6</w:t>
      </w:r>
      <w:r w:rsidRPr="00B34BCF">
        <w:rPr>
          <w:sz w:val="24"/>
          <w:szCs w:val="24"/>
        </w:rPr>
        <w:tab/>
      </w:r>
      <w:r w:rsidRPr="00B34BCF">
        <w:t>FN:s flyktingkommissariats finansiering och mandat</w:t>
      </w:r>
      <w:r w:rsidRPr="00B34BCF">
        <w:tab/>
      </w:r>
      <w:r w:rsidRPr="00B34BCF">
        <w:fldChar w:fldCharType="begin" w:fldLock="1"/>
      </w:r>
      <w:r w:rsidRPr="00B34BCF">
        <w:instrText xml:space="preserve"> PAGEREF _Toc214362389 \h </w:instrText>
      </w:r>
      <w:r w:rsidRPr="00B34BCF">
        <w:fldChar w:fldCharType="separate"/>
      </w:r>
      <w:r w:rsidRPr="00B34BCF">
        <w:t>11</w:t>
      </w:r>
      <w:r w:rsidRPr="00B34BCF">
        <w:fldChar w:fldCharType="end"/>
      </w:r>
    </w:p>
    <w:p w:rsidR="00B34BCF" w:rsidRPr="00B34BCF" w:rsidRDefault="00B34BCF">
      <w:pPr>
        <w:pStyle w:val="Innehll1"/>
        <w:shd w:val="clear" w:color="000000" w:fill="auto"/>
        <w:rPr>
          <w:sz w:val="24"/>
          <w:szCs w:val="24"/>
        </w:rPr>
      </w:pPr>
      <w:r w:rsidRPr="00B34BCF">
        <w:t>7</w:t>
      </w:r>
      <w:r w:rsidRPr="00B34BCF">
        <w:rPr>
          <w:sz w:val="24"/>
          <w:szCs w:val="24"/>
        </w:rPr>
        <w:tab/>
      </w:r>
      <w:r w:rsidRPr="00B34BCF">
        <w:t>Utvecklingen i Europeiska unionen</w:t>
      </w:r>
      <w:r w:rsidRPr="00B34BCF">
        <w:tab/>
      </w:r>
      <w:r w:rsidRPr="00B34BCF">
        <w:fldChar w:fldCharType="begin" w:fldLock="1"/>
      </w:r>
      <w:r w:rsidRPr="00B34BCF">
        <w:instrText xml:space="preserve"> PAGEREF _Toc214362390 \h </w:instrText>
      </w:r>
      <w:r w:rsidRPr="00B34BCF">
        <w:fldChar w:fldCharType="separate"/>
      </w:r>
      <w:r w:rsidRPr="00B34BCF">
        <w:t>11</w:t>
      </w:r>
      <w:r w:rsidRPr="00B34BCF">
        <w:fldChar w:fldCharType="end"/>
      </w:r>
    </w:p>
    <w:p w:rsidR="00B34BCF" w:rsidRPr="00B34BCF" w:rsidRDefault="00B34BCF">
      <w:pPr>
        <w:pStyle w:val="Innehll2"/>
        <w:shd w:val="clear" w:color="000000" w:fill="auto"/>
        <w:rPr>
          <w:sz w:val="24"/>
          <w:szCs w:val="24"/>
        </w:rPr>
      </w:pPr>
      <w:r w:rsidRPr="00B34BCF">
        <w:t>7.1</w:t>
      </w:r>
      <w:r w:rsidRPr="00B34BCF">
        <w:rPr>
          <w:sz w:val="24"/>
          <w:szCs w:val="24"/>
        </w:rPr>
        <w:tab/>
      </w:r>
      <w:r w:rsidRPr="00B34BCF">
        <w:t>Militariseringen av kontrollen av EU:s yttre gränser</w:t>
      </w:r>
      <w:r w:rsidRPr="00B34BCF">
        <w:tab/>
      </w:r>
      <w:r w:rsidRPr="00B34BCF">
        <w:fldChar w:fldCharType="begin" w:fldLock="1"/>
      </w:r>
      <w:r w:rsidRPr="00B34BCF">
        <w:instrText xml:space="preserve"> PAGEREF _Toc214362391 \h </w:instrText>
      </w:r>
      <w:r w:rsidRPr="00B34BCF">
        <w:fldChar w:fldCharType="separate"/>
      </w:r>
      <w:r w:rsidRPr="00B34BCF">
        <w:t>12</w:t>
      </w:r>
      <w:r w:rsidRPr="00B34BCF">
        <w:fldChar w:fldCharType="end"/>
      </w:r>
    </w:p>
    <w:p w:rsidR="00B34BCF" w:rsidRPr="00B34BCF" w:rsidRDefault="00B34BCF">
      <w:pPr>
        <w:pStyle w:val="Innehll2"/>
        <w:shd w:val="clear" w:color="000000" w:fill="auto"/>
        <w:rPr>
          <w:sz w:val="24"/>
          <w:szCs w:val="24"/>
        </w:rPr>
      </w:pPr>
      <w:r w:rsidRPr="00B34BCF">
        <w:t>7.2</w:t>
      </w:r>
      <w:r w:rsidRPr="00B34BCF">
        <w:rPr>
          <w:sz w:val="24"/>
          <w:szCs w:val="24"/>
        </w:rPr>
        <w:tab/>
      </w:r>
      <w:r w:rsidRPr="00B34BCF">
        <w:t>Transportörsansvaret</w:t>
      </w:r>
      <w:r w:rsidRPr="00B34BCF">
        <w:tab/>
      </w:r>
      <w:r w:rsidRPr="00B34BCF">
        <w:fldChar w:fldCharType="begin" w:fldLock="1"/>
      </w:r>
      <w:r w:rsidRPr="00B34BCF">
        <w:instrText xml:space="preserve"> PAGEREF _Toc214362392 \h </w:instrText>
      </w:r>
      <w:r w:rsidRPr="00B34BCF">
        <w:fldChar w:fldCharType="separate"/>
      </w:r>
      <w:r w:rsidRPr="00B34BCF">
        <w:t>15</w:t>
      </w:r>
      <w:r w:rsidRPr="00B34BCF">
        <w:fldChar w:fldCharType="end"/>
      </w:r>
    </w:p>
    <w:p w:rsidR="00B34BCF" w:rsidRPr="00B34BCF" w:rsidRDefault="00B34BCF">
      <w:pPr>
        <w:pStyle w:val="Innehll2"/>
        <w:shd w:val="clear" w:color="000000" w:fill="auto"/>
        <w:rPr>
          <w:sz w:val="24"/>
          <w:szCs w:val="24"/>
        </w:rPr>
      </w:pPr>
      <w:r w:rsidRPr="00B34BCF">
        <w:t>7.3</w:t>
      </w:r>
      <w:r w:rsidRPr="00B34BCF">
        <w:rPr>
          <w:sz w:val="24"/>
          <w:szCs w:val="24"/>
        </w:rPr>
        <w:tab/>
      </w:r>
      <w:r w:rsidRPr="00B34BCF">
        <w:t>Handlingsprogram för att bekämpa illegal invandring och utlokalisering av EU:s gränser utanför Europa</w:t>
      </w:r>
      <w:r w:rsidRPr="00B34BCF">
        <w:tab/>
      </w:r>
      <w:r w:rsidRPr="00B34BCF">
        <w:fldChar w:fldCharType="begin" w:fldLock="1"/>
      </w:r>
      <w:r w:rsidRPr="00B34BCF">
        <w:instrText xml:space="preserve"> PAGEREF _Toc214362393 \h </w:instrText>
      </w:r>
      <w:r w:rsidRPr="00B34BCF">
        <w:fldChar w:fldCharType="separate"/>
      </w:r>
      <w:r w:rsidRPr="00B34BCF">
        <w:t>16</w:t>
      </w:r>
      <w:r w:rsidRPr="00B34BCF">
        <w:fldChar w:fldCharType="end"/>
      </w:r>
    </w:p>
    <w:p w:rsidR="00B34BCF" w:rsidRPr="00B34BCF" w:rsidRDefault="00B34BCF">
      <w:pPr>
        <w:pStyle w:val="Innehll2"/>
        <w:shd w:val="clear" w:color="000000" w:fill="auto"/>
        <w:rPr>
          <w:sz w:val="24"/>
          <w:szCs w:val="24"/>
        </w:rPr>
      </w:pPr>
      <w:r w:rsidRPr="00B34BCF">
        <w:t>7.4</w:t>
      </w:r>
      <w:r w:rsidRPr="00B34BCF">
        <w:rPr>
          <w:sz w:val="24"/>
          <w:szCs w:val="24"/>
        </w:rPr>
        <w:tab/>
      </w:r>
      <w:r w:rsidRPr="00B34BCF">
        <w:t>Dublinförordningen</w:t>
      </w:r>
      <w:r w:rsidRPr="00B34BCF">
        <w:tab/>
      </w:r>
      <w:r w:rsidRPr="00B34BCF">
        <w:fldChar w:fldCharType="begin" w:fldLock="1"/>
      </w:r>
      <w:r w:rsidRPr="00B34BCF">
        <w:instrText xml:space="preserve"> PAGEREF _Toc214362394 \h </w:instrText>
      </w:r>
      <w:r w:rsidRPr="00B34BCF">
        <w:fldChar w:fldCharType="separate"/>
      </w:r>
      <w:r w:rsidRPr="00B34BCF">
        <w:t>17</w:t>
      </w:r>
      <w:r w:rsidRPr="00B34BCF">
        <w:fldChar w:fldCharType="end"/>
      </w:r>
    </w:p>
    <w:p w:rsidR="00B34BCF" w:rsidRPr="00B34BCF" w:rsidRDefault="00B34BCF">
      <w:pPr>
        <w:pStyle w:val="Innehll2"/>
        <w:shd w:val="clear" w:color="000000" w:fill="auto"/>
        <w:rPr>
          <w:sz w:val="24"/>
          <w:szCs w:val="24"/>
        </w:rPr>
      </w:pPr>
      <w:r w:rsidRPr="00B34BCF">
        <w:t>7.5</w:t>
      </w:r>
      <w:r w:rsidRPr="00B34BCF">
        <w:rPr>
          <w:sz w:val="24"/>
          <w:szCs w:val="24"/>
        </w:rPr>
        <w:tab/>
      </w:r>
      <w:r w:rsidRPr="00B34BCF">
        <w:t>Skyddsgrundsdirektivet</w:t>
      </w:r>
      <w:r w:rsidRPr="00B34BCF">
        <w:tab/>
      </w:r>
      <w:r w:rsidRPr="00B34BCF">
        <w:fldChar w:fldCharType="begin" w:fldLock="1"/>
      </w:r>
      <w:r w:rsidRPr="00B34BCF">
        <w:instrText xml:space="preserve"> PAGEREF _Toc214362395 \h </w:instrText>
      </w:r>
      <w:r w:rsidRPr="00B34BCF">
        <w:fldChar w:fldCharType="separate"/>
      </w:r>
      <w:r w:rsidRPr="00B34BCF">
        <w:t>18</w:t>
      </w:r>
      <w:r w:rsidRPr="00B34BCF">
        <w:fldChar w:fldCharType="end"/>
      </w:r>
    </w:p>
    <w:p w:rsidR="00B34BCF" w:rsidRPr="00B34BCF" w:rsidRDefault="00B34BCF">
      <w:pPr>
        <w:pStyle w:val="Innehll2"/>
        <w:shd w:val="clear" w:color="000000" w:fill="auto"/>
        <w:rPr>
          <w:sz w:val="24"/>
          <w:szCs w:val="24"/>
        </w:rPr>
      </w:pPr>
      <w:r w:rsidRPr="00B34BCF">
        <w:t>7.6</w:t>
      </w:r>
      <w:r w:rsidRPr="00B34BCF">
        <w:rPr>
          <w:sz w:val="24"/>
          <w:szCs w:val="24"/>
        </w:rPr>
        <w:tab/>
      </w:r>
      <w:r w:rsidRPr="00B34BCF">
        <w:t>Asylprocedurdirektivet</w:t>
      </w:r>
      <w:r w:rsidRPr="00B34BCF">
        <w:tab/>
      </w:r>
      <w:r w:rsidRPr="00B34BCF">
        <w:fldChar w:fldCharType="begin" w:fldLock="1"/>
      </w:r>
      <w:r w:rsidRPr="00B34BCF">
        <w:instrText xml:space="preserve"> PAGEREF _Toc214362396 \h </w:instrText>
      </w:r>
      <w:r w:rsidRPr="00B34BCF">
        <w:fldChar w:fldCharType="separate"/>
      </w:r>
      <w:r w:rsidRPr="00B34BCF">
        <w:t>18</w:t>
      </w:r>
      <w:r w:rsidRPr="00B34BCF">
        <w:fldChar w:fldCharType="end"/>
      </w:r>
    </w:p>
    <w:p w:rsidR="00B34BCF" w:rsidRPr="00B34BCF" w:rsidRDefault="00B34BCF">
      <w:pPr>
        <w:pStyle w:val="Innehll2"/>
        <w:shd w:val="clear" w:color="000000" w:fill="auto"/>
        <w:rPr>
          <w:sz w:val="24"/>
          <w:szCs w:val="24"/>
        </w:rPr>
      </w:pPr>
      <w:r w:rsidRPr="00B34BCF">
        <w:t>7.7</w:t>
      </w:r>
      <w:r w:rsidRPr="00B34BCF">
        <w:rPr>
          <w:sz w:val="24"/>
          <w:szCs w:val="24"/>
        </w:rPr>
        <w:tab/>
      </w:r>
      <w:r w:rsidRPr="00B34BCF">
        <w:t>Återvändandedirektivet</w:t>
      </w:r>
      <w:r w:rsidRPr="00B34BCF">
        <w:tab/>
      </w:r>
      <w:r w:rsidRPr="00B34BCF">
        <w:fldChar w:fldCharType="begin" w:fldLock="1"/>
      </w:r>
      <w:r w:rsidRPr="00B34BCF">
        <w:instrText xml:space="preserve"> PAGEREF _Toc214362397 \h </w:instrText>
      </w:r>
      <w:r w:rsidRPr="00B34BCF">
        <w:fldChar w:fldCharType="separate"/>
      </w:r>
      <w:r w:rsidRPr="00B34BCF">
        <w:t>19</w:t>
      </w:r>
      <w:r w:rsidRPr="00B34BCF">
        <w:fldChar w:fldCharType="end"/>
      </w:r>
    </w:p>
    <w:p w:rsidR="00B34BCF" w:rsidRPr="00B34BCF" w:rsidRDefault="00B34BCF">
      <w:pPr>
        <w:pStyle w:val="Innehll1"/>
        <w:shd w:val="clear" w:color="000000" w:fill="auto"/>
        <w:rPr>
          <w:sz w:val="24"/>
          <w:szCs w:val="24"/>
        </w:rPr>
      </w:pPr>
      <w:r w:rsidRPr="00B34BCF">
        <w:t>8</w:t>
      </w:r>
      <w:r w:rsidRPr="00B34BCF">
        <w:rPr>
          <w:sz w:val="24"/>
          <w:szCs w:val="24"/>
        </w:rPr>
        <w:tab/>
      </w:r>
      <w:r w:rsidRPr="00B34BCF">
        <w:t>Den svenska utlänningslagstiftningen</w:t>
      </w:r>
      <w:r w:rsidRPr="00B34BCF">
        <w:tab/>
      </w:r>
      <w:r w:rsidRPr="00B34BCF">
        <w:fldChar w:fldCharType="begin" w:fldLock="1"/>
      </w:r>
      <w:r w:rsidRPr="00B34BCF">
        <w:instrText xml:space="preserve"> PAGEREF _Toc214362398 \h </w:instrText>
      </w:r>
      <w:r w:rsidRPr="00B34BCF">
        <w:fldChar w:fldCharType="separate"/>
      </w:r>
      <w:r w:rsidRPr="00B34BCF">
        <w:t>20</w:t>
      </w:r>
      <w:r w:rsidRPr="00B34BCF">
        <w:fldChar w:fldCharType="end"/>
      </w:r>
    </w:p>
    <w:p w:rsidR="00B34BCF" w:rsidRPr="00B34BCF" w:rsidRDefault="00B34BCF">
      <w:pPr>
        <w:pStyle w:val="Innehll2"/>
        <w:shd w:val="clear" w:color="000000" w:fill="auto"/>
        <w:rPr>
          <w:sz w:val="24"/>
          <w:szCs w:val="24"/>
        </w:rPr>
      </w:pPr>
      <w:r w:rsidRPr="00B34BCF">
        <w:t>8.1</w:t>
      </w:r>
      <w:r w:rsidRPr="00B34BCF">
        <w:rPr>
          <w:sz w:val="24"/>
          <w:szCs w:val="24"/>
        </w:rPr>
        <w:tab/>
      </w:r>
      <w:r w:rsidRPr="00B34BCF">
        <w:t>Anhöriginvandringen</w:t>
      </w:r>
      <w:r w:rsidRPr="00B34BCF">
        <w:tab/>
      </w:r>
      <w:r w:rsidRPr="00B34BCF">
        <w:fldChar w:fldCharType="begin" w:fldLock="1"/>
      </w:r>
      <w:r w:rsidRPr="00B34BCF">
        <w:instrText xml:space="preserve"> PAGEREF _Toc214362399 \h </w:instrText>
      </w:r>
      <w:r w:rsidRPr="00B34BCF">
        <w:fldChar w:fldCharType="separate"/>
      </w:r>
      <w:r w:rsidRPr="00B34BCF">
        <w:t>20</w:t>
      </w:r>
      <w:r w:rsidRPr="00B34BCF">
        <w:fldChar w:fldCharType="end"/>
      </w:r>
    </w:p>
    <w:p w:rsidR="00B34BCF" w:rsidRPr="00B34BCF" w:rsidRDefault="00B34BCF">
      <w:pPr>
        <w:pStyle w:val="Innehll2"/>
        <w:shd w:val="clear" w:color="000000" w:fill="auto"/>
        <w:rPr>
          <w:sz w:val="24"/>
          <w:szCs w:val="24"/>
        </w:rPr>
      </w:pPr>
      <w:r w:rsidRPr="00B34BCF">
        <w:t>8.2</w:t>
      </w:r>
      <w:r w:rsidRPr="00B34BCF">
        <w:rPr>
          <w:sz w:val="24"/>
          <w:szCs w:val="24"/>
        </w:rPr>
        <w:tab/>
      </w:r>
      <w:r w:rsidRPr="00B34BCF">
        <w:t>Uppehållstillstånd efter inresa</w:t>
      </w:r>
      <w:r w:rsidRPr="00B34BCF">
        <w:tab/>
      </w:r>
      <w:r w:rsidRPr="00B34BCF">
        <w:fldChar w:fldCharType="begin" w:fldLock="1"/>
      </w:r>
      <w:r w:rsidRPr="00B34BCF">
        <w:instrText xml:space="preserve"> PAGEREF _Toc214362400 \h </w:instrText>
      </w:r>
      <w:r w:rsidRPr="00B34BCF">
        <w:fldChar w:fldCharType="separate"/>
      </w:r>
      <w:r w:rsidRPr="00B34BCF">
        <w:t>21</w:t>
      </w:r>
      <w:r w:rsidRPr="00B34BCF">
        <w:fldChar w:fldCharType="end"/>
      </w:r>
    </w:p>
    <w:p w:rsidR="00B34BCF" w:rsidRPr="00B34BCF" w:rsidRDefault="00B34BCF">
      <w:pPr>
        <w:pStyle w:val="Innehll2"/>
        <w:shd w:val="clear" w:color="000000" w:fill="auto"/>
        <w:rPr>
          <w:sz w:val="24"/>
          <w:szCs w:val="24"/>
        </w:rPr>
      </w:pPr>
      <w:r w:rsidRPr="00B34BCF">
        <w:t>8.3</w:t>
      </w:r>
      <w:r w:rsidRPr="00B34BCF">
        <w:rPr>
          <w:sz w:val="24"/>
          <w:szCs w:val="24"/>
        </w:rPr>
        <w:tab/>
      </w:r>
      <w:r w:rsidRPr="00B34BCF">
        <w:t>Utländska kvinnors stryktålighet – en översyn av 2 kap. 4 § utlänningslagen</w:t>
      </w:r>
      <w:r w:rsidRPr="00B34BCF">
        <w:tab/>
      </w:r>
      <w:r w:rsidRPr="00B34BCF">
        <w:fldChar w:fldCharType="begin" w:fldLock="1"/>
      </w:r>
      <w:r w:rsidRPr="00B34BCF">
        <w:instrText xml:space="preserve"> PAGEREF _Toc214362401 \h </w:instrText>
      </w:r>
      <w:r w:rsidRPr="00B34BCF">
        <w:fldChar w:fldCharType="separate"/>
      </w:r>
      <w:r w:rsidRPr="00B34BCF">
        <w:t>21</w:t>
      </w:r>
      <w:r w:rsidRPr="00B34BCF">
        <w:fldChar w:fldCharType="end"/>
      </w:r>
    </w:p>
    <w:p w:rsidR="00B34BCF" w:rsidRPr="00B34BCF" w:rsidRDefault="00B34BCF">
      <w:pPr>
        <w:pStyle w:val="Innehll2"/>
        <w:shd w:val="clear" w:color="000000" w:fill="auto"/>
        <w:rPr>
          <w:sz w:val="24"/>
          <w:szCs w:val="24"/>
        </w:rPr>
      </w:pPr>
      <w:r w:rsidRPr="00B34BCF">
        <w:t>8.4</w:t>
      </w:r>
      <w:r w:rsidRPr="00B34BCF">
        <w:rPr>
          <w:sz w:val="24"/>
          <w:szCs w:val="24"/>
        </w:rPr>
        <w:tab/>
      </w:r>
      <w:r w:rsidRPr="00B34BCF">
        <w:t>Förföljelse på grund av kön eller sexuell läggning</w:t>
      </w:r>
      <w:r w:rsidRPr="00B34BCF">
        <w:tab/>
      </w:r>
      <w:r w:rsidRPr="00B34BCF">
        <w:fldChar w:fldCharType="begin" w:fldLock="1"/>
      </w:r>
      <w:r w:rsidRPr="00B34BCF">
        <w:instrText xml:space="preserve"> PAGEREF _Toc214362402 \h </w:instrText>
      </w:r>
      <w:r w:rsidRPr="00B34BCF">
        <w:fldChar w:fldCharType="separate"/>
      </w:r>
      <w:r w:rsidRPr="00B34BCF">
        <w:t>22</w:t>
      </w:r>
      <w:r w:rsidRPr="00B34BCF">
        <w:fldChar w:fldCharType="end"/>
      </w:r>
    </w:p>
    <w:p w:rsidR="00B34BCF" w:rsidRPr="00B34BCF" w:rsidRDefault="00B34BCF">
      <w:pPr>
        <w:pStyle w:val="Innehll2"/>
        <w:shd w:val="clear" w:color="000000" w:fill="auto"/>
        <w:rPr>
          <w:sz w:val="24"/>
          <w:szCs w:val="24"/>
        </w:rPr>
      </w:pPr>
      <w:r w:rsidRPr="00B34BCF">
        <w:t>8.5</w:t>
      </w:r>
      <w:r w:rsidRPr="00B34BCF">
        <w:rPr>
          <w:sz w:val="24"/>
          <w:szCs w:val="24"/>
        </w:rPr>
        <w:tab/>
      </w:r>
      <w:r w:rsidRPr="00B34BCF">
        <w:t>Konventionsflyktingar</w:t>
      </w:r>
      <w:r w:rsidRPr="00B34BCF">
        <w:tab/>
      </w:r>
      <w:r w:rsidRPr="00B34BCF">
        <w:fldChar w:fldCharType="begin" w:fldLock="1"/>
      </w:r>
      <w:r w:rsidRPr="00B34BCF">
        <w:instrText xml:space="preserve"> PAGEREF _Toc214362403 \h </w:instrText>
      </w:r>
      <w:r w:rsidRPr="00B34BCF">
        <w:fldChar w:fldCharType="separate"/>
      </w:r>
      <w:r w:rsidRPr="00B34BCF">
        <w:t>24</w:t>
      </w:r>
      <w:r w:rsidRPr="00B34BCF">
        <w:fldChar w:fldCharType="end"/>
      </w:r>
    </w:p>
    <w:p w:rsidR="00B34BCF" w:rsidRPr="00B34BCF" w:rsidRDefault="00B34BCF">
      <w:pPr>
        <w:pStyle w:val="Innehll2"/>
        <w:shd w:val="clear" w:color="000000" w:fill="auto"/>
        <w:rPr>
          <w:sz w:val="24"/>
          <w:szCs w:val="24"/>
        </w:rPr>
      </w:pPr>
      <w:r w:rsidRPr="00B34BCF">
        <w:t>8.6</w:t>
      </w:r>
      <w:r w:rsidRPr="00B34BCF">
        <w:rPr>
          <w:sz w:val="24"/>
          <w:szCs w:val="24"/>
        </w:rPr>
        <w:tab/>
      </w:r>
      <w:r w:rsidRPr="00B34BCF">
        <w:t>Skyddsbehövande i övrigt</w:t>
      </w:r>
      <w:r w:rsidRPr="00B34BCF">
        <w:tab/>
      </w:r>
      <w:r w:rsidRPr="00B34BCF">
        <w:fldChar w:fldCharType="begin" w:fldLock="1"/>
      </w:r>
      <w:r w:rsidRPr="00B34BCF">
        <w:instrText xml:space="preserve"> PAGEREF _Toc214362404 \h </w:instrText>
      </w:r>
      <w:r w:rsidRPr="00B34BCF">
        <w:fldChar w:fldCharType="separate"/>
      </w:r>
      <w:r w:rsidRPr="00B34BCF">
        <w:t>24</w:t>
      </w:r>
      <w:r w:rsidRPr="00B34BCF">
        <w:fldChar w:fldCharType="end"/>
      </w:r>
    </w:p>
    <w:p w:rsidR="00B34BCF" w:rsidRPr="00B34BCF" w:rsidRDefault="00B34BCF">
      <w:pPr>
        <w:pStyle w:val="Innehll2"/>
        <w:shd w:val="clear" w:color="000000" w:fill="auto"/>
        <w:rPr>
          <w:sz w:val="24"/>
          <w:szCs w:val="24"/>
        </w:rPr>
      </w:pPr>
      <w:r w:rsidRPr="00B34BCF">
        <w:t>8.7</w:t>
      </w:r>
      <w:r w:rsidRPr="00B34BCF">
        <w:rPr>
          <w:sz w:val="24"/>
          <w:szCs w:val="24"/>
        </w:rPr>
        <w:tab/>
      </w:r>
      <w:r w:rsidRPr="00B34BCF">
        <w:t>Barns asylskäl</w:t>
      </w:r>
      <w:r w:rsidRPr="00B34BCF">
        <w:tab/>
      </w:r>
      <w:r w:rsidRPr="00B34BCF">
        <w:fldChar w:fldCharType="begin" w:fldLock="1"/>
      </w:r>
      <w:r w:rsidRPr="00B34BCF">
        <w:instrText xml:space="preserve"> PAGEREF _Toc214362405 \h </w:instrText>
      </w:r>
      <w:r w:rsidRPr="00B34BCF">
        <w:fldChar w:fldCharType="separate"/>
      </w:r>
      <w:r w:rsidRPr="00B34BCF">
        <w:t>26</w:t>
      </w:r>
      <w:r w:rsidRPr="00B34BCF">
        <w:fldChar w:fldCharType="end"/>
      </w:r>
    </w:p>
    <w:p w:rsidR="00B34BCF" w:rsidRPr="00B34BCF" w:rsidRDefault="00B34BCF">
      <w:pPr>
        <w:pStyle w:val="Innehll2"/>
        <w:shd w:val="clear" w:color="000000" w:fill="auto"/>
        <w:rPr>
          <w:sz w:val="24"/>
          <w:szCs w:val="24"/>
        </w:rPr>
      </w:pPr>
      <w:r w:rsidRPr="00B34BCF">
        <w:t>8.8</w:t>
      </w:r>
      <w:r w:rsidRPr="00B34BCF">
        <w:rPr>
          <w:sz w:val="24"/>
          <w:szCs w:val="24"/>
        </w:rPr>
        <w:tab/>
      </w:r>
      <w:r w:rsidRPr="00B34BCF">
        <w:t>Synnerligen ömmande omständigheter</w:t>
      </w:r>
      <w:r w:rsidRPr="00B34BCF">
        <w:tab/>
      </w:r>
      <w:r w:rsidRPr="00B34BCF">
        <w:fldChar w:fldCharType="begin" w:fldLock="1"/>
      </w:r>
      <w:r w:rsidRPr="00B34BCF">
        <w:instrText xml:space="preserve"> PAGEREF _Toc214362406 \h </w:instrText>
      </w:r>
      <w:r w:rsidRPr="00B34BCF">
        <w:fldChar w:fldCharType="separate"/>
      </w:r>
      <w:r w:rsidRPr="00B34BCF">
        <w:t>27</w:t>
      </w:r>
      <w:r w:rsidRPr="00B34BCF">
        <w:fldChar w:fldCharType="end"/>
      </w:r>
    </w:p>
    <w:p w:rsidR="00B34BCF" w:rsidRPr="00B34BCF" w:rsidRDefault="00B34BCF">
      <w:pPr>
        <w:pStyle w:val="Innehll2"/>
        <w:shd w:val="clear" w:color="000000" w:fill="auto"/>
        <w:rPr>
          <w:sz w:val="24"/>
          <w:szCs w:val="24"/>
        </w:rPr>
      </w:pPr>
      <w:r w:rsidRPr="00B34BCF">
        <w:t>8.9</w:t>
      </w:r>
      <w:r w:rsidRPr="00B34BCF">
        <w:rPr>
          <w:sz w:val="24"/>
          <w:szCs w:val="24"/>
        </w:rPr>
        <w:tab/>
      </w:r>
      <w:r w:rsidRPr="00B34BCF">
        <w:t>Verkställighetshinder</w:t>
      </w:r>
      <w:r w:rsidRPr="00B34BCF">
        <w:tab/>
      </w:r>
      <w:r w:rsidRPr="00B34BCF">
        <w:fldChar w:fldCharType="begin" w:fldLock="1"/>
      </w:r>
      <w:r w:rsidRPr="00B34BCF">
        <w:instrText xml:space="preserve"> PAGEREF _Toc214362407 \h </w:instrText>
      </w:r>
      <w:r w:rsidRPr="00B34BCF">
        <w:fldChar w:fldCharType="separate"/>
      </w:r>
      <w:r w:rsidRPr="00B34BCF">
        <w:t>27</w:t>
      </w:r>
      <w:r w:rsidRPr="00B34BCF">
        <w:fldChar w:fldCharType="end"/>
      </w:r>
    </w:p>
    <w:p w:rsidR="00B34BCF" w:rsidRPr="00B34BCF" w:rsidRDefault="00B34BCF">
      <w:pPr>
        <w:pStyle w:val="Innehll2"/>
        <w:shd w:val="clear" w:color="000000" w:fill="auto"/>
        <w:rPr>
          <w:sz w:val="24"/>
          <w:szCs w:val="24"/>
        </w:rPr>
      </w:pPr>
      <w:r w:rsidRPr="00B34BCF">
        <w:t>8.10</w:t>
      </w:r>
      <w:r w:rsidRPr="00B34BCF">
        <w:rPr>
          <w:sz w:val="24"/>
          <w:szCs w:val="24"/>
        </w:rPr>
        <w:tab/>
      </w:r>
      <w:r w:rsidRPr="00B34BCF">
        <w:t>Landkunskapen hos Migrationsverket</w:t>
      </w:r>
      <w:r w:rsidRPr="00B34BCF">
        <w:tab/>
      </w:r>
      <w:r w:rsidRPr="00B34BCF">
        <w:fldChar w:fldCharType="begin" w:fldLock="1"/>
      </w:r>
      <w:r w:rsidRPr="00B34BCF">
        <w:instrText xml:space="preserve"> PAGEREF _Toc214362408 \h </w:instrText>
      </w:r>
      <w:r w:rsidRPr="00B34BCF">
        <w:fldChar w:fldCharType="separate"/>
      </w:r>
      <w:r w:rsidRPr="00B34BCF">
        <w:t>28</w:t>
      </w:r>
      <w:r w:rsidRPr="00B34BCF">
        <w:fldChar w:fldCharType="end"/>
      </w:r>
    </w:p>
    <w:p w:rsidR="00B34BCF" w:rsidRPr="00B34BCF" w:rsidRDefault="00B34BCF">
      <w:pPr>
        <w:pStyle w:val="Innehll2"/>
        <w:shd w:val="clear" w:color="000000" w:fill="auto"/>
        <w:rPr>
          <w:sz w:val="24"/>
          <w:szCs w:val="24"/>
        </w:rPr>
      </w:pPr>
      <w:r w:rsidRPr="00B34BCF">
        <w:t>8.11</w:t>
      </w:r>
      <w:r w:rsidRPr="00B34BCF">
        <w:rPr>
          <w:sz w:val="24"/>
          <w:szCs w:val="24"/>
        </w:rPr>
        <w:tab/>
      </w:r>
      <w:r w:rsidRPr="00B34BCF">
        <w:t>Illegal vistelse</w:t>
      </w:r>
      <w:r w:rsidRPr="00B34BCF">
        <w:tab/>
      </w:r>
      <w:r w:rsidRPr="00B34BCF">
        <w:fldChar w:fldCharType="begin" w:fldLock="1"/>
      </w:r>
      <w:r w:rsidRPr="00B34BCF">
        <w:instrText xml:space="preserve"> PAGEREF _Toc214362409 \h </w:instrText>
      </w:r>
      <w:r w:rsidRPr="00B34BCF">
        <w:fldChar w:fldCharType="separate"/>
      </w:r>
      <w:r w:rsidRPr="00B34BCF">
        <w:t>28</w:t>
      </w:r>
      <w:r w:rsidRPr="00B34BCF">
        <w:fldChar w:fldCharType="end"/>
      </w:r>
    </w:p>
    <w:p w:rsidR="00B34BCF" w:rsidRPr="00B34BCF" w:rsidRDefault="00B34BCF">
      <w:pPr>
        <w:pStyle w:val="Innehll2"/>
        <w:shd w:val="clear" w:color="000000" w:fill="auto"/>
        <w:rPr>
          <w:sz w:val="24"/>
          <w:szCs w:val="24"/>
        </w:rPr>
      </w:pPr>
      <w:r w:rsidRPr="00B34BCF">
        <w:lastRenderedPageBreak/>
        <w:t>8.12</w:t>
      </w:r>
      <w:r w:rsidRPr="00B34BCF">
        <w:rPr>
          <w:sz w:val="24"/>
          <w:szCs w:val="24"/>
        </w:rPr>
        <w:tab/>
      </w:r>
      <w:r w:rsidRPr="00B34BCF">
        <w:t>Bortre gräns i asylprocessen</w:t>
      </w:r>
      <w:r w:rsidRPr="00B34BCF">
        <w:tab/>
      </w:r>
      <w:r w:rsidRPr="00B34BCF">
        <w:fldChar w:fldCharType="begin" w:fldLock="1"/>
      </w:r>
      <w:r w:rsidRPr="00B34BCF">
        <w:instrText xml:space="preserve"> PAGEREF _Toc214362410 \h </w:instrText>
      </w:r>
      <w:r w:rsidRPr="00B34BCF">
        <w:fldChar w:fldCharType="separate"/>
      </w:r>
      <w:r w:rsidRPr="00B34BCF">
        <w:t>29</w:t>
      </w:r>
      <w:r w:rsidRPr="00B34BCF">
        <w:fldChar w:fldCharType="end"/>
      </w:r>
    </w:p>
    <w:p w:rsidR="00B34BCF" w:rsidRPr="00B34BCF" w:rsidRDefault="00B34BCF">
      <w:pPr>
        <w:pStyle w:val="Innehll2"/>
        <w:shd w:val="clear" w:color="000000" w:fill="auto"/>
        <w:rPr>
          <w:sz w:val="24"/>
          <w:szCs w:val="24"/>
        </w:rPr>
      </w:pPr>
      <w:r w:rsidRPr="00B34BCF">
        <w:t>8.13</w:t>
      </w:r>
      <w:r w:rsidRPr="00B34BCF">
        <w:rPr>
          <w:sz w:val="24"/>
          <w:szCs w:val="24"/>
        </w:rPr>
        <w:tab/>
      </w:r>
      <w:r w:rsidRPr="00B34BCF">
        <w:t>Visumkrav som medel att utestänga flyktingar från Sverige och EU</w:t>
      </w:r>
      <w:r w:rsidRPr="00B34BCF">
        <w:tab/>
      </w:r>
      <w:r w:rsidRPr="00B34BCF">
        <w:fldChar w:fldCharType="begin" w:fldLock="1"/>
      </w:r>
      <w:r w:rsidRPr="00B34BCF">
        <w:instrText xml:space="preserve"> PAGEREF _Toc214362411 \h </w:instrText>
      </w:r>
      <w:r w:rsidRPr="00B34BCF">
        <w:fldChar w:fldCharType="separate"/>
      </w:r>
      <w:r w:rsidRPr="00B34BCF">
        <w:t>29</w:t>
      </w:r>
      <w:r w:rsidRPr="00B34BCF">
        <w:fldChar w:fldCharType="end"/>
      </w:r>
    </w:p>
    <w:p w:rsidR="00B34BCF" w:rsidRPr="00B34BCF" w:rsidRDefault="00B34BCF">
      <w:pPr>
        <w:pStyle w:val="Innehll2"/>
        <w:shd w:val="clear" w:color="000000" w:fill="auto"/>
        <w:rPr>
          <w:sz w:val="24"/>
          <w:szCs w:val="24"/>
        </w:rPr>
      </w:pPr>
      <w:r w:rsidRPr="00B34BCF">
        <w:t>8.14</w:t>
      </w:r>
      <w:r w:rsidRPr="00B34BCF">
        <w:rPr>
          <w:sz w:val="24"/>
          <w:szCs w:val="24"/>
        </w:rPr>
        <w:tab/>
      </w:r>
      <w:r w:rsidRPr="00B34BCF">
        <w:t>Praxis vid besöksvisum</w:t>
      </w:r>
      <w:r w:rsidRPr="00B34BCF">
        <w:tab/>
      </w:r>
      <w:r w:rsidRPr="00B34BCF">
        <w:fldChar w:fldCharType="begin" w:fldLock="1"/>
      </w:r>
      <w:r w:rsidRPr="00B34BCF">
        <w:instrText xml:space="preserve"> PAGEREF _Toc214362412 \h </w:instrText>
      </w:r>
      <w:r w:rsidRPr="00B34BCF">
        <w:fldChar w:fldCharType="separate"/>
      </w:r>
      <w:r w:rsidRPr="00B34BCF">
        <w:t>29</w:t>
      </w:r>
      <w:r w:rsidRPr="00B34BCF">
        <w:fldChar w:fldCharType="end"/>
      </w:r>
    </w:p>
    <w:p w:rsidR="00B34BCF" w:rsidRPr="00B34BCF" w:rsidRDefault="00B34BCF">
      <w:pPr>
        <w:pStyle w:val="Innehll2"/>
        <w:shd w:val="clear" w:color="000000" w:fill="auto"/>
        <w:rPr>
          <w:sz w:val="24"/>
          <w:szCs w:val="24"/>
        </w:rPr>
      </w:pPr>
      <w:r w:rsidRPr="00B34BCF">
        <w:t>8.15</w:t>
      </w:r>
      <w:r w:rsidRPr="00B34BCF">
        <w:rPr>
          <w:sz w:val="24"/>
          <w:szCs w:val="24"/>
        </w:rPr>
        <w:tab/>
      </w:r>
      <w:r w:rsidRPr="00B34BCF">
        <w:t>Flyktingkvoten</w:t>
      </w:r>
      <w:r w:rsidRPr="00B34BCF">
        <w:tab/>
      </w:r>
      <w:r w:rsidRPr="00B34BCF">
        <w:fldChar w:fldCharType="begin" w:fldLock="1"/>
      </w:r>
      <w:r w:rsidRPr="00B34BCF">
        <w:instrText xml:space="preserve"> PAGEREF _Toc214362413 \h </w:instrText>
      </w:r>
      <w:r w:rsidRPr="00B34BCF">
        <w:fldChar w:fldCharType="separate"/>
      </w:r>
      <w:r w:rsidRPr="00B34BCF">
        <w:t>30</w:t>
      </w:r>
      <w:r w:rsidRPr="00B34BCF">
        <w:fldChar w:fldCharType="end"/>
      </w:r>
    </w:p>
    <w:p w:rsidR="00B34BCF" w:rsidRPr="00B34BCF" w:rsidRDefault="00B34BCF">
      <w:pPr>
        <w:pStyle w:val="Innehll2"/>
        <w:shd w:val="clear" w:color="000000" w:fill="auto"/>
        <w:rPr>
          <w:sz w:val="24"/>
          <w:szCs w:val="24"/>
        </w:rPr>
      </w:pPr>
      <w:r w:rsidRPr="00B34BCF">
        <w:t>8.16</w:t>
      </w:r>
      <w:r w:rsidRPr="00B34BCF">
        <w:rPr>
          <w:sz w:val="24"/>
          <w:szCs w:val="24"/>
        </w:rPr>
        <w:tab/>
      </w:r>
      <w:r w:rsidRPr="00B34BCF">
        <w:t>Asylvisum</w:t>
      </w:r>
      <w:r w:rsidRPr="00B34BCF">
        <w:tab/>
      </w:r>
      <w:r w:rsidRPr="00B34BCF">
        <w:fldChar w:fldCharType="begin" w:fldLock="1"/>
      </w:r>
      <w:r w:rsidRPr="00B34BCF">
        <w:instrText xml:space="preserve"> PAGEREF _Toc214362414 \h </w:instrText>
      </w:r>
      <w:r w:rsidRPr="00B34BCF">
        <w:fldChar w:fldCharType="separate"/>
      </w:r>
      <w:r w:rsidRPr="00B34BCF">
        <w:t>31</w:t>
      </w:r>
      <w:r w:rsidRPr="00B34BCF">
        <w:fldChar w:fldCharType="end"/>
      </w:r>
    </w:p>
    <w:p w:rsidR="00B34BCF" w:rsidRPr="00B34BCF" w:rsidRDefault="00B34BCF">
      <w:pPr>
        <w:pStyle w:val="Innehll2"/>
        <w:shd w:val="clear" w:color="000000" w:fill="auto"/>
        <w:rPr>
          <w:sz w:val="24"/>
          <w:szCs w:val="24"/>
        </w:rPr>
      </w:pPr>
      <w:r w:rsidRPr="00B34BCF">
        <w:t>8.17</w:t>
      </w:r>
      <w:r w:rsidRPr="00B34BCF">
        <w:rPr>
          <w:sz w:val="24"/>
          <w:szCs w:val="24"/>
        </w:rPr>
        <w:tab/>
      </w:r>
      <w:r w:rsidRPr="00B34BCF">
        <w:t>Förvar</w:t>
      </w:r>
      <w:r w:rsidRPr="00B34BCF">
        <w:tab/>
      </w:r>
      <w:r w:rsidRPr="00B34BCF">
        <w:fldChar w:fldCharType="begin" w:fldLock="1"/>
      </w:r>
      <w:r w:rsidRPr="00B34BCF">
        <w:instrText xml:space="preserve"> PAGEREF _Toc214362415 \h </w:instrText>
      </w:r>
      <w:r w:rsidRPr="00B34BCF">
        <w:fldChar w:fldCharType="separate"/>
      </w:r>
      <w:r w:rsidRPr="00B34BCF">
        <w:t>32</w:t>
      </w:r>
      <w:r w:rsidRPr="00B34BCF">
        <w:fldChar w:fldCharType="end"/>
      </w:r>
    </w:p>
    <w:p w:rsidR="00B34BCF" w:rsidRPr="00B34BCF" w:rsidRDefault="00B34BCF">
      <w:pPr>
        <w:pStyle w:val="Innehll2"/>
        <w:shd w:val="clear" w:color="000000" w:fill="auto"/>
        <w:rPr>
          <w:sz w:val="24"/>
          <w:szCs w:val="24"/>
        </w:rPr>
      </w:pPr>
      <w:r w:rsidRPr="00B34BCF">
        <w:t>8.18</w:t>
      </w:r>
      <w:r w:rsidRPr="00B34BCF">
        <w:rPr>
          <w:sz w:val="24"/>
          <w:szCs w:val="24"/>
        </w:rPr>
        <w:tab/>
      </w:r>
      <w:r w:rsidRPr="00B34BCF">
        <w:t>Förordnande av offentliga biträden i utlänningsärenden</w:t>
      </w:r>
      <w:r w:rsidRPr="00B34BCF">
        <w:tab/>
      </w:r>
      <w:r w:rsidRPr="00B34BCF">
        <w:fldChar w:fldCharType="begin" w:fldLock="1"/>
      </w:r>
      <w:r w:rsidRPr="00B34BCF">
        <w:instrText xml:space="preserve"> PAGEREF _Toc214362416 \h </w:instrText>
      </w:r>
      <w:r w:rsidRPr="00B34BCF">
        <w:fldChar w:fldCharType="separate"/>
      </w:r>
      <w:r w:rsidRPr="00B34BCF">
        <w:t>32</w:t>
      </w:r>
      <w:r w:rsidRPr="00B34BCF">
        <w:fldChar w:fldCharType="end"/>
      </w:r>
    </w:p>
    <w:p w:rsidR="00B34BCF" w:rsidRPr="00B34BCF" w:rsidRDefault="00B34BCF">
      <w:pPr>
        <w:pStyle w:val="Innehll2"/>
        <w:shd w:val="clear" w:color="000000" w:fill="auto"/>
        <w:rPr>
          <w:sz w:val="24"/>
          <w:szCs w:val="24"/>
        </w:rPr>
      </w:pPr>
      <w:r w:rsidRPr="00B34BCF">
        <w:t>8.19</w:t>
      </w:r>
      <w:r w:rsidRPr="00B34BCF">
        <w:rPr>
          <w:sz w:val="24"/>
          <w:szCs w:val="24"/>
        </w:rPr>
        <w:tab/>
      </w:r>
      <w:r w:rsidRPr="00B34BCF">
        <w:t>Utbildning av nämndledamöter och offentliga biträden</w:t>
      </w:r>
      <w:r w:rsidRPr="00B34BCF">
        <w:tab/>
      </w:r>
      <w:r w:rsidRPr="00B34BCF">
        <w:fldChar w:fldCharType="begin" w:fldLock="1"/>
      </w:r>
      <w:r w:rsidRPr="00B34BCF">
        <w:instrText xml:space="preserve"> PAGEREF _Toc214362417 \h </w:instrText>
      </w:r>
      <w:r w:rsidRPr="00B34BCF">
        <w:fldChar w:fldCharType="separate"/>
      </w:r>
      <w:r w:rsidRPr="00B34BCF">
        <w:t>33</w:t>
      </w:r>
      <w:r w:rsidRPr="00B34BCF">
        <w:fldChar w:fldCharType="end"/>
      </w:r>
    </w:p>
    <w:p w:rsidR="00B34BCF" w:rsidRPr="00B34BCF" w:rsidRDefault="00B34BCF">
      <w:pPr>
        <w:pStyle w:val="Innehll2"/>
        <w:shd w:val="clear" w:color="000000" w:fill="auto"/>
        <w:rPr>
          <w:sz w:val="24"/>
          <w:szCs w:val="24"/>
        </w:rPr>
      </w:pPr>
      <w:r w:rsidRPr="00B34BCF">
        <w:t>8.20</w:t>
      </w:r>
      <w:r w:rsidRPr="00B34BCF">
        <w:rPr>
          <w:sz w:val="24"/>
          <w:szCs w:val="24"/>
        </w:rPr>
        <w:tab/>
      </w:r>
      <w:r w:rsidRPr="00B34BCF">
        <w:t>Inrättande av en professur i migrationsrätt</w:t>
      </w:r>
      <w:r w:rsidRPr="00B34BCF">
        <w:tab/>
      </w:r>
      <w:r w:rsidRPr="00B34BCF">
        <w:fldChar w:fldCharType="begin" w:fldLock="1"/>
      </w:r>
      <w:r w:rsidRPr="00B34BCF">
        <w:instrText xml:space="preserve"> PAGEREF _Toc214362418 \h </w:instrText>
      </w:r>
      <w:r w:rsidRPr="00B34BCF">
        <w:fldChar w:fldCharType="separate"/>
      </w:r>
      <w:r w:rsidRPr="00B34BCF">
        <w:t>33</w:t>
      </w:r>
      <w:r w:rsidRPr="00B34BCF">
        <w:fldChar w:fldCharType="end"/>
      </w:r>
    </w:p>
    <w:p w:rsidR="00B34BCF" w:rsidRPr="00B34BCF" w:rsidRDefault="00B34BCF">
      <w:r w:rsidRPr="00B34BCF">
        <w:fldChar w:fldCharType="end"/>
      </w:r>
      <w:bookmarkStart w:id="3" w:name="_Toc214362381"/>
    </w:p>
    <w:p w:rsidR="00B34BCF" w:rsidRPr="00B34BCF" w:rsidRDefault="00B34BCF">
      <w:pPr>
        <w:pStyle w:val="Hemstlrubrik"/>
        <w:pageBreakBefore/>
        <w:shd w:val="clear" w:color="000000" w:fill="auto"/>
        <w:spacing w:before="0"/>
      </w:pPr>
      <w:r w:rsidRPr="00B34BCF">
        <w:t>Förslag till riksdagsbeslut</w:t>
      </w:r>
      <w:bookmarkEnd w:id="0"/>
      <w:bookmarkEnd w:id="1"/>
      <w:bookmarkEnd w:id="2"/>
      <w:bookmarkEnd w:id="3"/>
    </w:p>
    <w:p w:rsidR="00B34BCF" w:rsidRPr="00B34BCF" w:rsidRDefault="00B34BCF">
      <w:pPr>
        <w:pStyle w:val="Hemstlatt"/>
        <w:numPr>
          <w:ilvl w:val="0"/>
          <w:numId w:val="1"/>
        </w:numPr>
        <w:shd w:val="clear" w:color="000000" w:fill="auto"/>
      </w:pPr>
      <w:r w:rsidRPr="00B34BCF">
        <w:t>Riksdagen tillkännager för regeringen som sin mening vad som anförs i motionen om ett omedelbart stopp för svensk vapenexport till länder där grova kränkningar av mänskliga rättigheter äger rum.</w:t>
      </w:r>
      <w:r w:rsidRPr="00B34BCF">
        <w:rPr>
          <w:vertAlign w:val="superscript"/>
        </w:rPr>
        <w:t>1</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ett svenskt initiativ i FN till en konferens för att påbörja arbetet med ett internationellt fördrag om restriktioner i vapenexport och vapenhandel.</w:t>
      </w:r>
      <w:r w:rsidRPr="00B34BCF">
        <w:rPr>
          <w:vertAlign w:val="superscript"/>
        </w:rPr>
        <w:t>1</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stärka svenska myndigheters respekt för asylrätten och Genèvekonventionen.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Sverige bör avsluta sitt medlemskap i IOM.</w:t>
      </w:r>
      <w:r w:rsidRPr="00B34BCF">
        <w:rPr>
          <w:vertAlign w:val="superscript"/>
        </w:rPr>
        <w:t>1</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finansieringen av FN:s flyktingkommissariat.</w:t>
      </w:r>
      <w:r w:rsidRPr="00B34BCF">
        <w:rPr>
          <w:vertAlign w:val="superscript"/>
        </w:rPr>
        <w:t>1</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utvidgning av FN:s flyktingkommissariats mandat till att inkludera internflyktingar.</w:t>
      </w:r>
      <w:r w:rsidRPr="00B34BCF">
        <w:rPr>
          <w:vertAlign w:val="superscript"/>
        </w:rPr>
        <w:t>1</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anslag av medel för FN:s flyktingkommissariats medverkan vid förvaltningen av EU:s yttre gränser.</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en asyl- och flyktingpolitik i EU grundad på respekt för mänskliga rättigheter och människors lika värde.</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påkallande av nya förhandlingar om direktivet om transportörsansvar.</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bör ta initiativ till en förändring av EU:s politik beträffande återtagandeavtal.</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initiativ till en översyn av förordningen om fördelningskriterier för ansvaret för asylsökande i syfte att dessas egna val ska vara styrande.</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i EU bör ta initiativ till en omarbetning av skyddsgrundsdirektivet i de delar som strider mot internationell rätt.</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asylprocedurdirektivet om förfarandet för att bevilja och återkalla flyktingstatus måste omarbetas i de delar som strider mot internationell rätt.</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i EU bör ta initiativ till upphävande av återvändandedirektivet och dess ersättande med ett nytt direktiv vars innehåll står i överensstämmelse med grundläggande humanitära principer, respekten för människors lika värde och EU-ländernas internationella åtaganden.</w:t>
      </w:r>
    </w:p>
    <w:p w:rsidR="00B34BCF" w:rsidRPr="00B34BCF" w:rsidRDefault="00B34BCF">
      <w:pPr>
        <w:pStyle w:val="Hemstlatt"/>
        <w:numPr>
          <w:ilvl w:val="0"/>
          <w:numId w:val="1"/>
        </w:numPr>
        <w:shd w:val="clear" w:color="000000" w:fill="auto"/>
      </w:pPr>
      <w:r w:rsidRPr="00B34BCF">
        <w:t>Riksdagen begär att regeringen lägger fram förslag till ändring av utlänningslagen med förbättrade regler om anhöriginvandring i enlighet med vad som anförs i motionen.</w:t>
      </w:r>
    </w:p>
    <w:p w:rsidR="00B34BCF" w:rsidRPr="00B34BCF" w:rsidRDefault="00B34BCF">
      <w:pPr>
        <w:pStyle w:val="Hemstlatt"/>
        <w:numPr>
          <w:ilvl w:val="0"/>
          <w:numId w:val="1"/>
        </w:numPr>
        <w:shd w:val="clear" w:color="000000" w:fill="auto"/>
      </w:pPr>
      <w:r w:rsidRPr="00B34BCF">
        <w:t>Riksdagen begär att regeringen lägger fram förslag till lagändring för att undantag ska kunna göras från huvudregeln om ansökan från utlandet när utlänningen har barn i Sverige, kvinnan i förhållandet är gravid eller sökanden med all sannolikhet skulle få sin ansökan beviljad, detta även när ett lagakraftägande avlägsnandebeslut föreligger.</w:t>
      </w:r>
    </w:p>
    <w:p w:rsidR="00B34BCF" w:rsidRPr="00B34BCF" w:rsidRDefault="00B34BCF">
      <w:pPr>
        <w:pStyle w:val="Hemstlatt"/>
        <w:numPr>
          <w:ilvl w:val="0"/>
          <w:numId w:val="1"/>
        </w:numPr>
        <w:shd w:val="clear" w:color="000000" w:fill="auto"/>
      </w:pPr>
      <w:r w:rsidRPr="00B34BCF">
        <w:t>Riksdagen begär att regeringen lägger förslag till lagändring för att komma till rätta med de fortsatta missförhållandena med avvisningsbeslut av kvinnor som misshandlats eller kränkts under den tvååriga prövotiden.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integrera ett genusperspektiv i kommande regleringsbrev till Migrationsverket.</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en snar utvärdering av tillämpningen av den nya lagbestämmelsen om flyktingstatus på grund av förföljelse på grund av kön eller sexuell läggning.</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flyktingstatus för HBT-personer.</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en sådan översyn av flyktingskapsbestämmelsen i utlänningslagen att dess tolkning bringas i överensstämmelse med internationell rätt.</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en översyn av 4 kap. 2 § 2 utlänningslagen så att det i praxis uppställda kravet på individualiserat hot utmönstras.</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en sådan översyn av innebörden i begreppet ”yttre och inre väpnad konflikt” i 4 kap. 2 § utlänningslagen att det bringas i överensstämmelse med den internationellt accepterade folkrättsliga innebörden i begreppet.</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i kommande regleringsbrev ge i uppdrag till Migrationsverket att förordna om tortyrskadeutredningar i ärenden där den asylsökande uppgivit att han eller hon torterats.</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tilläggsdirektiv till den pågående utredningen om en utvärdering av utlänningslagen om behovet av att lagreglera användandet av barnspecifik landinformation.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uppdra åt Migrationsverket att utarbeta riktlinjer för utredningen och bedömningen av barns asylskäl.</w:t>
      </w:r>
    </w:p>
    <w:p w:rsidR="00B34BCF" w:rsidRPr="00B34BCF" w:rsidRDefault="00B34BCF">
      <w:pPr>
        <w:pStyle w:val="Hemstlatt"/>
        <w:numPr>
          <w:ilvl w:val="0"/>
          <w:numId w:val="1"/>
        </w:numPr>
        <w:shd w:val="clear" w:color="000000" w:fill="auto"/>
      </w:pPr>
      <w:r w:rsidRPr="00B34BCF">
        <w:t>Riksdagen beslutar att 5 kap. 6 § första stycket 1 utlänningslagen ska ges följande lydelse: ”Om uppehållstillstånd inte kan ges på annan grund, får tillstånd beviljas en utlänning om det vid en samlad bedömning av utlänningens situation föreligger sådana särskilt ömmande omständigheter att han eller hon bör tillåtas stanna i Sverige.”</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bör föreslå en ny bestämmelse i utlänningslagen om att avlägsnandebeslut inte ska fattas om det står klart att det inte går att verkställa.</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en översyn av 12 kap. 19 § utlänningslagen.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en sådan lagändring att möjlighet ges till polisen att återlämna ett verkställighetsärende till Migrationsverket.</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bör ge Migrationsverket i uppdrag att organisera kurser i opartiskt användande av Migrationsverkets landinformation.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utlänningen alltid ska beredas skäligt rådrum för sin avresa.</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införande av en bortre gräns i asylprocessen.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bör verka i EU för att korta ned listan över visumpliktiga länder och för att visumkrav inte används för att stänga ute flyktingar och kortsluta Genèvekonventionen.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bör utfärda tydliga riktlinjer för Migrationsverkets handläggning av ärenden som gäller besöksvisum för att den ska genomsyras av en inställning som grundas på icke-diskriminering och humanism.</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hänsynstagande till flyktingars ”integrationspotential” bör utmönstras som kriterium för uttagning på flyktingkvoten.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återgång till tidigare praxis vad gäller krav på ingivande av ansökan om familjeåterförening till svensk beskickning.</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tagande av nödvändiga mänskliga hänsyn vid uttagning av familjemedlemmar som fyllt 18 år på flyktingkvoten.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bör ta initiativ för treåriga planeringsperioder för uttagningar på flyktingkvoten.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regeringen bör tillsätta en utredning med uppgift att lägga fram förslag om en procedur för utfärdande av asylvisum.</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tillsättande av en utredning med uppgift att se över bestämmelsen om förvar i 10 kap. utlänningslagen.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en sådan ändring i utlänningslagen att det blir möjligt att förordna offentligt biträde i ärenden som handläggs enligt Dublinförordningen.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att Rättshjälpsmyndigheten, alternativt länsrätten, bör förordna offentliga biträden i utlänningsärenden.</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ett uppdrag till Domstolsverket att ge förslag på organisering av utbildning av Migrationsverkets personal, migrationsdomstolarnas nämndledamöter och offentliga biträden, samt på vem eller vilka som bör vara huvudmän för en sådan utbildning.</w:t>
      </w:r>
    </w:p>
    <w:p w:rsidR="00B34BCF" w:rsidRPr="00B34BCF" w:rsidRDefault="00B34BCF">
      <w:pPr>
        <w:pStyle w:val="Hemstlatt"/>
        <w:numPr>
          <w:ilvl w:val="0"/>
          <w:numId w:val="1"/>
        </w:numPr>
        <w:shd w:val="clear" w:color="000000" w:fill="auto"/>
      </w:pPr>
      <w:r w:rsidRPr="00B34BCF">
        <w:t>Riksdagen tillkännager för regeringen som sin mening vad som anförs i motionen om inrättande av en professur i migrationsrätt vid lämpligt universitet.</w:t>
      </w:r>
      <w:r w:rsidRPr="00B34BCF">
        <w:rPr>
          <w:vertAlign w:val="superscript"/>
        </w:rPr>
        <w:t>2</w:t>
      </w:r>
    </w:p>
    <w:p w:rsidR="00B34BCF" w:rsidRPr="00B34BCF" w:rsidRDefault="00B34BCF">
      <w:pPr>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pStyle w:val="Normaltindrag"/>
        <w:shd w:val="clear" w:color="000000" w:fill="auto"/>
      </w:pPr>
    </w:p>
    <w:p w:rsidR="00B34BCF" w:rsidRPr="00B34BCF" w:rsidRDefault="00B34BCF">
      <w:pPr>
        <w:shd w:val="clear" w:color="000000" w:fill="auto"/>
      </w:pPr>
      <w:r w:rsidRPr="00B34BCF">
        <w:rPr>
          <w:vertAlign w:val="superscript"/>
        </w:rPr>
        <w:t>1</w:t>
      </w:r>
      <w:r w:rsidRPr="00B34BCF">
        <w:t xml:space="preserve"> Yrkandena 1, 2 och 4–6 hänvisade till UU.</w:t>
      </w:r>
    </w:p>
    <w:p w:rsidR="00B34BCF" w:rsidRPr="00B34BCF" w:rsidRDefault="00B34BCF">
      <w:pPr>
        <w:shd w:val="clear" w:color="000000" w:fill="auto"/>
      </w:pPr>
      <w:r w:rsidRPr="00B34BCF">
        <w:rPr>
          <w:vertAlign w:val="superscript"/>
        </w:rPr>
        <w:t>2</w:t>
      </w:r>
      <w:r w:rsidRPr="00B34BCF">
        <w:t xml:space="preserve"> Yrkande 45 hänvisat till UbU.</w:t>
      </w:r>
    </w:p>
    <w:p w:rsidR="00B34BCF" w:rsidRPr="00B34BCF" w:rsidRDefault="00B34BCF">
      <w:pPr>
        <w:pStyle w:val="Rubrik1"/>
        <w:pageBreakBefore/>
        <w:shd w:val="clear" w:color="000000" w:fill="auto"/>
        <w:spacing w:before="0"/>
      </w:pPr>
      <w:bookmarkStart w:id="4" w:name="_Toc148441333"/>
      <w:bookmarkStart w:id="5" w:name="_Toc148441369"/>
      <w:bookmarkStart w:id="6" w:name="_Toc148512538"/>
      <w:bookmarkStart w:id="7" w:name="_Toc148512574"/>
      <w:bookmarkStart w:id="8" w:name="_Toc177886812"/>
      <w:bookmarkStart w:id="9" w:name="_Toc178674192"/>
      <w:bookmarkStart w:id="10" w:name="_Toc178925554"/>
      <w:bookmarkStart w:id="11" w:name="_Toc179272147"/>
      <w:bookmarkStart w:id="12" w:name="_Toc206923768"/>
      <w:bookmarkStart w:id="13" w:name="_Toc208848280"/>
      <w:bookmarkStart w:id="14" w:name="_Toc208848319"/>
      <w:bookmarkStart w:id="15" w:name="_Toc214362382"/>
      <w:r w:rsidRPr="00B34BCF">
        <w:t>Inledning</w:t>
      </w:r>
      <w:bookmarkEnd w:id="4"/>
      <w:bookmarkEnd w:id="5"/>
      <w:bookmarkEnd w:id="6"/>
      <w:bookmarkEnd w:id="7"/>
      <w:bookmarkEnd w:id="8"/>
      <w:bookmarkEnd w:id="9"/>
      <w:bookmarkEnd w:id="10"/>
      <w:bookmarkEnd w:id="11"/>
      <w:bookmarkEnd w:id="12"/>
      <w:bookmarkEnd w:id="13"/>
      <w:bookmarkEnd w:id="14"/>
      <w:bookmarkEnd w:id="15"/>
    </w:p>
    <w:p w:rsidR="00B34BCF" w:rsidRPr="00B34BCF" w:rsidRDefault="00B34BCF">
      <w:pPr>
        <w:shd w:val="clear" w:color="000000" w:fill="auto"/>
      </w:pPr>
      <w:r w:rsidRPr="00B34BCF">
        <w:t>Vänsterpartiet är djupt oroat över flykting- och immigrationspolitikens u</w:t>
      </w:r>
      <w:r w:rsidRPr="00B34BCF">
        <w:t>t</w:t>
      </w:r>
      <w:r w:rsidRPr="00B34BCF">
        <w:t>veckling både i Sverige och i Europeiska unionen (EU). Murarna runt EU byggs hela tiden allt högre och alla legala möjligheter att ta sig till EU täpps till. Dessa frenetiska ansträngningar att stänga ”de andra” ute får som kons</w:t>
      </w:r>
      <w:r w:rsidRPr="00B34BCF">
        <w:t>e</w:t>
      </w:r>
      <w:r w:rsidRPr="00B34BCF">
        <w:t>kvens att både Sverige och övriga EU-länder systematiskt och i stor omfat</w:t>
      </w:r>
      <w:r w:rsidRPr="00B34BCF">
        <w:t>t</w:t>
      </w:r>
      <w:r w:rsidRPr="00B34BCF">
        <w:t>ning kränker asylsökandes och flyktingars mänskliga rättigheter och medför att ett allt intensivare blodbad sker vid EU:s gränser.</w:t>
      </w:r>
    </w:p>
    <w:p w:rsidR="00B34BCF" w:rsidRPr="00B34BCF" w:rsidRDefault="00B34BCF">
      <w:pPr>
        <w:pStyle w:val="Normaltindrag"/>
        <w:shd w:val="clear" w:color="000000" w:fill="auto"/>
      </w:pPr>
      <w:r w:rsidRPr="00B34BCF">
        <w:t>Vänsterpartiet anser att denna utveckling måste brytas, detta för att värna r</w:t>
      </w:r>
      <w:r w:rsidRPr="00B34BCF">
        <w:t>ätten till fristad undan förföljelse och de mänskliga rättigheterna i övrigt. Om vi i dag tolererar att en resurssvag grupps mänskliga rättigheter kränks, bä</w:t>
      </w:r>
      <w:r w:rsidRPr="00B34BCF">
        <w:t>d</w:t>
      </w:r>
      <w:r w:rsidRPr="00B34BCF">
        <w:t>dar vi för att andra gruppers mänskliga rättigheter kränks i morgon.</w:t>
      </w:r>
      <w:bookmarkStart w:id="16" w:name="_Toc147720093"/>
    </w:p>
    <w:p w:rsidR="00B34BCF" w:rsidRPr="00B34BCF" w:rsidRDefault="00B34BCF">
      <w:pPr>
        <w:pStyle w:val="Rubrik1"/>
        <w:shd w:val="clear" w:color="000000" w:fill="auto"/>
      </w:pPr>
      <w:bookmarkStart w:id="17" w:name="_Toc148441334"/>
      <w:bookmarkStart w:id="18" w:name="_Toc148441370"/>
      <w:bookmarkStart w:id="19" w:name="_Toc148512539"/>
      <w:bookmarkStart w:id="20" w:name="_Toc148512575"/>
      <w:bookmarkStart w:id="21" w:name="_Toc177886813"/>
      <w:bookmarkStart w:id="22" w:name="_Toc178674193"/>
      <w:bookmarkStart w:id="23" w:name="_Toc178925555"/>
      <w:bookmarkStart w:id="24" w:name="_Toc179272148"/>
      <w:bookmarkStart w:id="25" w:name="_Toc206923769"/>
      <w:bookmarkStart w:id="26" w:name="_Toc208848281"/>
      <w:bookmarkStart w:id="27" w:name="_Toc208848320"/>
      <w:bookmarkStart w:id="28" w:name="_Toc214362383"/>
      <w:r w:rsidRPr="00B34BCF">
        <w:t>Varför drivs människor på flykt?</w:t>
      </w:r>
      <w:bookmarkEnd w:id="16"/>
      <w:bookmarkEnd w:id="17"/>
      <w:bookmarkEnd w:id="18"/>
      <w:bookmarkEnd w:id="19"/>
      <w:bookmarkEnd w:id="20"/>
      <w:bookmarkEnd w:id="21"/>
      <w:bookmarkEnd w:id="22"/>
      <w:bookmarkEnd w:id="23"/>
      <w:bookmarkEnd w:id="24"/>
      <w:bookmarkEnd w:id="25"/>
      <w:bookmarkEnd w:id="26"/>
      <w:bookmarkEnd w:id="27"/>
      <w:bookmarkEnd w:id="28"/>
    </w:p>
    <w:p w:rsidR="00B34BCF" w:rsidRPr="00B34BCF" w:rsidRDefault="00B34BCF">
      <w:pPr>
        <w:shd w:val="clear" w:color="000000" w:fill="auto"/>
      </w:pPr>
      <w:r w:rsidRPr="00B34BCF">
        <w:t>Enligt FN:s flyktingkommissariat finns det omkring 200 miljoner migranter i världen. Av dem är 32,9 miljoner flyktingar, statslösa, internflyktingar m.fl.</w:t>
      </w:r>
    </w:p>
    <w:p w:rsidR="00B34BCF" w:rsidRPr="00B34BCF" w:rsidRDefault="00B34BCF">
      <w:pPr>
        <w:pStyle w:val="Normaltindrag"/>
        <w:shd w:val="clear" w:color="000000" w:fill="auto"/>
      </w:pPr>
      <w:r w:rsidRPr="00B34BCF">
        <w:t>Majoriteten av världens flyktingar har flytt från politiskt förtryck, krig och våld. Den direkta orsaken till att nio av tio fördrivna människor tvingats fly är politiskt förtryck och väpnade konflikter. Dessa konflikter utkämpas till stör</w:t>
      </w:r>
      <w:r w:rsidRPr="00B34BCF">
        <w:t>s</w:t>
      </w:r>
      <w:r w:rsidRPr="00B34BCF">
        <w:t>ta delen med vapen som tillverkats i de rika industriländerna. Vapenhandeln har generat stora vinster för vapenindustrin samtidigt som den orsakar död, förstörelse och massflykt. Även Sverige bidrar mycket aktivt till att männ</w:t>
      </w:r>
      <w:r w:rsidRPr="00B34BCF">
        <w:t>i</w:t>
      </w:r>
      <w:r w:rsidRPr="00B34BCF">
        <w:t>skor tvingas fly genom att exportera vapen till länder som kränker grun</w:t>
      </w:r>
      <w:r w:rsidRPr="00B34BCF">
        <w:t>d</w:t>
      </w:r>
      <w:r w:rsidRPr="00B34BCF">
        <w:t>läggande mänskliga rättigheter och till länder som för krig.</w:t>
      </w:r>
    </w:p>
    <w:p w:rsidR="00B34BCF" w:rsidRPr="00B34BCF" w:rsidRDefault="00B34BCF">
      <w:pPr>
        <w:pStyle w:val="Rubrik2"/>
        <w:shd w:val="clear" w:color="000000" w:fill="auto"/>
      </w:pPr>
      <w:bookmarkStart w:id="29" w:name="_Toc148441335"/>
      <w:bookmarkStart w:id="30" w:name="_Toc148441371"/>
      <w:bookmarkStart w:id="31" w:name="_Toc148512540"/>
      <w:bookmarkStart w:id="32" w:name="_Toc148512576"/>
      <w:bookmarkStart w:id="33" w:name="_Toc177886814"/>
      <w:bookmarkStart w:id="34" w:name="_Toc178674194"/>
      <w:bookmarkStart w:id="35" w:name="_Toc178925556"/>
      <w:bookmarkStart w:id="36" w:name="_Toc179272149"/>
      <w:bookmarkStart w:id="37" w:name="_Toc206923770"/>
      <w:bookmarkStart w:id="38" w:name="_Toc208848282"/>
      <w:bookmarkStart w:id="39" w:name="_Toc208848321"/>
      <w:bookmarkStart w:id="40" w:name="_Toc214362384"/>
      <w:r w:rsidRPr="00B34BCF">
        <w:t>Vapenexport</w:t>
      </w:r>
      <w:bookmarkEnd w:id="29"/>
      <w:bookmarkEnd w:id="30"/>
      <w:bookmarkEnd w:id="31"/>
      <w:bookmarkEnd w:id="32"/>
      <w:bookmarkEnd w:id="33"/>
      <w:bookmarkEnd w:id="34"/>
      <w:bookmarkEnd w:id="35"/>
      <w:bookmarkEnd w:id="36"/>
      <w:bookmarkEnd w:id="37"/>
      <w:bookmarkEnd w:id="38"/>
      <w:bookmarkEnd w:id="39"/>
      <w:bookmarkEnd w:id="40"/>
    </w:p>
    <w:p w:rsidR="00B34BCF" w:rsidRPr="00B34BCF" w:rsidRDefault="00B34BCF">
      <w:pPr>
        <w:shd w:val="clear" w:color="000000" w:fill="auto"/>
      </w:pPr>
      <w:r w:rsidRPr="00B34BCF">
        <w:t xml:space="preserve">Amnesty International publicerade i mars 2003 rapporten </w:t>
      </w:r>
      <w:r w:rsidRPr="00B34BCF">
        <w:rPr>
          <w:i/>
        </w:rPr>
        <w:t>A Catalogue of Failures: G 8 Arms Exports and Human Rights Violations</w:t>
      </w:r>
      <w:r w:rsidRPr="00B34BCF">
        <w:t xml:space="preserve">. </w:t>
      </w:r>
      <w:r w:rsidRPr="00B34BCF">
        <w:t>Här konstateras att kortsiktiga vinstintressen och politiska fördelar styr merparten av den intern</w:t>
      </w:r>
      <w:r w:rsidRPr="00B34BCF">
        <w:t>a</w:t>
      </w:r>
      <w:r w:rsidRPr="00B34BCF">
        <w:t>tionella vapenhandeln. Amnesty föreslår i rapporten att alla regeringar, fra</w:t>
      </w:r>
      <w:r w:rsidRPr="00B34BCF">
        <w:t>m</w:t>
      </w:r>
      <w:r w:rsidRPr="00B34BCF">
        <w:t>för allt de i G 8-länderna, inleder förhandlingar om ett fördrag om global vapenhandel. De fördragsslutande parterna ska enligt Amnesty bl.a. förbinda sig att inte tillåta internationella överföringar av vapen, om det skulle inne</w:t>
      </w:r>
      <w:r w:rsidRPr="00B34BCF">
        <w:softHyphen/>
        <w:t xml:space="preserve">bära brott mot deras förpliktelser </w:t>
      </w:r>
      <w:r w:rsidRPr="00B34BCF">
        <w:t>enligt internationell rätt inklusive FN-stadgan, vapenembargon och andra beslut av FN:s säkerhetsråd och intern</w:t>
      </w:r>
      <w:r w:rsidRPr="00B34BCF">
        <w:t>a</w:t>
      </w:r>
      <w:r w:rsidRPr="00B34BCF">
        <w:t>tionella fördrag som förbjuder urskillningslösa vapen eller vapen som föro</w:t>
      </w:r>
      <w:r w:rsidRPr="00B34BCF">
        <w:t>r</w:t>
      </w:r>
      <w:r w:rsidRPr="00B34BCF">
        <w:t>sakar onödigt lidande. Detta om vapnen sannolikt skulle komma att användas i strid med FN-stadgan eller internationell sedvanerätt, särskilt när det gäller hot om våld eller användande av våld i internationella relationer, för att begå allvarliga brott mot de mänskliga rättigheterna, för att begå allvarliga brott mot den in</w:t>
      </w:r>
      <w:r w:rsidRPr="00B34BCF">
        <w:t>ternationella humanitära rätten i internationella konflikter, för att begå folkmord eller brott mot mänskligheten.</w:t>
      </w:r>
    </w:p>
    <w:p w:rsidR="00B34BCF" w:rsidRPr="00B34BCF" w:rsidRDefault="00B34BCF">
      <w:pPr>
        <w:pStyle w:val="Normaltindrag"/>
        <w:shd w:val="clear" w:color="000000" w:fill="auto"/>
      </w:pPr>
      <w:r w:rsidRPr="00B34BCF">
        <w:t>I oktober 2005 publicerade Amnesty Internationals svenska sektion, Di</w:t>
      </w:r>
      <w:r w:rsidRPr="00B34BCF">
        <w:t>a</w:t>
      </w:r>
      <w:r w:rsidRPr="00B34BCF">
        <w:t>konia, Kristna Fredsrörelsen och Svenska Freds ett gemensamt dokument om den svenska vapenexporten. Man konstaterar här att Sverige i dag är världens nionde största vapenexportör. Svenska vapen bidrar alltså till att göda krig och konflikter, bidrar till brott mot mänskliga rättigheter, bidrar till fattigdom och stärker diktaturer. Exempelvis har granatgeväret Carl Gustaf, som prod</w:t>
      </w:r>
      <w:r w:rsidRPr="00B34BCF">
        <w:t>u</w:t>
      </w:r>
      <w:r w:rsidRPr="00B34BCF">
        <w:t>ceras av Saab Bofors Dynamics, sålts till över 40 länder och använts i krig, bl.a. i Burma, Kambodja, Sri Lanka, Vietnam, Indi</w:t>
      </w:r>
      <w:r w:rsidRPr="00B34BCF">
        <w:t>en och Irak. Vidare har det svenska pansarskottet AT 4 använts vid USA:s invasion av Panama 1989 och i USA:s krigföring i Afghanistan och Irak.</w:t>
      </w:r>
    </w:p>
    <w:p w:rsidR="00B34BCF" w:rsidRPr="00B34BCF" w:rsidRDefault="00B34BCF">
      <w:pPr>
        <w:pStyle w:val="Normaltindrag"/>
        <w:shd w:val="clear" w:color="000000" w:fill="auto"/>
      </w:pPr>
      <w:r w:rsidRPr="00B34BCF">
        <w:t>Organisationerna fastslog också att – trots att en grundläggande förutsät</w:t>
      </w:r>
      <w:r w:rsidRPr="00B34BCF">
        <w:t>t</w:t>
      </w:r>
      <w:r w:rsidRPr="00B34BCF">
        <w:t>ning för vapenexport enligt 1971 års riksdagsbeslut är att mottagarländerna respekterar de mänskliga rättigheterna – export tillåts till en rad länder som bryter mot de mänskliga rättigheterna. Riksdagens riktlinjer för mänskliga rättigheter åsidosätts därmed systematiskt. Under femårsperioden 2000–2004 har stora summor krigsmateriel för strid exporterats till nio länder där allva</w:t>
      </w:r>
      <w:r w:rsidRPr="00B34BCF">
        <w:t>r</w:t>
      </w:r>
      <w:r w:rsidRPr="00B34BCF">
        <w:t>liga brott mot mänskliga rättigheter förekommer. Härigenom legitimeras regeringarna politiskt samtidigt som deras vapenmakt stä</w:t>
      </w:r>
      <w:r w:rsidRPr="00B34BCF">
        <w:t>rks rent konkret.</w:t>
      </w:r>
    </w:p>
    <w:p w:rsidR="00B34BCF" w:rsidRPr="00B34BCF" w:rsidRDefault="00B34BCF">
      <w:pPr>
        <w:pStyle w:val="Normaltindrag"/>
        <w:shd w:val="clear" w:color="000000" w:fill="auto"/>
      </w:pPr>
      <w:r w:rsidRPr="00B34BCF">
        <w:t>Ett av de tydligaste sätten att legitimera en annan stats beteende är att sälja vapen till staten. Hösten 2005 ingick Sverige ett långtgående militärt sama</w:t>
      </w:r>
      <w:r w:rsidRPr="00B34BCF">
        <w:t>r</w:t>
      </w:r>
      <w:r w:rsidRPr="00B34BCF">
        <w:t>betsavtal med Saudiarabien, en av världens mest brutala diktaturer, där pol</w:t>
      </w:r>
      <w:r w:rsidRPr="00B34BCF">
        <w:t>i</w:t>
      </w:r>
      <w:r w:rsidRPr="00B34BCF">
        <w:t>tiska partier är förbjudna, demonstrationer olagliga och där kroppsbestraf</w:t>
      </w:r>
      <w:r w:rsidRPr="00B34BCF">
        <w:t>f</w:t>
      </w:r>
      <w:r w:rsidRPr="00B34BCF">
        <w:t>ning som piskning och amputering utdöms. Utrikesdepartementet riktar på sin egen hemsida hård kritik mot bristen på mänskliga rättigheter i landet. Det borde vara självklart att inte tillåta vapenexport till ett land där medborgarna skulle fängslas om de demonstrerade mot vapenimporten från Sverige.</w:t>
      </w:r>
    </w:p>
    <w:p w:rsidR="00B34BCF" w:rsidRPr="00B34BCF" w:rsidRDefault="00B34BCF">
      <w:pPr>
        <w:pStyle w:val="Normaltindrag"/>
        <w:shd w:val="clear" w:color="000000" w:fill="auto"/>
      </w:pPr>
      <w:r w:rsidRPr="00B34BCF">
        <w:t>Militärdiktaturen Pakistan har absurt nog kommit att bli en</w:t>
      </w:r>
      <w:r w:rsidRPr="00B34BCF">
        <w:t xml:space="preserve"> av Sveriges största krigsmaterielkunder. Detta trots de mycket grova och systematiska kränkningar av de mänskliga rättigheterna som sker i landet, som utomrättsl</w:t>
      </w:r>
      <w:r w:rsidRPr="00B34BCF">
        <w:t>i</w:t>
      </w:r>
      <w:r w:rsidRPr="00B34BCF">
        <w:t>ga avrättningar, tortyr och godtyckliga fängslanden. Det är heller inte utesl</w:t>
      </w:r>
      <w:r w:rsidRPr="00B34BCF">
        <w:t>u</w:t>
      </w:r>
      <w:r w:rsidRPr="00B34BCF">
        <w:t>tet att fundamentalistiska islamister kan komma att ta över makten i landet och således också de vapen som Sverige så frikostigt levererat.</w:t>
      </w:r>
    </w:p>
    <w:p w:rsidR="00B34BCF" w:rsidRPr="00B34BCF" w:rsidRDefault="00B34BCF">
      <w:pPr>
        <w:pStyle w:val="Normaltindrag"/>
        <w:shd w:val="clear" w:color="000000" w:fill="auto"/>
      </w:pPr>
      <w:r w:rsidRPr="00B34BCF">
        <w:t>Det är knappast heller i god överensstämmelse med en politik för fatti</w:t>
      </w:r>
      <w:r w:rsidRPr="00B34BCF">
        <w:t>g</w:t>
      </w:r>
      <w:r w:rsidRPr="00B34BCF">
        <w:t>domsbekämpning att sälja det militära radarövervakningssystemet Erieye, värt 8,3 miljarder kronor, till Pakistan som lägger ner 47 gånger mer på mil</w:t>
      </w:r>
      <w:r w:rsidRPr="00B34BCF">
        <w:t>i</w:t>
      </w:r>
      <w:r w:rsidRPr="00B34BCF">
        <w:t>tärutgifter än på vatten och sanitet.</w:t>
      </w:r>
    </w:p>
    <w:p w:rsidR="00B34BCF" w:rsidRPr="00B34BCF" w:rsidRDefault="00B34BCF">
      <w:pPr>
        <w:pStyle w:val="Normaltindrag"/>
        <w:shd w:val="clear" w:color="000000" w:fill="auto"/>
      </w:pPr>
      <w:r w:rsidRPr="00B34BCF">
        <w:t>Den 5 mars 2008 presenterades 2007 års vapenexportstatistik. Svenska Freds- och Skiljedomsföreningens ordförande Anna Ek kommenterade att det är anmärkningsvärt att den borgerliga regeringen, som sätter demokrati och mänskliga rättigheter högt på den politiska agendan, godkänner att Sverige exporterar krigsmateriel till fl</w:t>
      </w:r>
      <w:r w:rsidRPr="00B34BCF">
        <w:t>era diktaturer. Sverige sålde under 2007 vapen till diktaturer som Pakistan, Saudiarabien, Förenade Arabemiraten och Oman. Bland mottagarländerna fanns även flera som är inblandade i väpnad konflikt, t.ex. Indien, Thailand och USA. När det turkiska parlamentet gav armén fria händer att gå in i norra Irak gav Inspektionen för strategiska produkter kla</w:t>
      </w:r>
      <w:r w:rsidRPr="00B34BCF">
        <w:t>r</w:t>
      </w:r>
      <w:r w:rsidRPr="00B34BCF">
        <w:t>tecken för export av krigsmateriel för strid till Turkiet. Under den senaste femårsperioden har vapenexporten ökat med 50 procent. Exporten av krig</w:t>
      </w:r>
      <w:r w:rsidRPr="00B34BCF">
        <w:t>s</w:t>
      </w:r>
      <w:r w:rsidRPr="00B34BCF">
        <w:t>materiel fö</w:t>
      </w:r>
      <w:r w:rsidRPr="00B34BCF">
        <w:t>r strid ökade med 10 procent 2007. Det största mottagarlandet var Sydafrika. Bland de tio största mottagarländerna finns USA, Indien och P</w:t>
      </w:r>
      <w:r w:rsidRPr="00B34BCF">
        <w:t>a</w:t>
      </w:r>
      <w:r w:rsidRPr="00B34BCF">
        <w:t>kistan.</w:t>
      </w:r>
    </w:p>
    <w:p w:rsidR="00B34BCF" w:rsidRPr="00B34BCF" w:rsidRDefault="00B34BCF">
      <w:pPr>
        <w:pStyle w:val="Normaltindrag"/>
        <w:shd w:val="clear" w:color="000000" w:fill="auto"/>
      </w:pPr>
      <w:r w:rsidRPr="00B34BCF">
        <w:t>Eftersom Sverige genom den nuvarande vapenexportpolitiken i hög grad bidrar till att skapa nya flyktingströmmar med åtföljande humanitära katastr</w:t>
      </w:r>
      <w:r w:rsidRPr="00B34BCF">
        <w:t>o</w:t>
      </w:r>
      <w:r w:rsidRPr="00B34BCF">
        <w:t>fer, är den mest brådskande förändringen av svensk flyktingpolitik ett om</w:t>
      </w:r>
      <w:r w:rsidRPr="00B34BCF">
        <w:t>e</w:t>
      </w:r>
      <w:r w:rsidRPr="00B34BCF">
        <w:t>delbart stopp för den svenska vapenexporten till länder där grova kränkningar av mänskliga rättigheter äger rum. Detta bör riksdagen som sin mening ge regeringen till känna.</w:t>
      </w:r>
    </w:p>
    <w:p w:rsidR="00B34BCF" w:rsidRPr="00B34BCF" w:rsidRDefault="00B34BCF">
      <w:pPr>
        <w:pStyle w:val="Normaltindrag"/>
        <w:shd w:val="clear" w:color="000000" w:fill="auto"/>
      </w:pPr>
      <w:r w:rsidRPr="00B34BCF">
        <w:t>Även i övrigt bör regelverket för vapenexporten ändras så att Sverige up</w:t>
      </w:r>
      <w:r w:rsidRPr="00B34BCF">
        <w:t>p</w:t>
      </w:r>
      <w:r w:rsidRPr="00B34BCF">
        <w:t>fyller de krav Amnesty International ställer i de rekommendationer som b</w:t>
      </w:r>
      <w:r w:rsidRPr="00B34BCF">
        <w:t>e</w:t>
      </w:r>
      <w:r w:rsidRPr="00B34BCF">
        <w:t>rörts ovan. Sverige bör också i FN ta initiativ till en konferens för att påbörja arbetet med ett internationellt fördrag om restriktioner i vapenexport och vapenhandel i enlighet med det förslag som Amnesty International present</w:t>
      </w:r>
      <w:r w:rsidRPr="00B34BCF">
        <w:t>e</w:t>
      </w:r>
      <w:r w:rsidRPr="00B34BCF">
        <w:t>rat. Detta bör riksdagen som sin mening ge regeringen till känna.</w:t>
      </w:r>
    </w:p>
    <w:p w:rsidR="00B34BCF" w:rsidRPr="00B34BCF" w:rsidRDefault="00B34BCF">
      <w:pPr>
        <w:pStyle w:val="Rubrik2"/>
        <w:shd w:val="clear" w:color="000000" w:fill="auto"/>
      </w:pPr>
      <w:bookmarkStart w:id="41" w:name="_Toc148441336"/>
      <w:bookmarkStart w:id="42" w:name="_Toc148441372"/>
      <w:bookmarkStart w:id="43" w:name="_Toc148512541"/>
      <w:bookmarkStart w:id="44" w:name="_Toc148512577"/>
      <w:bookmarkStart w:id="45" w:name="_Toc177886815"/>
      <w:bookmarkStart w:id="46" w:name="_Toc178674195"/>
      <w:bookmarkStart w:id="47" w:name="_Toc178925557"/>
      <w:bookmarkStart w:id="48" w:name="_Toc179272150"/>
      <w:bookmarkStart w:id="49" w:name="_Toc206923771"/>
      <w:bookmarkStart w:id="50" w:name="_Toc208848283"/>
      <w:bookmarkStart w:id="51" w:name="_Toc208848322"/>
      <w:bookmarkStart w:id="52" w:name="_Toc214362385"/>
      <w:r w:rsidRPr="00B34BCF">
        <w:t>Konkurrens om råvaror</w:t>
      </w:r>
      <w:bookmarkEnd w:id="41"/>
      <w:bookmarkEnd w:id="42"/>
      <w:bookmarkEnd w:id="43"/>
      <w:bookmarkEnd w:id="44"/>
      <w:bookmarkEnd w:id="45"/>
      <w:bookmarkEnd w:id="46"/>
      <w:bookmarkEnd w:id="47"/>
      <w:bookmarkEnd w:id="48"/>
      <w:bookmarkEnd w:id="49"/>
      <w:bookmarkEnd w:id="50"/>
      <w:bookmarkEnd w:id="51"/>
      <w:bookmarkEnd w:id="52"/>
    </w:p>
    <w:p w:rsidR="00B34BCF" w:rsidRPr="00B34BCF" w:rsidRDefault="00B34BCF">
      <w:pPr>
        <w:shd w:val="clear" w:color="000000" w:fill="auto"/>
      </w:pPr>
      <w:r w:rsidRPr="00B34BCF">
        <w:t>Konkurrens om diamanter, mineral, olja eller råvaror mellan stater eller för</w:t>
      </w:r>
      <w:r w:rsidRPr="00B34BCF">
        <w:t>e</w:t>
      </w:r>
      <w:r w:rsidRPr="00B34BCF">
        <w:t>tag är och har varit en viktig orsak till flera pågående eller nyligen avslutade krig, t.ex. i Demokratiska republiken Kongo och Sudan. I det senare fallet har sv</w:t>
      </w:r>
      <w:r w:rsidRPr="00B34BCF">
        <w:rPr>
          <w:spacing w:val="-2"/>
        </w:rPr>
        <w:t>enska intressen varit involverade genom oljeutvinning som bedrivs av Lun</w:t>
      </w:r>
      <w:r w:rsidRPr="00B34BCF">
        <w:t xml:space="preserve">din Petroleum. Det är en verksamhet som bidrog till att förlänga och förvärra pågående krig och till folkfördrivning genom nedbränning av byar. Det är viktigt att ha dessa fakta i minnet när ledande politiker i Sverige och andra västländer i högtidliga ordalag talar om vikten </w:t>
      </w:r>
      <w:r w:rsidRPr="00B34BCF">
        <w:t>av att förebygga uppkomsten av flyktingströmmar och när de som flyr från dessa konflikter nekas skydd i Sverige.</w:t>
      </w:r>
    </w:p>
    <w:p w:rsidR="00B34BCF" w:rsidRPr="00B34BCF" w:rsidRDefault="00B34BCF">
      <w:pPr>
        <w:pStyle w:val="Rubrik2"/>
        <w:shd w:val="clear" w:color="000000" w:fill="auto"/>
      </w:pPr>
      <w:bookmarkStart w:id="53" w:name="_Toc148441337"/>
      <w:bookmarkStart w:id="54" w:name="_Toc148441373"/>
      <w:bookmarkStart w:id="55" w:name="_Toc148512542"/>
      <w:bookmarkStart w:id="56" w:name="_Toc148512578"/>
      <w:bookmarkStart w:id="57" w:name="_Toc177886816"/>
      <w:bookmarkStart w:id="58" w:name="_Toc178674196"/>
      <w:bookmarkStart w:id="59" w:name="_Toc178925558"/>
      <w:bookmarkStart w:id="60" w:name="_Toc179272151"/>
      <w:bookmarkStart w:id="61" w:name="_Toc206923772"/>
      <w:bookmarkStart w:id="62" w:name="_Toc208848284"/>
      <w:bookmarkStart w:id="63" w:name="_Toc208848323"/>
      <w:bookmarkStart w:id="64" w:name="_Toc214362386"/>
      <w:r w:rsidRPr="00B34BCF">
        <w:t>Etniska konflikter och inhemskt förtryck</w:t>
      </w:r>
      <w:bookmarkEnd w:id="53"/>
      <w:bookmarkEnd w:id="54"/>
      <w:bookmarkEnd w:id="55"/>
      <w:bookmarkEnd w:id="56"/>
      <w:bookmarkEnd w:id="57"/>
      <w:bookmarkEnd w:id="58"/>
      <w:bookmarkEnd w:id="59"/>
      <w:bookmarkEnd w:id="60"/>
      <w:bookmarkEnd w:id="61"/>
      <w:bookmarkEnd w:id="62"/>
      <w:bookmarkEnd w:id="63"/>
      <w:bookmarkEnd w:id="64"/>
    </w:p>
    <w:p w:rsidR="00B34BCF" w:rsidRPr="00B34BCF" w:rsidRDefault="00B34BCF">
      <w:pPr>
        <w:shd w:val="clear" w:color="000000" w:fill="auto"/>
      </w:pPr>
      <w:r w:rsidRPr="00B34BCF">
        <w:t xml:space="preserve">Konflikter mellan, och förföljelse av, etniska och religiösa grupper är vanliga orsaker till att människor drivs på flykt. Men också rent inhemskt förtryck där grundläggande demokratiska rättigheter satts </w:t>
      </w:r>
      <w:smartTag w:uri="urn:schemas-microsoft-com:office:smarttags" w:element="place">
        <w:smartTag w:uri="urn:schemas-microsoft-com:office:smarttags" w:element="City">
          <w:r w:rsidRPr="00B34BCF">
            <w:t>ur</w:t>
          </w:r>
        </w:smartTag>
      </w:smartTag>
      <w:r w:rsidRPr="00B34BCF">
        <w:t xml:space="preserve"> spel, vilka ofta har politiska strider och inbördeskrig som följd, befrämjar uppkomsten av flyktingströ</w:t>
      </w:r>
      <w:r w:rsidRPr="00B34BCF">
        <w:t>m</w:t>
      </w:r>
      <w:r w:rsidRPr="00B34BCF">
        <w:t>mar. De åtgärder som USA och andra västländer vidtagit efter terrorattacken den 11 september 2001 för att förebygga nya terrordåd, har inneburit att mänskliga rättigheter allvarligt kränks, i synnerhet i USA och Storbritannien. Ryssland och Kina har tagit detta till förevändning att ostört genomföra oe</w:t>
      </w:r>
      <w:r w:rsidRPr="00B34BCF">
        <w:t>r</w:t>
      </w:r>
      <w:r w:rsidRPr="00B34BCF">
        <w:t>hörda övergrepp mot mänskliga rättigheter, t.ex. i Tjetjenien och Kaukasus i Kabardino-Balkarien, res</w:t>
      </w:r>
      <w:r w:rsidRPr="00B34BCF">
        <w:t>pektive i Tibet och mot den uiguriska folkgruppen. USA:s krigföring i Irak har orsakat och orsakar enorma nya flyktingströ</w:t>
      </w:r>
      <w:r w:rsidRPr="00B34BCF">
        <w:t>m</w:t>
      </w:r>
      <w:r w:rsidRPr="00B34BCF">
        <w:t>mar.</w:t>
      </w:r>
    </w:p>
    <w:p w:rsidR="00B34BCF" w:rsidRPr="00B34BCF" w:rsidRDefault="00B34BCF">
      <w:pPr>
        <w:pStyle w:val="Rubrik2"/>
        <w:shd w:val="clear" w:color="000000" w:fill="auto"/>
      </w:pPr>
      <w:bookmarkStart w:id="65" w:name="_Toc148441338"/>
      <w:bookmarkStart w:id="66" w:name="_Toc148441374"/>
      <w:bookmarkStart w:id="67" w:name="_Toc148512543"/>
      <w:bookmarkStart w:id="68" w:name="_Toc148512579"/>
      <w:bookmarkStart w:id="69" w:name="_Toc177886817"/>
      <w:bookmarkStart w:id="70" w:name="_Toc178674197"/>
      <w:bookmarkStart w:id="71" w:name="_Toc178925559"/>
      <w:bookmarkStart w:id="72" w:name="_Toc179272152"/>
      <w:bookmarkStart w:id="73" w:name="_Toc206923773"/>
      <w:bookmarkStart w:id="74" w:name="_Toc208848285"/>
      <w:bookmarkStart w:id="75" w:name="_Toc208848324"/>
      <w:bookmarkStart w:id="76" w:name="_Toc214362387"/>
      <w:r w:rsidRPr="00B34BCF">
        <w:t>Riktiga flyktingar?</w:t>
      </w:r>
      <w:bookmarkEnd w:id="65"/>
      <w:bookmarkEnd w:id="66"/>
      <w:bookmarkEnd w:id="67"/>
      <w:bookmarkEnd w:id="68"/>
      <w:bookmarkEnd w:id="69"/>
      <w:bookmarkEnd w:id="70"/>
      <w:bookmarkEnd w:id="71"/>
      <w:bookmarkEnd w:id="72"/>
      <w:bookmarkEnd w:id="73"/>
      <w:bookmarkEnd w:id="74"/>
      <w:bookmarkEnd w:id="75"/>
      <w:bookmarkEnd w:id="76"/>
    </w:p>
    <w:p w:rsidR="00B34BCF" w:rsidRPr="00B34BCF" w:rsidRDefault="00B34BCF">
      <w:pPr>
        <w:shd w:val="clear" w:color="000000" w:fill="auto"/>
      </w:pPr>
      <w:r w:rsidRPr="00B34BCF">
        <w:t>Det görs ofta, också bland ledande politiker som borde veta bättre, gällande att flertalet asylsökande inte har några verkliga asylskäl utan att det snarare är fråga om en ekonomisk och social migration, att människor söker sig en bät</w:t>
      </w:r>
      <w:r w:rsidRPr="00B34BCF">
        <w:t>t</w:t>
      </w:r>
      <w:r w:rsidRPr="00B34BCF">
        <w:t xml:space="preserve">re framtid i Sverige. Men den som hävdar något sådant bör närmare studera från vilka länder de asylsökande kommer. Det </w:t>
      </w:r>
      <w:smartTag w:uri="urn:schemas-microsoft-com:office:smarttags" w:element="place">
        <w:smartTag w:uri="urn:schemas-microsoft-com:office:smarttags" w:element="State">
          <w:r w:rsidRPr="00B34BCF">
            <w:t>kan</w:t>
          </w:r>
        </w:smartTag>
      </w:smartTag>
      <w:r w:rsidRPr="00B34BCF">
        <w:t xml:space="preserve"> då konstateras att nästan alla kommer från länder där det antingen pågår krig, väpnad konflikt eller grova kränkningar av de mänskliga rättigheterna. Det finns ingen som helst koppling mellan ursprungsländers fattigdom och ett migrationstryck mot Sverige. Däremot finns ett tydligt samband mellan exempelvis Lundin Petr</w:t>
      </w:r>
      <w:r w:rsidRPr="00B34BCF">
        <w:t>o</w:t>
      </w:r>
      <w:r w:rsidRPr="00B34BCF">
        <w:t>leums verksamhet i Sudan och den regimens ekonomiska möjligheter att</w:t>
      </w:r>
      <w:r w:rsidRPr="00B34BCF">
        <w:t xml:space="preserve"> bedriva ohyggliga och systematiska övergrepp på civilbefolkningen.</w:t>
      </w:r>
    </w:p>
    <w:p w:rsidR="00B34BCF" w:rsidRPr="00B34BCF" w:rsidRDefault="00B34BCF">
      <w:pPr>
        <w:pStyle w:val="Normaltindrag"/>
        <w:shd w:val="clear" w:color="000000" w:fill="auto"/>
      </w:pPr>
      <w:r w:rsidRPr="00B34BCF">
        <w:t>Ett annat argument som ofta anförs är att det är så få ”riktiga flyktingar” bland dem som söker asyl i Sverige, närmare bestämt var det bara 3,4 procent som fick flyktingstatus 2007.</w:t>
      </w:r>
    </w:p>
    <w:p w:rsidR="00B34BCF" w:rsidRPr="00B34BCF" w:rsidRDefault="00B34BCF">
      <w:pPr>
        <w:pStyle w:val="Normaltindrag"/>
        <w:shd w:val="clear" w:color="000000" w:fill="auto"/>
      </w:pPr>
      <w:r w:rsidRPr="00B34BCF">
        <w:t>Ett lands asylpolitik fungerar som ett lackmustest för dess inställning till försvaret av mänskliga rättigheter. Om inte de människors mänskliga rättigh</w:t>
      </w:r>
      <w:r w:rsidRPr="00B34BCF">
        <w:t>e</w:t>
      </w:r>
      <w:r w:rsidRPr="00B34BCF">
        <w:t>ter respekteras som har minst möjligheter och resurser att föra sin talan, kommer andra gruppers rättigheter att angripas längre fram. Därför är det av största vikt att stärka svenska myndigheters respekt för asylrätten och Gen</w:t>
      </w:r>
      <w:r w:rsidRPr="00B34BCF">
        <w:t>è</w:t>
      </w:r>
      <w:r w:rsidRPr="00B34BCF">
        <w:t>vekonventionen. Detta bör riksdagen som sin mening ge regeringen till känna.</w:t>
      </w:r>
    </w:p>
    <w:p w:rsidR="00B34BCF" w:rsidRPr="00B34BCF" w:rsidRDefault="00B34BCF">
      <w:pPr>
        <w:pStyle w:val="Rubrik1"/>
        <w:shd w:val="clear" w:color="000000" w:fill="auto"/>
      </w:pPr>
      <w:bookmarkStart w:id="77" w:name="_Toc115091974"/>
      <w:bookmarkStart w:id="78" w:name="_Toc115092149"/>
      <w:bookmarkStart w:id="79" w:name="_Toc147720094"/>
      <w:bookmarkStart w:id="80" w:name="_Toc148441339"/>
      <w:bookmarkStart w:id="81" w:name="_Toc148441375"/>
      <w:bookmarkStart w:id="82" w:name="_Toc148512544"/>
      <w:bookmarkStart w:id="83" w:name="_Toc148512580"/>
      <w:bookmarkStart w:id="84" w:name="_Toc177886818"/>
      <w:bookmarkStart w:id="85" w:name="_Toc178674198"/>
      <w:bookmarkStart w:id="86" w:name="_Toc178925560"/>
      <w:bookmarkStart w:id="87" w:name="_Toc179272153"/>
      <w:bookmarkStart w:id="88" w:name="_Toc206923774"/>
      <w:bookmarkStart w:id="89" w:name="_Toc208848286"/>
      <w:bookmarkStart w:id="90" w:name="_Toc208848325"/>
      <w:bookmarkStart w:id="91" w:name="_Toc214362388"/>
      <w:r w:rsidRPr="00B34BCF">
        <w:t>Sveriges medlemskap i IOM</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B34BCF" w:rsidRPr="00B34BCF" w:rsidRDefault="00B34BCF">
      <w:pPr>
        <w:shd w:val="clear" w:color="000000" w:fill="auto"/>
        <w:rPr>
          <w:snapToGrid w:val="0"/>
        </w:rPr>
      </w:pPr>
      <w:r w:rsidRPr="00B34BCF">
        <w:rPr>
          <w:snapToGrid w:val="0"/>
        </w:rPr>
        <w:t>The International Organization for Migration (IOM) grundades 1951 på in</w:t>
      </w:r>
      <w:r w:rsidRPr="00B34BCF">
        <w:rPr>
          <w:snapToGrid w:val="0"/>
        </w:rPr>
        <w:t>i</w:t>
      </w:r>
      <w:r w:rsidRPr="00B34BCF">
        <w:rPr>
          <w:snapToGrid w:val="0"/>
        </w:rPr>
        <w:t>tiativ av USA. Sedan 1989 har organisationen omvandlats till en transnati</w:t>
      </w:r>
      <w:r w:rsidRPr="00B34BCF">
        <w:rPr>
          <w:snapToGrid w:val="0"/>
        </w:rPr>
        <w:t>o</w:t>
      </w:r>
      <w:r w:rsidRPr="00B34BCF">
        <w:rPr>
          <w:snapToGrid w:val="0"/>
        </w:rPr>
        <w:t>nell organisation för global styrning av migration utifrån ekonomiska u</w:t>
      </w:r>
      <w:r w:rsidRPr="00B34BCF">
        <w:rPr>
          <w:snapToGrid w:val="0"/>
        </w:rPr>
        <w:t>t</w:t>
      </w:r>
      <w:r w:rsidRPr="00B34BCF">
        <w:rPr>
          <w:snapToGrid w:val="0"/>
        </w:rPr>
        <w:t>gångs</w:t>
      </w:r>
      <w:r w:rsidRPr="00B34BCF">
        <w:rPr>
          <w:snapToGrid w:val="0"/>
        </w:rPr>
        <w:softHyphen/>
        <w:t>punkter.</w:t>
      </w:r>
    </w:p>
    <w:p w:rsidR="00B34BCF" w:rsidRPr="00B34BCF" w:rsidRDefault="00B34BCF">
      <w:pPr>
        <w:pStyle w:val="Normaltindrag"/>
        <w:shd w:val="clear" w:color="000000" w:fill="auto"/>
        <w:rPr>
          <w:snapToGrid w:val="0"/>
        </w:rPr>
      </w:pPr>
      <w:r w:rsidRPr="00B34BCF">
        <w:rPr>
          <w:snapToGrid w:val="0"/>
        </w:rPr>
        <w:t>Ledande organisationer för mänskliga rättigheter som Amnesty Internati</w:t>
      </w:r>
      <w:r w:rsidRPr="00B34BCF">
        <w:rPr>
          <w:snapToGrid w:val="0"/>
        </w:rPr>
        <w:t>o</w:t>
      </w:r>
      <w:r w:rsidRPr="00B34BCF">
        <w:rPr>
          <w:snapToGrid w:val="0"/>
        </w:rPr>
        <w:t>nal och Human Rights Watch har under flera år riktat förödande kritik mot att IOM:s aktiviteter i många fall kränker grundläggande mänskliga rättigheter, t.ex. genom program som hindrar människor från att fly eller genom att org</w:t>
      </w:r>
      <w:r w:rsidRPr="00B34BCF">
        <w:rPr>
          <w:snapToGrid w:val="0"/>
        </w:rPr>
        <w:t>a</w:t>
      </w:r>
      <w:r w:rsidRPr="00B34BCF">
        <w:rPr>
          <w:snapToGrid w:val="0"/>
        </w:rPr>
        <w:t>nisera återvändande för flyktingar trots en oacceptabel säkerhetssituation i hemlandet. Mot bakgrund av de synnerligen allvarliga och bestående missfö</w:t>
      </w:r>
      <w:r w:rsidRPr="00B34BCF">
        <w:rPr>
          <w:snapToGrid w:val="0"/>
        </w:rPr>
        <w:t>r</w:t>
      </w:r>
      <w:r w:rsidRPr="00B34BCF">
        <w:rPr>
          <w:snapToGrid w:val="0"/>
        </w:rPr>
        <w:t>hållandena i IOM:s verksamhet bör Sverige avsluta sitt medlemskap i organ</w:t>
      </w:r>
      <w:r w:rsidRPr="00B34BCF">
        <w:rPr>
          <w:snapToGrid w:val="0"/>
        </w:rPr>
        <w:t>i</w:t>
      </w:r>
      <w:r w:rsidRPr="00B34BCF">
        <w:rPr>
          <w:snapToGrid w:val="0"/>
        </w:rPr>
        <w:t>sationen. Detta bör riksdagen som sin mening ge regeringe</w:t>
      </w:r>
      <w:r w:rsidRPr="00B34BCF">
        <w:rPr>
          <w:snapToGrid w:val="0"/>
        </w:rPr>
        <w:t>n till känna.</w:t>
      </w:r>
    </w:p>
    <w:p w:rsidR="00B34BCF" w:rsidRPr="00B34BCF" w:rsidRDefault="00B34BCF">
      <w:pPr>
        <w:pStyle w:val="Rubrik1"/>
        <w:shd w:val="clear" w:color="000000" w:fill="auto"/>
      </w:pPr>
      <w:bookmarkStart w:id="92" w:name="_Toc83459837"/>
      <w:bookmarkStart w:id="93" w:name="_Toc111450581"/>
      <w:bookmarkStart w:id="94" w:name="_Toc115092002"/>
      <w:bookmarkStart w:id="95" w:name="_Toc115092177"/>
      <w:bookmarkStart w:id="96" w:name="_Toc147720115"/>
      <w:bookmarkStart w:id="97" w:name="_Toc148441341"/>
      <w:bookmarkStart w:id="98" w:name="_Toc148441377"/>
      <w:bookmarkStart w:id="99" w:name="_Toc148512546"/>
      <w:bookmarkStart w:id="100" w:name="_Toc148512582"/>
      <w:bookmarkStart w:id="101" w:name="_Toc177886819"/>
      <w:bookmarkStart w:id="102" w:name="_Toc178674199"/>
      <w:bookmarkStart w:id="103" w:name="_Toc178925561"/>
      <w:bookmarkStart w:id="104" w:name="_Toc179272154"/>
      <w:bookmarkStart w:id="105" w:name="_Toc206923775"/>
      <w:bookmarkStart w:id="106" w:name="_Toc208848287"/>
      <w:bookmarkStart w:id="107" w:name="_Toc208848326"/>
      <w:bookmarkStart w:id="108" w:name="_Toc214362389"/>
      <w:r w:rsidRPr="00B34BCF">
        <w:t>FN:s flyktingkommissariats finansiering och mandat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B34BCF" w:rsidRPr="00B34BCF" w:rsidRDefault="00B34BCF">
      <w:pPr>
        <w:shd w:val="clear" w:color="000000" w:fill="auto"/>
      </w:pPr>
      <w:r w:rsidRPr="00B34BCF">
        <w:t>Den verksamhet som bedrivs av FN:s flyktingkommissariat finansieras g</w:t>
      </w:r>
      <w:r w:rsidRPr="00B34BCF">
        <w:t>e</w:t>
      </w:r>
      <w:r w:rsidRPr="00B34BCF">
        <w:t>nom årliga bidrag från medlemsstaterna. Detta är en ur flera aspekter olycklig ordning. Organisationen får svårigheter med sin planering eftersom finansi</w:t>
      </w:r>
      <w:r w:rsidRPr="00B34BCF">
        <w:t>e</w:t>
      </w:r>
      <w:r w:rsidRPr="00B34BCF">
        <w:t>ringen blir osäker och ryckig. Dessutom kan FN:s flyktingkommissariat risk</w:t>
      </w:r>
      <w:r w:rsidRPr="00B34BCF">
        <w:t>e</w:t>
      </w:r>
      <w:r w:rsidRPr="00B34BCF">
        <w:t>ra att drabbas av tunghäfta när det är påkallat att framföra kritik mot någon av de viktigaste bidragsgivarna, t.ex. Sverige. Därför bör regeringen i FN verka för att FN:s flyktingkommissariat ska finansieras via FN:s budget med treår</w:t>
      </w:r>
      <w:r w:rsidRPr="00B34BCF">
        <w:t>i</w:t>
      </w:r>
      <w:r w:rsidRPr="00B34BCF">
        <w:t>ga anslag. Detta bör riksdagen som sin mening g</w:t>
      </w:r>
      <w:r w:rsidRPr="00B34BCF">
        <w:t>e regeringen till känna.</w:t>
      </w:r>
    </w:p>
    <w:p w:rsidR="00B34BCF" w:rsidRPr="00B34BCF" w:rsidRDefault="00B34BCF">
      <w:pPr>
        <w:pStyle w:val="Normaltindrag"/>
        <w:shd w:val="clear" w:color="000000" w:fill="auto"/>
      </w:pPr>
      <w:r w:rsidRPr="00B34BCF">
        <w:t xml:space="preserve">FN:s flyktingkommissariats mandat omfattar bara flyktingar som passerat en nationsgräns. Numera utgör de s.k. internflyktingarna en mycket stor del av alla flyktingar. </w:t>
      </w:r>
      <w:r w:rsidRPr="00B34BCF">
        <w:rPr>
          <w:snapToGrid w:val="0"/>
          <w:color w:val="000000"/>
        </w:rPr>
        <w:t>Rapporter visar att kvinnor som flyr undan s.k. hedersrel</w:t>
      </w:r>
      <w:r w:rsidRPr="00B34BCF">
        <w:rPr>
          <w:snapToGrid w:val="0"/>
          <w:color w:val="000000"/>
        </w:rPr>
        <w:t>a</w:t>
      </w:r>
      <w:r w:rsidRPr="00B34BCF">
        <w:rPr>
          <w:snapToGrid w:val="0"/>
          <w:color w:val="000000"/>
        </w:rPr>
        <w:t>terat våld ofta tar sin tillflykt till fängelser i området för att undvika att mö</w:t>
      </w:r>
      <w:r w:rsidRPr="00B34BCF">
        <w:rPr>
          <w:snapToGrid w:val="0"/>
          <w:color w:val="000000"/>
        </w:rPr>
        <w:t>r</w:t>
      </w:r>
      <w:r w:rsidRPr="00B34BCF">
        <w:rPr>
          <w:snapToGrid w:val="0"/>
          <w:color w:val="000000"/>
        </w:rPr>
        <w:t xml:space="preserve">das. På grund av risken och allvaret i hoten kan de tvingas att tillbringa resten av sina liv i fängelset – oskyldigt dömda till livstidsstraff för att de är kvinnor. Dessa kvinnor kan inte fly till något annat land för att omfattas av </w:t>
      </w:r>
      <w:r w:rsidRPr="00B34BCF">
        <w:t>FN:s fly</w:t>
      </w:r>
      <w:r w:rsidRPr="00B34BCF">
        <w:t>k</w:t>
      </w:r>
      <w:r w:rsidRPr="00B34BCF">
        <w:t>tingkommissariats</w:t>
      </w:r>
      <w:r w:rsidRPr="00B34BCF">
        <w:rPr>
          <w:snapToGrid w:val="0"/>
          <w:color w:val="000000"/>
        </w:rPr>
        <w:t xml:space="preserve"> skydd. </w:t>
      </w:r>
      <w:r w:rsidRPr="00B34BCF">
        <w:t>Visserligen gör FN:s flyktingkommissariat redan i dag viktiga humanitära insatser för internflyktingar</w:t>
      </w:r>
      <w:r w:rsidRPr="00B34BCF">
        <w:t>, men det är viktigt att mandatet utvidgas så att organisationen exempelvis får möjlighet att vid b</w:t>
      </w:r>
      <w:r w:rsidRPr="00B34BCF">
        <w:t>e</w:t>
      </w:r>
      <w:r w:rsidRPr="00B34BCF">
        <w:t>hov hjälpa internflyktingar att lämna sitt hemland. Regeringen bör i alla läm</w:t>
      </w:r>
      <w:r w:rsidRPr="00B34BCF">
        <w:t>p</w:t>
      </w:r>
      <w:r w:rsidRPr="00B34BCF">
        <w:t>liga sammanhang verka för en sådan utvidgning av FN:s flyktingkommissa</w:t>
      </w:r>
      <w:r w:rsidRPr="00B34BCF">
        <w:softHyphen/>
        <w:t>riats mandat. Detta bör riksdagen som sin mening ge regeringen till känna.</w:t>
      </w:r>
    </w:p>
    <w:p w:rsidR="00B34BCF" w:rsidRPr="00B34BCF" w:rsidRDefault="00B34BCF">
      <w:pPr>
        <w:pStyle w:val="Normaltindrag"/>
        <w:shd w:val="clear" w:color="000000" w:fill="auto"/>
      </w:pPr>
      <w:r w:rsidRPr="00B34BCF">
        <w:t>Vid den s.k. gränsförvaltningen av EU:s yttergränser, bl.a. i Medelhavet och utanför Afrikas västkust, bedrivs både av enskilda EU-stater och genom EU:s byrå för yttre gränskontroll – Fron</w:t>
      </w:r>
      <w:r w:rsidRPr="00B34BCF">
        <w:t>tex – en verksamhet som stoppar flyktingar på väg till Europa för att söka asyl. Det är av avgörande betydelse att FN:s flyktingkommissariat bereds möjlighet att delta i denna verksamhet för att tillföra sitt kunnande om flyktingkonventionens riktiga tillämpning i dessa sammanhang. EU bör anslå medel för att finansiera detta. Regeringen bör därför i EU verka för att EU anslår medel för att möjliggöra för FN:s flyktingkommissariat att medverka vid förvaltningen av EU:s yttergränser. Detta bör riksdagen som s</w:t>
      </w:r>
      <w:r w:rsidRPr="00B34BCF">
        <w:t>in mening ge regeringen till känna.</w:t>
      </w:r>
    </w:p>
    <w:p w:rsidR="00B34BCF" w:rsidRPr="00B34BCF" w:rsidRDefault="00B34BCF">
      <w:pPr>
        <w:pStyle w:val="Rubrik1"/>
        <w:shd w:val="clear" w:color="000000" w:fill="auto"/>
      </w:pPr>
      <w:bookmarkStart w:id="109" w:name="_Toc52088929"/>
      <w:bookmarkStart w:id="110" w:name="_Toc52089194"/>
      <w:bookmarkStart w:id="111" w:name="_Toc52089218"/>
      <w:bookmarkStart w:id="112" w:name="_Toc52089472"/>
      <w:bookmarkStart w:id="113" w:name="_Toc52089640"/>
      <w:bookmarkStart w:id="114" w:name="_Toc52089664"/>
      <w:bookmarkStart w:id="115" w:name="_Toc52089689"/>
      <w:bookmarkStart w:id="116" w:name="_Toc52090551"/>
      <w:bookmarkStart w:id="117" w:name="_Toc52098333"/>
      <w:bookmarkStart w:id="118" w:name="_Toc52160915"/>
      <w:bookmarkStart w:id="119" w:name="_Toc52161124"/>
      <w:bookmarkStart w:id="120" w:name="_Toc52168525"/>
      <w:bookmarkStart w:id="121" w:name="_Toc52856682"/>
      <w:bookmarkStart w:id="122" w:name="_Toc82430508"/>
      <w:bookmarkStart w:id="123" w:name="_Toc82430595"/>
      <w:bookmarkStart w:id="124" w:name="_Toc82431887"/>
      <w:bookmarkStart w:id="125" w:name="_Toc83459817"/>
      <w:bookmarkStart w:id="126" w:name="_Toc111450563"/>
      <w:bookmarkStart w:id="127" w:name="_Toc115091980"/>
      <w:bookmarkStart w:id="128" w:name="_Toc115092155"/>
      <w:bookmarkStart w:id="129" w:name="_Toc147720096"/>
      <w:bookmarkStart w:id="130" w:name="_Toc148441342"/>
      <w:bookmarkStart w:id="131" w:name="_Toc148441378"/>
      <w:bookmarkStart w:id="132" w:name="_Toc148512547"/>
      <w:bookmarkStart w:id="133" w:name="_Toc148512583"/>
      <w:bookmarkStart w:id="134" w:name="_Toc177886820"/>
      <w:bookmarkStart w:id="135" w:name="_Toc178674200"/>
      <w:bookmarkStart w:id="136" w:name="_Toc178925562"/>
      <w:bookmarkStart w:id="137" w:name="_Toc179272155"/>
      <w:bookmarkStart w:id="138" w:name="_Toc206923776"/>
      <w:bookmarkStart w:id="139" w:name="_Toc208848288"/>
      <w:bookmarkStart w:id="140" w:name="_Toc208848327"/>
      <w:bookmarkStart w:id="141" w:name="_Toc214362390"/>
      <w:r w:rsidRPr="00B34BCF">
        <w:t>Utvecklingen i Europeiska unionen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B34BCF" w:rsidRPr="00B34BCF" w:rsidRDefault="00B34BCF">
      <w:pPr>
        <w:shd w:val="clear" w:color="000000" w:fill="auto"/>
        <w:rPr>
          <w:snapToGrid w:val="0"/>
        </w:rPr>
      </w:pPr>
      <w:r w:rsidRPr="00B34BCF">
        <w:rPr>
          <w:snapToGrid w:val="0"/>
        </w:rPr>
        <w:t>I Amsterdamfördraget överfördes flyktingpolitiken från det mellanstatliga samarbetet i tredje pelaren till överstatligheten i första pelaren. Samtidigt beslutades att EU-länderna inom fem år skulle enas om gemensamma min</w:t>
      </w:r>
      <w:r w:rsidRPr="00B34BCF">
        <w:rPr>
          <w:snapToGrid w:val="0"/>
        </w:rPr>
        <w:t>i</w:t>
      </w:r>
      <w:r w:rsidRPr="00B34BCF">
        <w:rPr>
          <w:snapToGrid w:val="0"/>
        </w:rPr>
        <w:t>minivåer. Vänsterpartiet var motståndare och starkt kritiskt till överförandet. Samtidigt garanterades från den dåvarande svenska regeringen och riksdagen att Sverige även i fortsättningen skulle föra en human och solidarisk flyktin</w:t>
      </w:r>
      <w:r w:rsidRPr="00B34BCF">
        <w:rPr>
          <w:snapToGrid w:val="0"/>
        </w:rPr>
        <w:t>g</w:t>
      </w:r>
      <w:r w:rsidRPr="00B34BCF">
        <w:rPr>
          <w:snapToGrid w:val="0"/>
        </w:rPr>
        <w:t>politik och att Sverige i EU skulle verka för att en sådan politik skulle föras. Vi har nu haft möjlighet att följa arbetet med harmoniseringen av flykting</w:t>
      </w:r>
      <w:r w:rsidRPr="00B34BCF">
        <w:rPr>
          <w:snapToGrid w:val="0"/>
        </w:rPr>
        <w:softHyphen/>
        <w:t>politiken under de år som den pågått. Vad vi kan se är att EU ägnar sig åt att bygga murarna runt ”Fästning Europa” allt h</w:t>
      </w:r>
      <w:r w:rsidRPr="00B34BCF">
        <w:rPr>
          <w:snapToGrid w:val="0"/>
        </w:rPr>
        <w:t>ögre i stället för att genom me</w:t>
      </w:r>
      <w:r w:rsidRPr="00B34BCF">
        <w:rPr>
          <w:snapToGrid w:val="0"/>
        </w:rPr>
        <w:t>l</w:t>
      </w:r>
      <w:r w:rsidRPr="00B34BCF">
        <w:rPr>
          <w:snapToGrid w:val="0"/>
        </w:rPr>
        <w:t>lanstatligt samarbete ta ansvar för de flyktingar som söker skydd undan fö</w:t>
      </w:r>
      <w:r w:rsidRPr="00B34BCF">
        <w:rPr>
          <w:snapToGrid w:val="0"/>
        </w:rPr>
        <w:t>r</w:t>
      </w:r>
      <w:r w:rsidRPr="00B34BCF">
        <w:rPr>
          <w:snapToGrid w:val="0"/>
        </w:rPr>
        <w:t>följelse. Sverige har därmed medverkat till att sätta Genèvekonventionen ur spel, t.ex. genom transportörsansvaret och genom att acceptera att asylansö</w:t>
      </w:r>
      <w:r w:rsidRPr="00B34BCF">
        <w:rPr>
          <w:snapToGrid w:val="0"/>
        </w:rPr>
        <w:t>k</w:t>
      </w:r>
      <w:r w:rsidRPr="00B34BCF">
        <w:rPr>
          <w:snapToGrid w:val="0"/>
        </w:rPr>
        <w:t>ningar från EU-medborgare ska anses uppenbart ogrundade. De direktiv som hittills har antagits inom unionen är minimidirektiv, vilket innebär att me</w:t>
      </w:r>
      <w:r w:rsidRPr="00B34BCF">
        <w:rPr>
          <w:snapToGrid w:val="0"/>
        </w:rPr>
        <w:t>d</w:t>
      </w:r>
      <w:r w:rsidRPr="00B34BCF">
        <w:rPr>
          <w:snapToGrid w:val="0"/>
        </w:rPr>
        <w:t>lemsstaterna, om de har mer generösa bestämmelser, kan bibehålla dem. Det står också medlemsstaterna fri</w:t>
      </w:r>
      <w:r w:rsidRPr="00B34BCF">
        <w:rPr>
          <w:snapToGrid w:val="0"/>
        </w:rPr>
        <w:t>tt att upprätta mer generösa bestämmelser. Denna möjlighet har den svenska regeringen i det stora hela inte utnyttjat.</w:t>
      </w:r>
    </w:p>
    <w:p w:rsidR="00B34BCF" w:rsidRPr="00B34BCF" w:rsidRDefault="00B34BCF">
      <w:pPr>
        <w:pStyle w:val="Normaltindrag"/>
        <w:shd w:val="clear" w:color="000000" w:fill="auto"/>
        <w:rPr>
          <w:snapToGrid w:val="0"/>
        </w:rPr>
      </w:pPr>
      <w:r w:rsidRPr="00B34BCF">
        <w:rPr>
          <w:snapToGrid w:val="0"/>
        </w:rPr>
        <w:t>Vänsterpartiet är fortsatt starkt kritiskt till EU:s flyktingpolitik eftersom den är uppenbart inhuman och mycket restriktiv. Vi är också fortsatt starkt kritiska till Sveriges flyktingpolitik. Vi varnade för att ett system med min</w:t>
      </w:r>
      <w:r w:rsidRPr="00B34BCF">
        <w:rPr>
          <w:snapToGrid w:val="0"/>
        </w:rPr>
        <w:t>i</w:t>
      </w:r>
      <w:r w:rsidRPr="00B34BCF">
        <w:rPr>
          <w:snapToGrid w:val="0"/>
        </w:rPr>
        <w:t xml:space="preserve">miregler skulle innebära en dragning mot en harmonisering nedåt i riktning mot den sämsta tillåtna nivån på rättssäkerhet och behandling. I dag kan vi, med sorg, konstatera att vi hade rätt. Förberedelserna för nästa etapp – ett gemensamt asylsystem – är långt gångna, trots att den första etappen i det närmaste havererat genom de extremt låga miniminivåer som beslutats både vad avser skydd och socialt mottagande. I det följande specificerar vi vår kritik både vad gäller det överstatliga samarbetet och den </w:t>
      </w:r>
      <w:r w:rsidRPr="00B34BCF">
        <w:rPr>
          <w:snapToGrid w:val="0"/>
        </w:rPr>
        <w:t>svenska flyktingp</w:t>
      </w:r>
      <w:r w:rsidRPr="00B34BCF">
        <w:rPr>
          <w:snapToGrid w:val="0"/>
        </w:rPr>
        <w:t>o</w:t>
      </w:r>
      <w:r w:rsidRPr="00B34BCF">
        <w:rPr>
          <w:snapToGrid w:val="0"/>
        </w:rPr>
        <w:t>litiken.</w:t>
      </w:r>
    </w:p>
    <w:p w:rsidR="00B34BCF" w:rsidRPr="00B34BCF" w:rsidRDefault="00B34BCF">
      <w:pPr>
        <w:pStyle w:val="Normaltindrag"/>
        <w:shd w:val="clear" w:color="000000" w:fill="auto"/>
      </w:pPr>
      <w:r w:rsidRPr="00B34BCF">
        <w:t>De flesta direktivförslag från EU-kommissionen, som i sitt ursprungliga skick syftade till att tillförsäkra asylsökande och immigranter minimirättig</w:t>
      </w:r>
      <w:r w:rsidRPr="00B34BCF">
        <w:softHyphen/>
        <w:t>heter, har efter en under åratal utdragen behandling av Europeiska rådet och dess arbetsgrupper blivit tömda på nästan allt positivt innehåll. Däremot har man snabbt kunnat enas om genomförande av repressiva åtgärder riktade mot flyktingar och invandring från tredje land. Det gäller förstärkta gränskontro</w:t>
      </w:r>
      <w:r w:rsidRPr="00B34BCF">
        <w:t>l</w:t>
      </w:r>
      <w:r w:rsidRPr="00B34BCF">
        <w:t>ler vid EU:s yttre gränser, hårda krav riktade mot de nya medlemsstaterna för att förhindra att flyktingar tar sig in i EU via dessa, steg mot en gemensam gränspolis för EU, hot mot tredjeländer för att t</w:t>
      </w:r>
      <w:r w:rsidRPr="00B34BCF">
        <w:t>vinga dessa att ta emot, inte bara egna medborgare, utan även medborgare i andra stater och nu senast det starkt repressiva återvändandedirektivet. Denna utveckling visar med all önskvärd tydlighet det problematiska och olämpliga i att göra asylpolitiken till föremål för överstatliga beslut inom EU.</w:t>
      </w:r>
    </w:p>
    <w:p w:rsidR="00B34BCF" w:rsidRPr="00B34BCF" w:rsidRDefault="00B34BCF">
      <w:pPr>
        <w:pStyle w:val="Normaltindrag"/>
        <w:shd w:val="clear" w:color="000000" w:fill="auto"/>
      </w:pPr>
      <w:r w:rsidRPr="00B34BCF">
        <w:t>Vänsterpartiets kritik mot EU:s flyktingpolitik grundar sig såväl på den r</w:t>
      </w:r>
      <w:r w:rsidRPr="00B34BCF">
        <w:t>e</w:t>
      </w:r>
      <w:r w:rsidRPr="00B34BCF">
        <w:t>striktivitet som blivit kännetecknande för innehållet som på det faktum att dessa frågor beslutas på överstatlig nivå inom EU.</w:t>
      </w:r>
    </w:p>
    <w:p w:rsidR="00B34BCF" w:rsidRPr="00B34BCF" w:rsidRDefault="00B34BCF">
      <w:pPr>
        <w:pStyle w:val="Rubrik2"/>
        <w:shd w:val="clear" w:color="000000" w:fill="auto"/>
      </w:pPr>
      <w:bookmarkStart w:id="142" w:name="_Toc206923777"/>
      <w:bookmarkStart w:id="143" w:name="_Toc208848289"/>
      <w:bookmarkStart w:id="144" w:name="_Toc208848328"/>
      <w:bookmarkStart w:id="145" w:name="_Toc214362391"/>
      <w:r w:rsidRPr="00B34BCF">
        <w:t>Militariseringen av kontrollen av EU:s yttre gränser</w:t>
      </w:r>
      <w:bookmarkEnd w:id="142"/>
      <w:bookmarkEnd w:id="143"/>
      <w:bookmarkEnd w:id="144"/>
      <w:bookmarkEnd w:id="145"/>
    </w:p>
    <w:p w:rsidR="00B34BCF" w:rsidRPr="00B34BCF" w:rsidRDefault="00B34BCF">
      <w:pPr>
        <w:shd w:val="clear" w:color="000000" w:fill="auto"/>
      </w:pPr>
      <w:r w:rsidRPr="00B34BCF">
        <w:t>I syfte att hantera den migration som når EU:s yttre gränser har EU skapat Frontex, en byrå för yttre gränskontroll, som organiserar patrullering och övervakning av den afrikanska västkusten och centrala Medelhavet. De all</w:t>
      </w:r>
      <w:r w:rsidRPr="00B34BCF">
        <w:t>t</w:t>
      </w:r>
      <w:r w:rsidRPr="00B34BCF">
        <w:t>mer avancerade övervakningssystem som används har fått till följd att fler väljer längre och farligare vägar, i synnerhet från Afrikas västkust till Kan</w:t>
      </w:r>
      <w:r w:rsidRPr="00B34BCF">
        <w:t>a</w:t>
      </w:r>
      <w:r w:rsidRPr="00B34BCF">
        <w:t>rieöarna. Fler och fler människor omkommer under flykten till Europa.</w:t>
      </w:r>
    </w:p>
    <w:p w:rsidR="00B34BCF" w:rsidRPr="00B34BCF" w:rsidRDefault="00B34BCF">
      <w:pPr>
        <w:pStyle w:val="Normaltindrag"/>
        <w:shd w:val="clear" w:color="000000" w:fill="auto"/>
      </w:pPr>
      <w:r w:rsidRPr="00B34BCF">
        <w:t>För snart tio år sedan påbörjades byggandet av två gränsstängsel kring de spanska enklaverna Ceuta och Melilla vid Afrikas norra kust. Projektet fina</w:t>
      </w:r>
      <w:r w:rsidRPr="00B34BCF">
        <w:t>n</w:t>
      </w:r>
      <w:r w:rsidRPr="00B34BCF">
        <w:t>sierades med EU-medel med syfte att hindra afrikanska flyktingar att ta sig över EU:s landgräns mot Marocko. Gränsbarriären stoppade emellertid inte människor från att fortsätta försöka ta sig in i Europa via enklaverna. Flera dödsfall har rapporterats efter att människor har ramlat ner från stängslet, och i september 2005 sköts minst fem personer ihjäl av militären när en stor grupp flyktingar försökte ta sig över. Det som har skett är bara att gränsbarriären har tvingat de som vill ta sig till Europa att</w:t>
      </w:r>
      <w:r w:rsidRPr="00B34BCF">
        <w:t xml:space="preserve"> ta allt större risker.</w:t>
      </w:r>
    </w:p>
    <w:p w:rsidR="00B34BCF" w:rsidRPr="00B34BCF" w:rsidRDefault="00B34BCF">
      <w:pPr>
        <w:pStyle w:val="Normaltindrag"/>
        <w:shd w:val="clear" w:color="000000" w:fill="auto"/>
      </w:pPr>
      <w:r w:rsidRPr="00B34BCF">
        <w:t>Förordning 2007/2004 ålägger Frontex följande uppgifter: operativt sa</w:t>
      </w:r>
      <w:r w:rsidRPr="00B34BCF">
        <w:t>m</w:t>
      </w:r>
      <w:r w:rsidRPr="00B34BCF">
        <w:t>arbete mellan medlemsstater i förvaltningen av EU:s yttergränser; bistånd till medlemsländer med utbildning av nationella gränsvakter; genomföra riskan</w:t>
      </w:r>
      <w:r w:rsidRPr="00B34BCF">
        <w:t>a</w:t>
      </w:r>
      <w:r w:rsidRPr="00B34BCF">
        <w:t>lyser; ge hjälp till medlemsstater som är i behov av tekniskt eller operativt bistånd vid sina yttergränser; ge stöd vid gemensamma repatrieringsoperati</w:t>
      </w:r>
      <w:r w:rsidRPr="00B34BCF">
        <w:t>o</w:t>
      </w:r>
      <w:r w:rsidRPr="00B34BCF">
        <w:t>ner som inbegriper flera medlemsstater.</w:t>
      </w:r>
    </w:p>
    <w:p w:rsidR="00B34BCF" w:rsidRPr="00B34BCF" w:rsidRDefault="00B34BCF">
      <w:pPr>
        <w:pStyle w:val="Normaltindrag"/>
        <w:shd w:val="clear" w:color="000000" w:fill="auto"/>
      </w:pPr>
      <w:r w:rsidRPr="00B34BCF">
        <w:t>Frontex eget mandat är i allt väsentligt inriktat på att skydda EU:s gränser och saknar en explicit mekanism för att tillförsäkra skydd för asylsökande eller andra ut</w:t>
      </w:r>
      <w:r w:rsidRPr="00B34BCF">
        <w:t>satta grupper. Frontex har därför ödeläggande effekter på EU:s politik för mottagande av flyktingar och andra skyddsbehövande. En av de mest oroande bristerna i mandatet är frånvaron av ett uppdrag att rädda mä</w:t>
      </w:r>
      <w:r w:rsidRPr="00B34BCF">
        <w:t>n</w:t>
      </w:r>
      <w:r w:rsidRPr="00B34BCF">
        <w:t>niskor i nöd och livsfara, t.ex. vid skeppsbrott.</w:t>
      </w:r>
    </w:p>
    <w:p w:rsidR="00B34BCF" w:rsidRPr="00B34BCF" w:rsidRDefault="00B34BCF">
      <w:pPr>
        <w:pStyle w:val="Normaltindrag"/>
        <w:shd w:val="clear" w:color="000000" w:fill="auto"/>
      </w:pPr>
      <w:r w:rsidRPr="00B34BCF">
        <w:t>Frontex, som ju upprättats med det uttalade syftet att ge EU-medborgarna en känsla av säkerhet, har misslyckats just med detta eftersom man inte lyc</w:t>
      </w:r>
      <w:r w:rsidRPr="00B34BCF">
        <w:t>k</w:t>
      </w:r>
      <w:r w:rsidRPr="00B34BCF">
        <w:t xml:space="preserve">ats minska antalet som når Europas kuster. I stället har Frontex bidragit till de många tragedier som utspelats utanför EU:s yttergränser de senaste åren. Som komplement till Frontex har under 2007 en förordning om </w:t>
      </w:r>
      <w:r w:rsidRPr="00B34BCF">
        <w:rPr>
          <w:i/>
        </w:rPr>
        <w:t>Rapid Border Intervention Teams</w:t>
      </w:r>
      <w:r w:rsidRPr="00B34BCF">
        <w:t xml:space="preserve"> (Rabit), antagits. Dessa EU-styrkor ska med kort varsel kunna sättas in områden där det finns ett stort inflöde av asylsökande och eller andra migranter.</w:t>
      </w:r>
    </w:p>
    <w:p w:rsidR="00B34BCF" w:rsidRPr="00B34BCF" w:rsidRDefault="00B34BCF">
      <w:pPr>
        <w:pStyle w:val="Normaltindrag"/>
        <w:shd w:val="clear" w:color="000000" w:fill="auto"/>
      </w:pPr>
      <w:r w:rsidRPr="00B34BCF">
        <w:t>En annan huvudlinje i EU:s strategi är att ge finansiellt och tekniskt stöd till nordafrikanska staters gränss</w:t>
      </w:r>
      <w:r w:rsidRPr="00B34BCF">
        <w:t>tyrkor. Spanien har exempelvis levererat patrullbåtar, fyrhjulsdrivna fordon och datorer till Mauretanien ”för att hjälpa landet att bevaka sin kust”. Den fria rörligheten i EU utvecklas alltså på b</w:t>
      </w:r>
      <w:r w:rsidRPr="00B34BCF">
        <w:t>e</w:t>
      </w:r>
      <w:r w:rsidRPr="00B34BCF">
        <w:t>kostnad av den fria rörligheten i EU:s grannstater. Afrikanska länder pressas att införa en hårdare politik för att bekämpa migration, baserat på den europ</w:t>
      </w:r>
      <w:r w:rsidRPr="00B34BCF">
        <w:t>e</w:t>
      </w:r>
      <w:r w:rsidRPr="00B34BCF">
        <w:t>iska modellen med gränskontroller, kriminalisering, frihetsberövande och utvisning. Allt belönas sedan med EU-finansiering.</w:t>
      </w:r>
    </w:p>
    <w:p w:rsidR="00B34BCF" w:rsidRPr="00B34BCF" w:rsidRDefault="00B34BCF">
      <w:pPr>
        <w:pStyle w:val="Normaltindrag"/>
        <w:shd w:val="clear" w:color="000000" w:fill="auto"/>
      </w:pPr>
      <w:r w:rsidRPr="00B34BCF">
        <w:t>Den stora faran med Frontex och s</w:t>
      </w:r>
      <w:r w:rsidRPr="00B34BCF">
        <w:t>nabbinsatsstyrkorna är att konsekve</w:t>
      </w:r>
      <w:r w:rsidRPr="00B34BCF">
        <w:t>n</w:t>
      </w:r>
      <w:r w:rsidRPr="00B34BCF">
        <w:t>serna oundvikligen blir kränkningar både av FN:s flyktingkonvention och av Europakonventionen om mänskliga rättigheter. De som finns ombord på de fartyg som eskorteras tillbaka till de afrikanska stater de kommit från ges nämligen inga möjligheter att söka asyl. Samtidigt sätts de EU-direktiv som ska garantera asylrätten ur spel. EU:s gränskontroll förläggs på detta sätt på tredjeländers sjöterritorium. I praktiken stämplar EU en individ som ”irregu</w:t>
      </w:r>
      <w:r w:rsidRPr="00B34BCF">
        <w:t>l</w:t>
      </w:r>
      <w:r w:rsidRPr="00B34BCF">
        <w:t>jär migrant” redan inn</w:t>
      </w:r>
      <w:r w:rsidRPr="00B34BCF">
        <w:t>an han eller hon lämnar sitt land och kommer in på EU-territorium. Dessa ”förebyggande aktioner” tar ingen hänsyn till att den det gäller inte behöver vara ”illegal” utan en potentiell asylsökande eller flykting. Detta förhandsantagande om illegalitet och förebyggande gränskontroll omö</w:t>
      </w:r>
      <w:r w:rsidRPr="00B34BCF">
        <w:t>j</w:t>
      </w:r>
      <w:r w:rsidRPr="00B34BCF">
        <w:t>liggör ett fullständigt respekterande av mänskliga rättigheter och tillträde till en reguljär asylprocess med en individuell bedömning av asylärendet som föreskrivs av flyktingkonventionen. Politiken leder till ett systematis</w:t>
      </w:r>
      <w:r w:rsidRPr="00B34BCF">
        <w:t>kt brott mot internationell och europeisk flyktingrätt.</w:t>
      </w:r>
    </w:p>
    <w:p w:rsidR="00B34BCF" w:rsidRPr="00B34BCF" w:rsidRDefault="00B34BCF">
      <w:pPr>
        <w:pStyle w:val="Normaltindrag"/>
        <w:shd w:val="clear" w:color="000000" w:fill="auto"/>
      </w:pPr>
      <w:r w:rsidRPr="00B34BCF">
        <w:t>En</w:t>
      </w:r>
      <w:r w:rsidRPr="00B34BCF">
        <w:rPr>
          <w:spacing w:val="-2"/>
        </w:rPr>
        <w:t xml:space="preserve">ligt uppgifter från organisationen United Against Racism dog 11 756 </w:t>
      </w:r>
      <w:r w:rsidRPr="00B34BCF">
        <w:t>pe</w:t>
      </w:r>
      <w:r w:rsidRPr="00B34BCF">
        <w:t>r</w:t>
      </w:r>
      <w:r w:rsidRPr="00B34BCF">
        <w:t>soner under sina försök att ta sig in i Europa mellan 1988 och 2007, därav 1 861 person</w:t>
      </w:r>
      <w:r w:rsidRPr="00B34BCF">
        <w:rPr>
          <w:spacing w:val="-2"/>
        </w:rPr>
        <w:t>er enbart under 2007. Under andra halvåret 2007 medgav Fron</w:t>
      </w:r>
      <w:r w:rsidRPr="00B34BCF">
        <w:t>tex biträdande chef att räddningsoperationer och förmåga att agera i humanitära krissituationer inte låg inom Frontex behörighet. Det är därför helt klart att Frontex prioritet är att stoppa fartyg vid gränserna och att medverkan vid sjöräddning är helt frivillig.</w:t>
      </w:r>
    </w:p>
    <w:p w:rsidR="00B34BCF" w:rsidRPr="00B34BCF" w:rsidRDefault="00B34BCF">
      <w:pPr>
        <w:pStyle w:val="Normaltindrag"/>
        <w:shd w:val="clear" w:color="000000" w:fill="auto"/>
      </w:pPr>
      <w:r w:rsidRPr="00B34BCF">
        <w:t xml:space="preserve">Rättsreglerna för sjöräddning </w:t>
      </w:r>
      <w:r w:rsidRPr="00B34BCF">
        <w:t>grundas på internationell rätt. När det gäller de skyldigheter som åvilar en fartygsbefälhavare eller en regering är det til</w:t>
      </w:r>
      <w:r w:rsidRPr="00B34BCF">
        <w:t>l</w:t>
      </w:r>
      <w:r w:rsidRPr="00B34BCF">
        <w:t xml:space="preserve">räckligt att ta del av </w:t>
      </w:r>
      <w:r w:rsidRPr="00B34BCF">
        <w:rPr>
          <w:i/>
        </w:rPr>
        <w:t>the UN Convention on the Law of the Sea</w:t>
      </w:r>
      <w:r w:rsidRPr="00B34BCF">
        <w:t xml:space="preserve"> (1982), </w:t>
      </w:r>
      <w:r w:rsidRPr="00B34BCF">
        <w:rPr>
          <w:i/>
        </w:rPr>
        <w:t>the International Convention on Saftey of Life at Sea</w:t>
      </w:r>
      <w:r w:rsidRPr="00B34BCF">
        <w:t xml:space="preserve"> (SOLAS 1974) och </w:t>
      </w:r>
      <w:r w:rsidRPr="00B34BCF">
        <w:rPr>
          <w:i/>
        </w:rPr>
        <w:t>the International Convention on Maritime Search and Rescue</w:t>
      </w:r>
      <w:r w:rsidRPr="00B34BCF">
        <w:t xml:space="preserve"> (SAR 1979) för att konstatera en skyldighet att snabbast möjligt rädda personer i sjönöd, oavsett de nödställdas nationalitet eller status eller av vilka omständigheter de befi</w:t>
      </w:r>
      <w:r w:rsidRPr="00B34BCF">
        <w:t>n</w:t>
      </w:r>
      <w:r w:rsidRPr="00B34BCF">
        <w:t>ner sig i</w:t>
      </w:r>
      <w:r w:rsidRPr="00B34BCF">
        <w:t>.</w:t>
      </w:r>
    </w:p>
    <w:p w:rsidR="00B34BCF" w:rsidRPr="00B34BCF" w:rsidRDefault="00B34BCF">
      <w:pPr>
        <w:pStyle w:val="Normaltindrag"/>
        <w:shd w:val="clear" w:color="000000" w:fill="auto"/>
      </w:pPr>
      <w:r w:rsidRPr="00B34BCF">
        <w:t>EU:s institutioner beklagar både förlusterna i människoliv till havs och de allt större risker som migranter är beredda att utsätta sig för och är rasande över den blomstrande människosmugglingen. Detta samtidigt som man låtsas inte se det direkta orsakssambandet med de åtgärder man själv vidtagit för att stänga gränserna och hindra asylsökande att nå EU:s territorium.</w:t>
      </w:r>
    </w:p>
    <w:p w:rsidR="00B34BCF" w:rsidRPr="00B34BCF" w:rsidRDefault="00B34BCF">
      <w:pPr>
        <w:pStyle w:val="Normaltindrag"/>
        <w:shd w:val="clear" w:color="000000" w:fill="auto"/>
      </w:pPr>
      <w:r w:rsidRPr="00B34BCF">
        <w:t>Paradoxalt nog kränker de fysiska och rättsliga medel som används för att ”skydda” migranter deras grundläggande mänskliga rättigheter. Förutom att avstå från att hjälpa människor i fara, har många människor avvisats utan att ha fått möjlighet att söka asyl i flagrant brott mot Genèvekonventionen ang</w:t>
      </w:r>
      <w:r w:rsidRPr="00B34BCF">
        <w:t>å</w:t>
      </w:r>
      <w:r w:rsidRPr="00B34BCF">
        <w:t>ende flyktingars rättsliga ställning.</w:t>
      </w:r>
    </w:p>
    <w:p w:rsidR="00B34BCF" w:rsidRPr="00B34BCF" w:rsidRDefault="00B34BCF">
      <w:pPr>
        <w:pStyle w:val="Normaltindrag"/>
        <w:shd w:val="clear" w:color="000000" w:fill="auto"/>
      </w:pPr>
      <w:r w:rsidRPr="00B34BCF">
        <w:t>Sverige deltar aktivt i såväl utformningen som praktiserandet av denna r</w:t>
      </w:r>
      <w:r w:rsidRPr="00B34BCF">
        <w:t>e</w:t>
      </w:r>
      <w:r w:rsidRPr="00B34BCF">
        <w:t>striktiva politik och har inte i något fall utnyttjat sin rätt att stoppa EU-lagstiftning som syftar till att undergräva asylrätten. De mänskliga och rättsl</w:t>
      </w:r>
      <w:r w:rsidRPr="00B34BCF">
        <w:t>i</w:t>
      </w:r>
      <w:r w:rsidRPr="00B34BCF">
        <w:t>ga kostnaderna för den förda politiken är oerhörda:</w:t>
      </w:r>
    </w:p>
    <w:p w:rsidR="00B34BCF" w:rsidRPr="00B34BCF" w:rsidRDefault="00B34BCF">
      <w:pPr>
        <w:pStyle w:val="PunktlistaTankstreck"/>
        <w:shd w:val="clear" w:color="000000" w:fill="auto"/>
        <w:tabs>
          <w:tab w:val="clear" w:pos="360"/>
        </w:tabs>
      </w:pPr>
      <w:r w:rsidRPr="00B34BCF">
        <w:t>Människor hindras från att söka skydd och förvägras rätten att söka fristad i ett annat land. Detta är också avsikten med den politik som förs, trots att det sätter internationella konventioner ur spel.</w:t>
      </w:r>
    </w:p>
    <w:p w:rsidR="00B34BCF" w:rsidRPr="00B34BCF" w:rsidRDefault="00B34BCF">
      <w:pPr>
        <w:pStyle w:val="PunktlistaTankstreck"/>
        <w:shd w:val="clear" w:color="000000" w:fill="auto"/>
        <w:tabs>
          <w:tab w:val="clear" w:pos="360"/>
        </w:tabs>
        <w:spacing w:before="0"/>
      </w:pPr>
      <w:r w:rsidRPr="00B34BCF">
        <w:t>Många direktavvisas vid gränsen, trots att de har asylskäl.</w:t>
      </w:r>
    </w:p>
    <w:p w:rsidR="00B34BCF" w:rsidRPr="00B34BCF" w:rsidRDefault="00B34BCF">
      <w:pPr>
        <w:pStyle w:val="PunktlistaTankstreck"/>
        <w:shd w:val="clear" w:color="000000" w:fill="auto"/>
        <w:tabs>
          <w:tab w:val="clear" w:pos="360"/>
        </w:tabs>
        <w:spacing w:before="0"/>
      </w:pPr>
      <w:r w:rsidRPr="00B34BCF">
        <w:t>Marknaden för samvetslösa människosmugglare ökar. De smugglingsnä</w:t>
      </w:r>
      <w:r w:rsidRPr="00B34BCF">
        <w:t>t</w:t>
      </w:r>
      <w:r w:rsidRPr="00B34BCF">
        <w:t>verk som blir allt mer omfattande utpekas sedan som ansvariga för de dödsfall som sker i stället för EU-ländernas regeringar som ju har det ver</w:t>
      </w:r>
      <w:r w:rsidRPr="00B34BCF">
        <w:t>k</w:t>
      </w:r>
      <w:r w:rsidRPr="00B34BCF">
        <w:t>liga ansvaret.</w:t>
      </w:r>
    </w:p>
    <w:p w:rsidR="00B34BCF" w:rsidRPr="00B34BCF" w:rsidRDefault="00B34BCF">
      <w:pPr>
        <w:pStyle w:val="PunktlistaTankstreck"/>
        <w:shd w:val="clear" w:color="000000" w:fill="auto"/>
        <w:tabs>
          <w:tab w:val="clear" w:pos="360"/>
        </w:tabs>
        <w:spacing w:before="0"/>
      </w:pPr>
      <w:r w:rsidRPr="00B34BCF">
        <w:t>Nya farligare flyktvägar pressas fram. När den gemensamma gränsöve</w:t>
      </w:r>
      <w:r w:rsidRPr="00B34BCF">
        <w:t>r</w:t>
      </w:r>
      <w:r w:rsidRPr="00B34BCF">
        <w:t>vakningen täppt till en väg in i EU utsätter sig människor som är i behov av att fly för ännu större faror.</w:t>
      </w:r>
    </w:p>
    <w:p w:rsidR="00B34BCF" w:rsidRPr="00B34BCF" w:rsidRDefault="00B34BCF">
      <w:pPr>
        <w:pStyle w:val="PunktlistaTankstreck"/>
        <w:shd w:val="clear" w:color="000000" w:fill="auto"/>
        <w:tabs>
          <w:tab w:val="clear" w:pos="360"/>
        </w:tabs>
        <w:spacing w:before="0"/>
        <w:rPr>
          <w:spacing w:val="-2"/>
        </w:rPr>
      </w:pPr>
      <w:r w:rsidRPr="00B34BCF">
        <w:rPr>
          <w:spacing w:val="-2"/>
        </w:rPr>
        <w:t>Antalet dödsoffer ökar. Tusentals döda tredjelandsmedborgare, särskilt de som dör när de försöker nå Spaniens eller Italiens södra gräns ökar för varje år.</w:t>
      </w:r>
    </w:p>
    <w:p w:rsidR="00B34BCF" w:rsidRPr="00B34BCF" w:rsidRDefault="00B34BCF">
      <w:pPr>
        <w:pStyle w:val="PunktlistaTankstreck"/>
        <w:shd w:val="clear" w:color="000000" w:fill="auto"/>
        <w:tabs>
          <w:tab w:val="clear" w:pos="360"/>
        </w:tabs>
        <w:spacing w:before="0"/>
      </w:pPr>
      <w:r w:rsidRPr="00B34BCF">
        <w:t>Övergrepp tillåts ske i det fördolda, bl.a. rapporteras ett stort antal öve</w:t>
      </w:r>
      <w:r w:rsidRPr="00B34BCF">
        <w:t>r</w:t>
      </w:r>
      <w:r w:rsidRPr="00B34BCF">
        <w:t>grepp från förvarslokaler och transitområden på flygplatser, som är stän</w:t>
      </w:r>
      <w:r w:rsidRPr="00B34BCF">
        <w:t>g</w:t>
      </w:r>
      <w:r w:rsidRPr="00B34BCF">
        <w:t>da för insyn.</w:t>
      </w:r>
    </w:p>
    <w:p w:rsidR="00B34BCF" w:rsidRPr="00B34BCF" w:rsidRDefault="00B34BCF">
      <w:pPr>
        <w:shd w:val="clear" w:color="000000" w:fill="auto"/>
      </w:pPr>
      <w:r w:rsidRPr="00B34BCF">
        <w:t>Det är tydligt att Frontex operationer kring Kanarieöarna inneburit att flyk</w:t>
      </w:r>
      <w:r w:rsidRPr="00B34BCF">
        <w:t>t</w:t>
      </w:r>
      <w:r w:rsidRPr="00B34BCF">
        <w:t>vägarna från Afrika till Europa pressats till att bli mycket längre och mycket farligare. Som en brutal konsekvens av detta har också fler människor mist livet. Som en annan mycket farlig konsekvens har många människor förvä</w:t>
      </w:r>
      <w:r w:rsidRPr="00B34BCF">
        <w:t>g</w:t>
      </w:r>
      <w:r w:rsidRPr="00B34BCF">
        <w:t>rats rätten att söka asyl. Först och främst sker detta genom att Frontex hindrar dem från att komma i land. De tvingas vända tillbaka eller ”försvinner” på annat sätt. Människor lever också inlåsta i förvarsanläggningar under eme</w:t>
      </w:r>
      <w:r w:rsidRPr="00B34BCF">
        <w:t>l</w:t>
      </w:r>
      <w:r w:rsidRPr="00B34BCF">
        <w:t>lanåt mycket svåra förhållanden där de undanhålls den nö</w:t>
      </w:r>
      <w:r w:rsidRPr="00B34BCF">
        <w:t>dvändiga inform</w:t>
      </w:r>
      <w:r w:rsidRPr="00B34BCF">
        <w:t>a</w:t>
      </w:r>
      <w:r w:rsidRPr="00B34BCF">
        <w:t>tion och juridiska hjälp de av internationell rätt är berättigade till för att kunna söka asyl.</w:t>
      </w:r>
    </w:p>
    <w:p w:rsidR="00B34BCF" w:rsidRPr="00B34BCF" w:rsidRDefault="00B34BCF">
      <w:pPr>
        <w:pStyle w:val="Normaltindrag"/>
        <w:shd w:val="clear" w:color="000000" w:fill="auto"/>
      </w:pPr>
      <w:r w:rsidRPr="00B34BCF">
        <w:t>Regeringen bör i EU verka för att asyl- och flyktingpolitiken i grunden förändras och i framtiden bygger på respekt för mänskliga rättigheter och människors lika värde. Detta bör riksdagen som sin mening ge regeringen till känna.</w:t>
      </w:r>
    </w:p>
    <w:p w:rsidR="00B34BCF" w:rsidRPr="00B34BCF" w:rsidRDefault="00B34BCF">
      <w:pPr>
        <w:pStyle w:val="Rubrik2"/>
        <w:shd w:val="clear" w:color="000000" w:fill="auto"/>
      </w:pPr>
      <w:bookmarkStart w:id="146" w:name="_Toc22636606"/>
      <w:bookmarkStart w:id="147" w:name="_Toc22820132"/>
      <w:bookmarkStart w:id="148" w:name="_Toc52088932"/>
      <w:bookmarkStart w:id="149" w:name="_Toc52089197"/>
      <w:bookmarkStart w:id="150" w:name="_Toc52089221"/>
      <w:bookmarkStart w:id="151" w:name="_Toc52089475"/>
      <w:bookmarkStart w:id="152" w:name="_Toc52089643"/>
      <w:bookmarkStart w:id="153" w:name="_Toc52089667"/>
      <w:bookmarkStart w:id="154" w:name="_Toc52089692"/>
      <w:bookmarkStart w:id="155" w:name="_Toc52090554"/>
      <w:bookmarkStart w:id="156" w:name="_Toc52098336"/>
      <w:bookmarkStart w:id="157" w:name="_Toc52160918"/>
      <w:bookmarkStart w:id="158" w:name="_Toc52161127"/>
      <w:bookmarkStart w:id="159" w:name="_Toc52168528"/>
      <w:bookmarkStart w:id="160" w:name="_Toc52856685"/>
      <w:bookmarkStart w:id="161" w:name="_Toc82430510"/>
      <w:bookmarkStart w:id="162" w:name="_Toc82430597"/>
      <w:bookmarkStart w:id="163" w:name="_Toc82431889"/>
      <w:bookmarkStart w:id="164" w:name="_Toc83459819"/>
      <w:bookmarkStart w:id="165" w:name="_Toc111450565"/>
      <w:bookmarkStart w:id="166" w:name="_Toc115091982"/>
      <w:bookmarkStart w:id="167" w:name="_Toc115092157"/>
      <w:bookmarkStart w:id="168" w:name="_Toc147720098"/>
      <w:bookmarkStart w:id="169" w:name="_Toc148441345"/>
      <w:bookmarkStart w:id="170" w:name="_Toc148441381"/>
      <w:bookmarkStart w:id="171" w:name="_Toc148512550"/>
      <w:bookmarkStart w:id="172" w:name="_Toc148512586"/>
      <w:bookmarkStart w:id="173" w:name="_Toc177886821"/>
      <w:bookmarkStart w:id="174" w:name="_Toc178674202"/>
      <w:bookmarkStart w:id="175" w:name="_Toc178925564"/>
      <w:bookmarkStart w:id="176" w:name="_Toc179272157"/>
      <w:bookmarkStart w:id="177" w:name="_Toc206923778"/>
      <w:bookmarkStart w:id="178" w:name="_Toc208848290"/>
      <w:bookmarkStart w:id="179" w:name="_Toc208848329"/>
      <w:bookmarkStart w:id="180" w:name="_Toc214362392"/>
      <w:r w:rsidRPr="00B34BCF">
        <w:t>Transportörsansvar</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B34BCF">
        <w:t>et</w:t>
      </w:r>
      <w:bookmarkEnd w:id="168"/>
      <w:bookmarkEnd w:id="169"/>
      <w:bookmarkEnd w:id="170"/>
      <w:bookmarkEnd w:id="171"/>
      <w:bookmarkEnd w:id="172"/>
      <w:bookmarkEnd w:id="173"/>
      <w:bookmarkEnd w:id="174"/>
      <w:bookmarkEnd w:id="175"/>
      <w:bookmarkEnd w:id="176"/>
      <w:bookmarkEnd w:id="177"/>
      <w:bookmarkEnd w:id="178"/>
      <w:bookmarkEnd w:id="179"/>
      <w:bookmarkEnd w:id="180"/>
    </w:p>
    <w:p w:rsidR="00B34BCF" w:rsidRPr="00B34BCF" w:rsidRDefault="00B34BCF">
      <w:pPr>
        <w:shd w:val="clear" w:color="000000" w:fill="auto"/>
      </w:pPr>
      <w:r w:rsidRPr="00B34BCF">
        <w:t>Direktivet om transportörsansvar innebär ett generalangrepp på Genèveko</w:t>
      </w:r>
      <w:r w:rsidRPr="00B34BCF">
        <w:t>n</w:t>
      </w:r>
      <w:r w:rsidRPr="00B34BCF">
        <w:t xml:space="preserve">ventionen och asylrätten. Direktivet har både till syfte och effekt att kortsluta rätten till asyl och göra Genèvekonventionen oanvändbar. Det utgör ett grovt angrepp på den mänskliga rättigheten att söka och åtnjuta asyl som finns upptagen i artikel 14 i </w:t>
      </w:r>
      <w:r w:rsidRPr="00B34BCF">
        <w:rPr>
          <w:i/>
        </w:rPr>
        <w:t>FN:s allmänna förklaring om de mänskliga rättigh</w:t>
      </w:r>
      <w:r w:rsidRPr="00B34BCF">
        <w:rPr>
          <w:i/>
        </w:rPr>
        <w:t>e</w:t>
      </w:r>
      <w:r w:rsidRPr="00B34BCF">
        <w:rPr>
          <w:i/>
        </w:rPr>
        <w:t>terna</w:t>
      </w:r>
      <w:r w:rsidRPr="00B34BCF">
        <w:t>. Transportörsansvar innebär i praktiken att myndighetsutövning läggs ut på privata rättssubjekt, vilka självfallet har vinstsyftet som främsta ledstjärna. Flygbolaget SAS har i sitt remissvar över dep</w:t>
      </w:r>
      <w:r w:rsidRPr="00B34BCF">
        <w:t>artementspromemorian Tran</w:t>
      </w:r>
      <w:r w:rsidRPr="00B34BCF">
        <w:t>s</w:t>
      </w:r>
      <w:r w:rsidRPr="00B34BCF">
        <w:t>portörsansvaret i utlänningslagen (Ds 2001:74), bl.a. yttrat följande:</w:t>
      </w:r>
    </w:p>
    <w:p w:rsidR="00B34BCF" w:rsidRPr="00B34BCF" w:rsidRDefault="00B34BCF">
      <w:pPr>
        <w:pStyle w:val="Citat"/>
        <w:shd w:val="clear" w:color="000000" w:fill="auto"/>
      </w:pPr>
      <w:r w:rsidRPr="00B34BCF">
        <w:t>I och med att SAS har rätt att neka ombordstigning på grund av att in</w:t>
      </w:r>
      <w:r w:rsidRPr="00B34BCF">
        <w:softHyphen/>
        <w:t>resehandlingarna (inte själva flygbiljetten) inte är i ordning kan passag</w:t>
      </w:r>
      <w:r w:rsidRPr="00B34BCF">
        <w:t>e</w:t>
      </w:r>
      <w:r w:rsidRPr="00B34BCF">
        <w:t>rarna sägas stå i ett slags beroendeförhållande till transportören. Därför är transportörens kontroll att likställa med myndighetsutövning och därmed i strid med regeringsformen.</w:t>
      </w:r>
    </w:p>
    <w:p w:rsidR="00B34BCF" w:rsidRPr="00B34BCF" w:rsidRDefault="00B34BCF">
      <w:pPr>
        <w:shd w:val="clear" w:color="000000" w:fill="auto"/>
      </w:pPr>
      <w:r w:rsidRPr="00B34BCF">
        <w:t>Vänsterpartiet delar den uppfattningen.</w:t>
      </w:r>
    </w:p>
    <w:p w:rsidR="00B34BCF" w:rsidRPr="00B34BCF" w:rsidRDefault="00B34BCF">
      <w:pPr>
        <w:pStyle w:val="Normaltindrag"/>
        <w:shd w:val="clear" w:color="000000" w:fill="auto"/>
        <w:rPr>
          <w:color w:val="000000"/>
        </w:rPr>
      </w:pPr>
      <w:r w:rsidRPr="00B34BCF">
        <w:rPr>
          <w:color w:val="000000"/>
        </w:rPr>
        <w:t>Transportörsansvaret har också som oundviklig följd att transportföretagen infört rasprofilering av sina passagerarkontroller. Detta är fullständigt oacce</w:t>
      </w:r>
      <w:r w:rsidRPr="00B34BCF">
        <w:rPr>
          <w:color w:val="000000"/>
        </w:rPr>
        <w:t>p</w:t>
      </w:r>
      <w:r w:rsidRPr="00B34BCF">
        <w:rPr>
          <w:color w:val="000000"/>
        </w:rPr>
        <w:t>tabelt och försvårar en effektiv kamp mot främlingsfientlighet och rasism.</w:t>
      </w:r>
    </w:p>
    <w:p w:rsidR="00B34BCF" w:rsidRPr="00B34BCF" w:rsidRDefault="00B34BCF">
      <w:pPr>
        <w:pStyle w:val="Normaltindrag"/>
        <w:shd w:val="clear" w:color="000000" w:fill="auto"/>
      </w:pPr>
      <w:r w:rsidRPr="00B34BCF">
        <w:t>Riksdagens dåvarande majoritet i flyktingfrågor, bestående av sociald</w:t>
      </w:r>
      <w:r w:rsidRPr="00B34BCF">
        <w:t>e</w:t>
      </w:r>
      <w:r w:rsidRPr="00B34BCF">
        <w:t>mokrater och moderater, godkände 2004 beklagligtvis propositionen om g</w:t>
      </w:r>
      <w:r w:rsidRPr="00B34BCF">
        <w:t>e</w:t>
      </w:r>
      <w:r w:rsidRPr="00B34BCF">
        <w:t>nomförande av direktivet om transportörsansvar i svensk rätt. Den rimliga ståndpunkten hade varit att vägra införa direktivet med hänvisning till att det står i strid med Sveriges åtaganden i enlighet med 1951 års Genèvekonve</w:t>
      </w:r>
      <w:r w:rsidRPr="00B34BCF">
        <w:t>n</w:t>
      </w:r>
      <w:r w:rsidRPr="00B34BCF">
        <w:t>tion och hävda den ståndpunkten vid ett eventuellt rättsligt förfarande mot Sverige vid EG-domstolen.</w:t>
      </w:r>
    </w:p>
    <w:p w:rsidR="00B34BCF" w:rsidRPr="00B34BCF" w:rsidRDefault="00B34BCF">
      <w:pPr>
        <w:pStyle w:val="Normaltindrag"/>
        <w:shd w:val="clear" w:color="000000" w:fill="auto"/>
      </w:pPr>
      <w:r w:rsidRPr="00B34BCF">
        <w:t>Regeringen bör omedelbart påkalla nya förhandlingar om direktivet om transportörsansvar och därvid verka för att</w:t>
      </w:r>
      <w:r w:rsidRPr="00B34BCF">
        <w:t xml:space="preserve"> alla bestämmelser i direktivet som sätter asylrätten ur spel eller leder till diskriminering grundad på hudfärg eller etniskt ursprung tas bort. Detta bör riksdagen som sin mening ge regeringen till känna.</w:t>
      </w:r>
    </w:p>
    <w:p w:rsidR="00B34BCF" w:rsidRPr="00B34BCF" w:rsidRDefault="00B34BCF">
      <w:pPr>
        <w:pStyle w:val="Rubrik2"/>
        <w:shd w:val="clear" w:color="000000" w:fill="auto"/>
      </w:pPr>
      <w:bookmarkStart w:id="181" w:name="_Toc22636608"/>
      <w:bookmarkStart w:id="182" w:name="_Toc22820134"/>
      <w:bookmarkStart w:id="183" w:name="_Toc52088934"/>
      <w:bookmarkStart w:id="184" w:name="_Toc52089199"/>
      <w:bookmarkStart w:id="185" w:name="_Toc52089223"/>
      <w:bookmarkStart w:id="186" w:name="_Toc52089477"/>
      <w:bookmarkStart w:id="187" w:name="_Toc52089645"/>
      <w:bookmarkStart w:id="188" w:name="_Toc52089669"/>
      <w:bookmarkStart w:id="189" w:name="_Toc52089694"/>
      <w:bookmarkStart w:id="190" w:name="_Toc52090556"/>
      <w:bookmarkStart w:id="191" w:name="_Toc52098338"/>
      <w:bookmarkStart w:id="192" w:name="_Toc52160920"/>
      <w:bookmarkStart w:id="193" w:name="_Toc52161129"/>
      <w:bookmarkStart w:id="194" w:name="_Toc52168530"/>
      <w:bookmarkStart w:id="195" w:name="_Toc52856687"/>
      <w:bookmarkStart w:id="196" w:name="_Toc82430512"/>
      <w:bookmarkStart w:id="197" w:name="_Toc82430599"/>
      <w:bookmarkStart w:id="198" w:name="_Toc82431891"/>
      <w:bookmarkStart w:id="199" w:name="_Toc83459821"/>
      <w:bookmarkStart w:id="200" w:name="_Toc111450567"/>
      <w:bookmarkStart w:id="201" w:name="_Toc115091984"/>
      <w:bookmarkStart w:id="202" w:name="_Toc115092159"/>
      <w:bookmarkStart w:id="203" w:name="_Toc147720100"/>
      <w:bookmarkStart w:id="204" w:name="_Toc148441347"/>
      <w:bookmarkStart w:id="205" w:name="_Toc148441383"/>
      <w:bookmarkStart w:id="206" w:name="_Toc148512552"/>
      <w:bookmarkStart w:id="207" w:name="_Toc148512588"/>
      <w:bookmarkStart w:id="208" w:name="_Toc177886822"/>
      <w:bookmarkStart w:id="209" w:name="_Toc178674203"/>
      <w:bookmarkStart w:id="210" w:name="_Toc178925565"/>
      <w:bookmarkStart w:id="211" w:name="_Toc179272158"/>
      <w:bookmarkStart w:id="212" w:name="_Toc206923779"/>
      <w:bookmarkStart w:id="213" w:name="_Toc208848291"/>
      <w:bookmarkStart w:id="214" w:name="_Toc208848330"/>
      <w:bookmarkStart w:id="215" w:name="_Toc214362393"/>
      <w:r w:rsidRPr="00B34BCF">
        <w:t>Handlingsprogram för att bekämpa illegal invandring</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B34BCF">
        <w:t xml:space="preserve"> och utlokalisering av EU:s gränser utanför Europa</w:t>
      </w:r>
      <w:bookmarkEnd w:id="212"/>
      <w:bookmarkEnd w:id="213"/>
      <w:bookmarkEnd w:id="214"/>
      <w:bookmarkEnd w:id="215"/>
    </w:p>
    <w:p w:rsidR="00B34BCF" w:rsidRPr="00B34BCF" w:rsidRDefault="00B34BCF">
      <w:pPr>
        <w:shd w:val="clear" w:color="000000" w:fill="auto"/>
      </w:pPr>
      <w:r w:rsidRPr="00B34BCF">
        <w:t>I februari 2002 antog Europeiska unionens råd en handlingsplan för att b</w:t>
      </w:r>
      <w:r w:rsidRPr="00B34BCF">
        <w:t>e</w:t>
      </w:r>
      <w:r w:rsidRPr="00B34BCF">
        <w:t>kämpa illegal invandring. I planen ges högsta prioritet för åtgärder syftande till att täppa igen återstående sprickor i murarna runt ”Fästning Europa”. Bortsett från en generell hänvisning till internationella åtaganden om att ge skydd, saknas varje tanke på att det finns asylsökande och flyktingar bland dem som gör irreguljära förflyttningar, smugglas eller är utsatta för män</w:t>
      </w:r>
      <w:r w:rsidRPr="00B34BCF">
        <w:softHyphen/>
        <w:t>niskohandel.</w:t>
      </w:r>
    </w:p>
    <w:p w:rsidR="00B34BCF" w:rsidRPr="00B34BCF" w:rsidRDefault="00B34BCF">
      <w:pPr>
        <w:pStyle w:val="Normaltindrag"/>
        <w:shd w:val="clear" w:color="000000" w:fill="auto"/>
      </w:pPr>
      <w:r w:rsidRPr="00B34BCF">
        <w:t>Andra åtgärder som man enats om avser exempelvis riktlinjer för den yttre gränskontrollen och slutande av återtagande</w:t>
      </w:r>
      <w:r w:rsidRPr="00B34BCF">
        <w:t>avtal med tredjeländer som Rys</w:t>
      </w:r>
      <w:r w:rsidRPr="00B34BCF">
        <w:t>s</w:t>
      </w:r>
      <w:r w:rsidRPr="00B34BCF">
        <w:t>land, Marocko, Pakistan, Macao, Sri Lanka samt Armenien. Relationerna mellan EU och tredjeländer förgiftas successivt av uppgifter om dålig behan</w:t>
      </w:r>
      <w:r w:rsidRPr="00B34BCF">
        <w:t>d</w:t>
      </w:r>
      <w:r w:rsidRPr="00B34BCF">
        <w:t>ling av tredjelandsmedborgare av immigrationsmyndigheterna i EU-länder. Det finns en frestelse för migrationsministrarna att undvika denna fråga g</w:t>
      </w:r>
      <w:r w:rsidRPr="00B34BCF">
        <w:t>e</w:t>
      </w:r>
      <w:r w:rsidRPr="00B34BCF">
        <w:t>nom att göra myndigheterna i hemländerna till medbrottslingar i den förö</w:t>
      </w:r>
      <w:r w:rsidRPr="00B34BCF">
        <w:t>d</w:t>
      </w:r>
      <w:r w:rsidRPr="00B34BCF">
        <w:t xml:space="preserve">mjukande behandlingen av deras medborgare. Detta sker främst genom EU:s insisterande på att sluta återtagandeavtal </w:t>
      </w:r>
      <w:r w:rsidRPr="00B34BCF">
        <w:t>med tredjeländer genom vilka dessas myndigheter anlitas som agenter för EU-länderna när det gäller utvisning av deras medborgare från EU-länder och för att utföra kontroller för att hindra sina medborgare att utnyttja den grundläggande mänskliga rättigheten att lämna sitt land.</w:t>
      </w:r>
    </w:p>
    <w:p w:rsidR="00B34BCF" w:rsidRPr="00B34BCF" w:rsidRDefault="00B34BCF">
      <w:pPr>
        <w:pStyle w:val="Normaltindrag"/>
        <w:shd w:val="clear" w:color="000000" w:fill="auto"/>
      </w:pPr>
      <w:r w:rsidRPr="00B34BCF">
        <w:t xml:space="preserve">Denna politik med krav på återtagandeavtal har hittills inte haft någon märkbar effekt på effektiviteten i verkställandet av utvisningar från EU-länder. Men politiken medför stora risker för EU internationellt. Detta på grund av att </w:t>
      </w:r>
      <w:r w:rsidRPr="00B34BCF">
        <w:t>politiken kan få till effekt att sänka förtroendet för tredjelände</w:t>
      </w:r>
      <w:r w:rsidRPr="00B34BCF">
        <w:t>r</w:t>
      </w:r>
      <w:r w:rsidRPr="00B34BCF">
        <w:t>nas regeringar i deras egna medborgares ögon. Deras medborgare ser sina regeringar som handlande i EU-ländernas intresse tvärtemot skyldigheten att skydda sina medborgare mot godtycklig behandling av andra länders rege</w:t>
      </w:r>
      <w:r w:rsidRPr="00B34BCF">
        <w:t>r</w:t>
      </w:r>
      <w:r w:rsidRPr="00B34BCF">
        <w:t xml:space="preserve">ingar. Politiken ställer också i blixtbelysning svagheten hos regeringarna i fattiga och instabila länder gentemot </w:t>
      </w:r>
      <w:r w:rsidRPr="00B34BCF">
        <w:rPr>
          <w:snapToGrid w:val="0"/>
        </w:rPr>
        <w:t>EU:s</w:t>
      </w:r>
      <w:r w:rsidRPr="00B34BCF">
        <w:t xml:space="preserve"> styrka. De regeringar som är sna</w:t>
      </w:r>
      <w:r w:rsidRPr="00B34BCF">
        <w:t>b</w:t>
      </w:r>
      <w:r w:rsidRPr="00B34BCF">
        <w:t>bast att sluta återtagandeavtal är ofta samma regeringar som är i starkas</w:t>
      </w:r>
      <w:r w:rsidRPr="00B34BCF">
        <w:t>t b</w:t>
      </w:r>
      <w:r w:rsidRPr="00B34BCF">
        <w:t>e</w:t>
      </w:r>
      <w:r w:rsidRPr="00B34BCF">
        <w:t>hov av förstärkt legitimitet hos sin egen befolkning. I stället för att bistå dessa länder i processen att vinna sina befolkningars förtroende genom att förstärka rättsstaten, skyddet för mänskliga rättigheter och utvecklingen av fungerande ekonomier, blir EU medskyldigt till att förstöra deras ledares legitimitet g</w:t>
      </w:r>
      <w:r w:rsidRPr="00B34BCF">
        <w:t>e</w:t>
      </w:r>
      <w:r w:rsidRPr="00B34BCF">
        <w:t>nom att tvinga dem till att acceptera och medverka i att förödmjuka sina me</w:t>
      </w:r>
      <w:r w:rsidRPr="00B34BCF">
        <w:t>d</w:t>
      </w:r>
      <w:r w:rsidRPr="00B34BCF">
        <w:t>borgare. En förändring av denna politik måste ges högsta prioritet. Migr</w:t>
      </w:r>
      <w:r w:rsidRPr="00B34BCF">
        <w:t>a</w:t>
      </w:r>
      <w:r w:rsidRPr="00B34BCF">
        <w:t>tionsrättsområdet på EU-nivå kan antingen</w:t>
      </w:r>
      <w:r w:rsidRPr="00B34BCF">
        <w:t xml:space="preserve"> förstärka eller förgifta </w:t>
      </w:r>
      <w:r w:rsidRPr="00B34BCF">
        <w:rPr>
          <w:snapToGrid w:val="0"/>
        </w:rPr>
        <w:t>EU:s</w:t>
      </w:r>
      <w:r w:rsidRPr="00B34BCF">
        <w:t xml:space="preserve"> inte</w:t>
      </w:r>
      <w:r w:rsidRPr="00B34BCF">
        <w:t>r</w:t>
      </w:r>
      <w:r w:rsidRPr="00B34BCF">
        <w:t>nationella rykte och möjligheter att delta som en respekterad aktör i den inte</w:t>
      </w:r>
      <w:r w:rsidRPr="00B34BCF">
        <w:t>r</w:t>
      </w:r>
      <w:r w:rsidRPr="00B34BCF">
        <w:t>nationella gemenskapen. Utan att ägna en större uppmärksamhet både åt de åtgärder som beslutas på detta område och deras konsekvenser på ett vidare plan riskerar EU att undergräva sin egen politik, inte minst säkerhetspolitik.</w:t>
      </w:r>
    </w:p>
    <w:p w:rsidR="00B34BCF" w:rsidRPr="00B34BCF" w:rsidRDefault="00B34BCF">
      <w:pPr>
        <w:pStyle w:val="Normaltindrag"/>
        <w:shd w:val="clear" w:color="000000" w:fill="auto"/>
      </w:pPr>
      <w:r w:rsidRPr="00B34BCF">
        <w:t>Därtill kommer bl.a. Europeiska unionens råds slutsatser om åtgärder mot olaglig invandring sjövägen, samarbete med tredjeland för att bekämpa ola</w:t>
      </w:r>
      <w:r w:rsidRPr="00B34BCF">
        <w:t>g</w:t>
      </w:r>
      <w:r w:rsidRPr="00B34BCF">
        <w:t>lig invandring, samarbete med USA kring visering, återtagande, flygplatsko</w:t>
      </w:r>
      <w:r w:rsidRPr="00B34BCF">
        <w:t>n</w:t>
      </w:r>
      <w:r w:rsidRPr="00B34BCF">
        <w:t>troller etc., samt ständiga förändringar och tillägg till Schengenkonventionen. I stort sett allt som EU beslutat om på asyl- och immigrationsområdet, med den europeiska flyktingfonden och direktivet om tillfälligt skydd vid mas</w:t>
      </w:r>
      <w:r w:rsidRPr="00B34BCF">
        <w:t>s</w:t>
      </w:r>
      <w:r w:rsidRPr="00B34BCF">
        <w:t>flykt som undantag, har utgjort byggstenar i projektet ”Fästning Europa”.</w:t>
      </w:r>
    </w:p>
    <w:p w:rsidR="00B34BCF" w:rsidRPr="00B34BCF" w:rsidRDefault="00B34BCF">
      <w:pPr>
        <w:pStyle w:val="Normaltindrag"/>
        <w:shd w:val="clear" w:color="000000" w:fill="auto"/>
      </w:pPr>
      <w:r w:rsidRPr="00B34BCF">
        <w:t>Regeringen bör i EU ta initiativ till att EU:s politik beträffande återtaga</w:t>
      </w:r>
      <w:r w:rsidRPr="00B34BCF">
        <w:t>n</w:t>
      </w:r>
      <w:r w:rsidRPr="00B34BCF">
        <w:t>deavtal förändras på ett sådant sätt att de följder som angivits ovan i fortsät</w:t>
      </w:r>
      <w:r w:rsidRPr="00B34BCF">
        <w:t>t</w:t>
      </w:r>
      <w:r w:rsidRPr="00B34BCF">
        <w:t>ningen undviks. Detta bör riksdagen som sin mening ge regeringen till känna.</w:t>
      </w:r>
    </w:p>
    <w:p w:rsidR="00B34BCF" w:rsidRPr="00B34BCF" w:rsidRDefault="00B34BCF">
      <w:pPr>
        <w:pStyle w:val="Rubrik2"/>
        <w:shd w:val="clear" w:color="000000" w:fill="auto"/>
      </w:pPr>
      <w:bookmarkStart w:id="216" w:name="_Toc147720101"/>
      <w:bookmarkStart w:id="217" w:name="_Toc148441348"/>
      <w:bookmarkStart w:id="218" w:name="_Toc148441384"/>
      <w:bookmarkStart w:id="219" w:name="_Toc148512553"/>
      <w:bookmarkStart w:id="220" w:name="_Toc148512589"/>
      <w:bookmarkStart w:id="221" w:name="_Toc177886823"/>
      <w:bookmarkStart w:id="222" w:name="_Toc178674204"/>
      <w:bookmarkStart w:id="223" w:name="_Toc178925566"/>
      <w:bookmarkStart w:id="224" w:name="_Toc179272159"/>
      <w:bookmarkStart w:id="225" w:name="_Toc206923780"/>
      <w:bookmarkStart w:id="226" w:name="_Toc208848292"/>
      <w:bookmarkStart w:id="227" w:name="_Toc208848331"/>
      <w:bookmarkStart w:id="228" w:name="_Toc214362394"/>
      <w:r w:rsidRPr="00B34BCF">
        <w:t>Dublinförordningen</w:t>
      </w:r>
      <w:bookmarkEnd w:id="216"/>
      <w:bookmarkEnd w:id="217"/>
      <w:bookmarkEnd w:id="218"/>
      <w:bookmarkEnd w:id="219"/>
      <w:bookmarkEnd w:id="220"/>
      <w:bookmarkEnd w:id="221"/>
      <w:bookmarkEnd w:id="222"/>
      <w:bookmarkEnd w:id="223"/>
      <w:bookmarkEnd w:id="224"/>
      <w:bookmarkEnd w:id="225"/>
      <w:bookmarkEnd w:id="226"/>
      <w:bookmarkEnd w:id="227"/>
      <w:bookmarkEnd w:id="228"/>
    </w:p>
    <w:p w:rsidR="00B34BCF" w:rsidRPr="00B34BCF" w:rsidRDefault="00B34BCF">
      <w:pPr>
        <w:shd w:val="clear" w:color="000000" w:fill="auto"/>
      </w:pPr>
      <w:r w:rsidRPr="00B34BCF">
        <w:t>I februari 2003 antogs den förordning som ersätter Dublinkonventionen. Den innebär att alla grundprinciper i Dublinkonventionen med dess stötande och inhumana konsekvenser blev kvar. Huvudregeln om att asylansökan ska göras i det första EU-land den sökande rest in i leder självfallet till att flyktingarna koncentreras till de länder som gränsar mot områden varifrån många flyktin</w:t>
      </w:r>
      <w:r w:rsidRPr="00B34BCF">
        <w:t>g</w:t>
      </w:r>
      <w:r w:rsidRPr="00B34BCF">
        <w:t>ar kommer. Det är länderna i norra delen av EU som påtvingat EU:s me</w:t>
      </w:r>
      <w:r w:rsidRPr="00B34BCF">
        <w:t>d</w:t>
      </w:r>
      <w:r w:rsidRPr="00B34BCF">
        <w:t>lemmar vid Medelhavet principen för att uppnå en koncentration av flyktin</w:t>
      </w:r>
      <w:r w:rsidRPr="00B34BCF">
        <w:t>g</w:t>
      </w:r>
      <w:r w:rsidRPr="00B34BCF">
        <w:t>arna i dessa länder och i görligaste mån motverka etnisk mångfald i Norde</w:t>
      </w:r>
      <w:r w:rsidRPr="00B34BCF">
        <w:t>u</w:t>
      </w:r>
      <w:r w:rsidRPr="00B34BCF">
        <w:t>ropa. Förordningen motverkar alltså en någorlunda jämn fördelning av fly</w:t>
      </w:r>
      <w:r w:rsidRPr="00B34BCF">
        <w:t>k</w:t>
      </w:r>
      <w:r w:rsidRPr="00B34BCF">
        <w:t xml:space="preserve">tingar i olika EU-länder och koncentrerar dem till frontstaterna. Det får som självklar logisk konsekvens att dessa som motåtgärd söker göra sina gränser så ogenomträngliga som möjligt. Sverige har här medverkat till att </w:t>
      </w:r>
      <w:r w:rsidRPr="00B34BCF">
        <w:t>ytterligare en viktig del av ”Fästning Europa” kommit på plats.</w:t>
      </w:r>
    </w:p>
    <w:p w:rsidR="00B34BCF" w:rsidRPr="00B34BCF" w:rsidRDefault="00B34BCF">
      <w:pPr>
        <w:pStyle w:val="Normaltindrag"/>
        <w:shd w:val="clear" w:color="000000" w:fill="auto"/>
      </w:pPr>
      <w:r w:rsidRPr="00B34BCF">
        <w:t>En grundförutsättning för att tillämpa en sådan princip för fördelning av asylsökande mellan EU:s medlemsstater som Dublinförordningen bygger på är att rättspraxis vid tillämpningen av skyddsreglerna för asylsökande är de</w:t>
      </w:r>
      <w:r w:rsidRPr="00B34BCF">
        <w:t>n</w:t>
      </w:r>
      <w:r w:rsidRPr="00B34BCF">
        <w:t>samma i EU:s medlemsstater. I verkligheten råder avgrundslika skillnader i detta avseende. Ett tydligt exempel utgörs av Grekland, där det är i det nä</w:t>
      </w:r>
      <w:r w:rsidRPr="00B34BCF">
        <w:t>r</w:t>
      </w:r>
      <w:r w:rsidRPr="00B34BCF">
        <w:t>maste omöjligt att få skydd. Detta gäller även konventionsflyktingar och människor som har en välgrundad fruktan för tortyr i hemlandet. Grekiska myndigheter torterar och mördar i stället asylsökande. Rapporter från Europ</w:t>
      </w:r>
      <w:r w:rsidRPr="00B34BCF">
        <w:t>a</w:t>
      </w:r>
      <w:r w:rsidRPr="00B34BCF">
        <w:t>rådets kommitté för att förebygga tortyr och omänsklig eller förnedrande behandling, Europaparlamentets utskott för medborgerliga rättighe</w:t>
      </w:r>
      <w:r w:rsidRPr="00B34BCF">
        <w:t>ter m.m., organisationer som tyska Pro Asyl och norska och grekiska Helsingforsko</w:t>
      </w:r>
      <w:r w:rsidRPr="00B34BCF">
        <w:t>m</w:t>
      </w:r>
      <w:r w:rsidRPr="00B34BCF">
        <w:t>mittéerna är samstämmiga i en förödande kritik mot det grekiska flyktingmo</w:t>
      </w:r>
      <w:r w:rsidRPr="00B34BCF">
        <w:t>t</w:t>
      </w:r>
      <w:r w:rsidRPr="00B34BCF">
        <w:t>tagandet. FN:s flyktingkommissariat har den 15 april 2008 antagit en reko</w:t>
      </w:r>
      <w:r w:rsidRPr="00B34BCF">
        <w:t>m</w:t>
      </w:r>
      <w:r w:rsidRPr="00B34BCF">
        <w:t>mendation att EU:s medlemsstater i enlighet med sina skyldigheter att respe</w:t>
      </w:r>
      <w:r w:rsidRPr="00B34BCF">
        <w:t>k</w:t>
      </w:r>
      <w:r w:rsidRPr="00B34BCF">
        <w:t xml:space="preserve">tera asylrätten tills vidare ska avstå från att överföra asylsökande till Grekland med stöd av Dublinförordningen. Ändå fortsätter Sverige dessa överföringar till Grekland. Det är mycket illavarslande och </w:t>
      </w:r>
      <w:r w:rsidRPr="00B34BCF">
        <w:t>visar ett öppet förakt från den svenska regeringen för Sveriges internationella åtaganden när det gäller mänskliga rättigheter. Det är absolut nödvändigt att Dublinförordningen o</w:t>
      </w:r>
      <w:r w:rsidRPr="00B34BCF">
        <w:t>m</w:t>
      </w:r>
      <w:r w:rsidRPr="00B34BCF">
        <w:t>gående revideras från grunden.</w:t>
      </w:r>
    </w:p>
    <w:p w:rsidR="00B34BCF" w:rsidRPr="00B34BCF" w:rsidRDefault="00B34BCF">
      <w:pPr>
        <w:pStyle w:val="Normaltindrag"/>
        <w:shd w:val="clear" w:color="000000" w:fill="auto"/>
      </w:pPr>
      <w:r w:rsidRPr="00B34BCF">
        <w:t>Den enda rimliga principen för att avgöra vilket land som ska handlägga en asylansökan, är att låta den asylsökande själv fatta beslutet. Det skulle också spara stora belopp för skattebetalarna i EU-länderna eftersom de s.k. Dublinförfrågningarna länderna emellan är synnerligen tidsödande och kos</w:t>
      </w:r>
      <w:r w:rsidRPr="00B34BCF">
        <w:t>t</w:t>
      </w:r>
      <w:r w:rsidRPr="00B34BCF">
        <w:t>samma samtidigt som de förlänger handläggningstiderna på ett orimligt sätt. Även FN:s flyktingkommissariat har i sitt yttrande över EU-kommissionens grönbok om ett gemensamt asylsystem givit uttryck för att man skulle föredra att Dublinförordningens principer hade ersatts med att den asylsökandes eget val av asylland ska vara avgörande.</w:t>
      </w:r>
    </w:p>
    <w:p w:rsidR="00B34BCF" w:rsidRPr="00B34BCF" w:rsidRDefault="00B34BCF">
      <w:pPr>
        <w:pStyle w:val="Normaltindrag"/>
        <w:shd w:val="clear" w:color="000000" w:fill="auto"/>
      </w:pPr>
      <w:r w:rsidRPr="00B34BCF">
        <w:t>Den svenska regeringen bör ta initiativ till en översyn av förordningen med syfte att fördelningskriteriet för de asylsökande ska vara att egna val ska vara styrande. Detta</w:t>
      </w:r>
      <w:r w:rsidRPr="00B34BCF">
        <w:t xml:space="preserve"> bör riksdagen som sin mening ge regeringen till känna.</w:t>
      </w:r>
    </w:p>
    <w:p w:rsidR="00B34BCF" w:rsidRPr="00B34BCF" w:rsidRDefault="00B34BCF">
      <w:pPr>
        <w:pStyle w:val="Rubrik2"/>
        <w:shd w:val="clear" w:color="000000" w:fill="auto"/>
      </w:pPr>
      <w:bookmarkStart w:id="229" w:name="_Toc52088937"/>
      <w:bookmarkStart w:id="230" w:name="_Toc52089202"/>
      <w:bookmarkStart w:id="231" w:name="_Toc52089226"/>
      <w:bookmarkStart w:id="232" w:name="_Toc52089480"/>
      <w:bookmarkStart w:id="233" w:name="_Toc52089648"/>
      <w:bookmarkStart w:id="234" w:name="_Toc52089672"/>
      <w:bookmarkStart w:id="235" w:name="_Toc52089697"/>
      <w:bookmarkStart w:id="236" w:name="_Toc52090559"/>
      <w:bookmarkStart w:id="237" w:name="_Toc52098341"/>
      <w:bookmarkStart w:id="238" w:name="_Toc52160923"/>
      <w:bookmarkStart w:id="239" w:name="_Toc52161132"/>
      <w:bookmarkStart w:id="240" w:name="_Toc52168533"/>
      <w:bookmarkStart w:id="241" w:name="_Toc52856690"/>
      <w:bookmarkStart w:id="242" w:name="_Toc82430515"/>
      <w:bookmarkStart w:id="243" w:name="_Toc82430602"/>
      <w:bookmarkStart w:id="244" w:name="_Toc82431894"/>
      <w:bookmarkStart w:id="245" w:name="_Toc83459824"/>
      <w:bookmarkStart w:id="246" w:name="_Toc111450570"/>
      <w:bookmarkStart w:id="247" w:name="_Toc115091987"/>
      <w:bookmarkStart w:id="248" w:name="_Toc115092162"/>
      <w:bookmarkStart w:id="249" w:name="_Toc147720103"/>
      <w:bookmarkStart w:id="250" w:name="_Toc148441350"/>
      <w:bookmarkStart w:id="251" w:name="_Toc148441386"/>
      <w:bookmarkStart w:id="252" w:name="_Toc148512555"/>
      <w:bookmarkStart w:id="253" w:name="_Toc148512591"/>
      <w:bookmarkStart w:id="254" w:name="_Toc177886824"/>
      <w:bookmarkStart w:id="255" w:name="_Toc178674205"/>
      <w:bookmarkStart w:id="256" w:name="_Toc178925567"/>
      <w:bookmarkStart w:id="257" w:name="_Toc179272160"/>
      <w:bookmarkStart w:id="258" w:name="_Toc206923781"/>
      <w:bookmarkStart w:id="259" w:name="_Toc208848293"/>
      <w:bookmarkStart w:id="260" w:name="_Toc208848332"/>
      <w:bookmarkStart w:id="261" w:name="_Toc214362395"/>
      <w:r w:rsidRPr="00B34BCF">
        <w:t>Skyddsgrundsdirektivet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B34BCF" w:rsidRPr="00B34BCF" w:rsidRDefault="00B34BCF">
      <w:pPr>
        <w:shd w:val="clear" w:color="000000" w:fill="auto"/>
      </w:pPr>
      <w:r w:rsidRPr="00B34BCF">
        <w:t>Rådsdirektivet om miniminormer för när medborgare och statslösa personer ska betraktas som flyktingar eller som personer som av andra skäl behöver internationellt skydd, hade när det antagits av medlemsstaterna omsorgsfullt rensats på det mesta som skulle kunna innebära ett förbättrat rättsskydd för flyktingar och andra skyddsbehövande. FN:s flyktingkommissariat tvingades efter att förhandlingarna var klara t.o.m. gå ut med en offentlig deklaration att det vore bättre att skyddsgrunds- och asylprocedurdire</w:t>
      </w:r>
      <w:r w:rsidRPr="00B34BCF">
        <w:t>ktiven inte antogs framför att de drevs igenom i sin nuvarande utformning. Ledande auktoriteter på flyktingrätt i världen har förklarat att vissa bestämmelser i direktivet u</w:t>
      </w:r>
      <w:r w:rsidRPr="00B34BCF">
        <w:t>p</w:t>
      </w:r>
      <w:r w:rsidRPr="00B34BCF">
        <w:t>penbart strider mor internationell rätt. Regeringen bör i EU ta initiativ till att skyddsgrundsdirektivet omarbetas i de delar som strider mot internationell rätt. Detta bör riksdagen som sin mening ge regeringen till känna.</w:t>
      </w:r>
    </w:p>
    <w:p w:rsidR="00B34BCF" w:rsidRPr="00B34BCF" w:rsidRDefault="00B34BCF">
      <w:pPr>
        <w:pStyle w:val="Rubrik2"/>
        <w:shd w:val="clear" w:color="000000" w:fill="auto"/>
      </w:pPr>
      <w:bookmarkStart w:id="262" w:name="_Toc148441351"/>
      <w:bookmarkStart w:id="263" w:name="_Toc148441387"/>
      <w:bookmarkStart w:id="264" w:name="_Toc148512556"/>
      <w:bookmarkStart w:id="265" w:name="_Toc148512592"/>
      <w:bookmarkStart w:id="266" w:name="_Toc177886825"/>
      <w:bookmarkStart w:id="267" w:name="_Toc178674206"/>
      <w:bookmarkStart w:id="268" w:name="_Toc178925568"/>
      <w:bookmarkStart w:id="269" w:name="_Toc179272161"/>
      <w:bookmarkStart w:id="270" w:name="_Toc206923782"/>
      <w:bookmarkStart w:id="271" w:name="_Toc208848294"/>
      <w:bookmarkStart w:id="272" w:name="_Toc208848333"/>
      <w:bookmarkStart w:id="273" w:name="_Toc214362396"/>
      <w:r w:rsidRPr="00B34BCF">
        <w:t>Asylprocedurdirektivet</w:t>
      </w:r>
      <w:bookmarkEnd w:id="262"/>
      <w:bookmarkEnd w:id="263"/>
      <w:bookmarkEnd w:id="264"/>
      <w:bookmarkEnd w:id="265"/>
      <w:bookmarkEnd w:id="266"/>
      <w:bookmarkEnd w:id="267"/>
      <w:bookmarkEnd w:id="268"/>
      <w:bookmarkEnd w:id="269"/>
      <w:bookmarkEnd w:id="270"/>
      <w:bookmarkEnd w:id="271"/>
      <w:bookmarkEnd w:id="272"/>
      <w:bookmarkEnd w:id="273"/>
    </w:p>
    <w:p w:rsidR="00B34BCF" w:rsidRPr="00B34BCF" w:rsidRDefault="00B34BCF">
      <w:pPr>
        <w:shd w:val="clear" w:color="000000" w:fill="auto"/>
      </w:pPr>
      <w:bookmarkStart w:id="274" w:name="_Toc147720104"/>
      <w:r w:rsidRPr="00B34BCF">
        <w:t>Rådsdirektivet om miniminormer för medlemsstaters förfaranden för att b</w:t>
      </w:r>
      <w:r w:rsidRPr="00B34BCF">
        <w:t>e</w:t>
      </w:r>
      <w:r w:rsidRPr="00B34BCF">
        <w:t>vilja eller återkalla</w:t>
      </w:r>
      <w:bookmarkStart w:id="275" w:name="_Toc52088938"/>
      <w:bookmarkStart w:id="276" w:name="_Toc52089203"/>
      <w:bookmarkStart w:id="277" w:name="_Toc52089227"/>
      <w:bookmarkStart w:id="278" w:name="_Toc52089481"/>
      <w:bookmarkStart w:id="279" w:name="_Toc52089649"/>
      <w:bookmarkStart w:id="280" w:name="_Toc52089673"/>
      <w:bookmarkStart w:id="281" w:name="_Toc52089698"/>
      <w:bookmarkStart w:id="282" w:name="_Toc52090560"/>
      <w:bookmarkStart w:id="283" w:name="_Toc52098342"/>
      <w:bookmarkStart w:id="284" w:name="_Toc52160924"/>
      <w:bookmarkStart w:id="285" w:name="_Toc52161133"/>
      <w:bookmarkStart w:id="286" w:name="_Toc52168534"/>
      <w:bookmarkStart w:id="287" w:name="_Toc52856691"/>
      <w:bookmarkStart w:id="288" w:name="_Toc82430516"/>
      <w:bookmarkStart w:id="289" w:name="_Toc82430603"/>
      <w:bookmarkStart w:id="290" w:name="_Toc82431895"/>
      <w:bookmarkStart w:id="291" w:name="_Toc83459825"/>
      <w:bookmarkStart w:id="292" w:name="_Toc111450571"/>
      <w:bookmarkStart w:id="293" w:name="_Toc115091988"/>
      <w:bookmarkStart w:id="294" w:name="_Toc115092163"/>
      <w:r w:rsidRPr="00B34BCF">
        <w:t xml:space="preserve"> flyktingstatus</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34BCF">
        <w:t xml:space="preserve"> har också rensats på i stort sett allt som skulle kunna bidra till rättssäkerhet i förfarandet. FN:s flyktingkommissariat har också beträffande detta direktiv offentligt uttryckt sin oro över att rätts</w:t>
      </w:r>
      <w:r w:rsidRPr="00B34BCF">
        <w:softHyphen/>
        <w:t>säkert asylförfarande skulle undergrävas om det antas i sin nuvarande form och förklarat att det vore bättre att inte anta något direktiv alls. Organisati</w:t>
      </w:r>
      <w:r w:rsidRPr="00B34BCF">
        <w:t>o</w:t>
      </w:r>
      <w:r w:rsidRPr="00B34BCF">
        <w:t>nen Immigration Law Pratictioners Association har förklarat att många av direktivets bestämmelser kommer att leda til</w:t>
      </w:r>
      <w:r w:rsidRPr="00B34BCF">
        <w:t>l kränkningar av internationell rätt. Europeiska unionens råd tog dock inte någon hänsyn till dessa invän</w:t>
      </w:r>
      <w:r w:rsidRPr="00B34BCF">
        <w:t>d</w:t>
      </w:r>
      <w:r w:rsidRPr="00B34BCF">
        <w:t>ningar.</w:t>
      </w:r>
      <w:bookmarkEnd w:id="274"/>
      <w:r w:rsidRPr="00B34BCF">
        <w:t xml:space="preserve"> Regeringen bör i EU ta initiativ till att asylprocedurdirektivet omarb</w:t>
      </w:r>
      <w:r w:rsidRPr="00B34BCF">
        <w:t>e</w:t>
      </w:r>
      <w:r w:rsidRPr="00B34BCF">
        <w:t>tas i de delar som strider mot internationell rätt. Detta bör riksdagen som sin mening ge regeringen till känna.</w:t>
      </w:r>
    </w:p>
    <w:p w:rsidR="00B34BCF" w:rsidRPr="00B34BCF" w:rsidRDefault="00B34BCF">
      <w:pPr>
        <w:pStyle w:val="Rubrik2"/>
        <w:shd w:val="clear" w:color="000000" w:fill="auto"/>
      </w:pPr>
      <w:bookmarkStart w:id="295" w:name="_Toc206923783"/>
      <w:bookmarkStart w:id="296" w:name="_Toc208848295"/>
      <w:bookmarkStart w:id="297" w:name="_Toc208848334"/>
      <w:bookmarkStart w:id="298" w:name="_Toc214362397"/>
      <w:r w:rsidRPr="00B34BCF">
        <w:t>Återvändandedirektivet</w:t>
      </w:r>
      <w:bookmarkEnd w:id="295"/>
      <w:bookmarkEnd w:id="296"/>
      <w:bookmarkEnd w:id="297"/>
      <w:bookmarkEnd w:id="298"/>
    </w:p>
    <w:p w:rsidR="00B34BCF" w:rsidRPr="00B34BCF" w:rsidRDefault="00B34BCF">
      <w:pPr>
        <w:shd w:val="clear" w:color="000000" w:fill="auto"/>
      </w:pPr>
      <w:r w:rsidRPr="00B34BCF">
        <w:t>EU har den 18 juni i år antagit direktivet om gemensamma normer och förf</w:t>
      </w:r>
      <w:r w:rsidRPr="00B34BCF">
        <w:t>a</w:t>
      </w:r>
      <w:r w:rsidRPr="00B34BCF">
        <w:t>randen för återvändande av tredjelandsmedborgare som vistas olagligt i me</w:t>
      </w:r>
      <w:r w:rsidRPr="00B34BCF">
        <w:t>d</w:t>
      </w:r>
      <w:r w:rsidRPr="00B34BCF">
        <w:t>lemsstaterna. Direktivet utgör ytterligare en byggsten i ”Fästning Europa” och har i viktiga delar ett djupt inhumant innehåll, delvis präglat av gamla kolon</w:t>
      </w:r>
      <w:r w:rsidRPr="00B34BCF">
        <w:t>i</w:t>
      </w:r>
      <w:r w:rsidRPr="00B34BCF">
        <w:t>ala attityder och förhållningssätt.</w:t>
      </w:r>
    </w:p>
    <w:p w:rsidR="00B34BCF" w:rsidRPr="00B34BCF" w:rsidRDefault="00B34BCF">
      <w:pPr>
        <w:pStyle w:val="Normaltindrag"/>
        <w:shd w:val="clear" w:color="000000" w:fill="auto"/>
      </w:pPr>
      <w:r w:rsidRPr="00B34BCF">
        <w:t>Direktivets bestämmelser om frivillig verkställighet under en period på högst 7–30 dagar från beslutet om utvisning är helt verklighetsfrämmande. Även om den som ska utvisas på alla sätt medverkar till verkställigheten tar planeringen oftast b</w:t>
      </w:r>
      <w:r w:rsidRPr="00B34BCF">
        <w:t>etydligt längre tid än så. Att införa en regel om att tvång automatiskt ska tillgripas efter en så kort period betyder, förutom ett djupt inhumant och stötande sätt att behandla människor, ett häpnadsväckande slöseri med skattemedel.</w:t>
      </w:r>
    </w:p>
    <w:p w:rsidR="00B34BCF" w:rsidRPr="00B34BCF" w:rsidRDefault="00B34BCF">
      <w:pPr>
        <w:pStyle w:val="Normaltindrag"/>
        <w:shd w:val="clear" w:color="000000" w:fill="auto"/>
      </w:pPr>
      <w:r w:rsidRPr="00B34BCF">
        <w:rPr>
          <w:szCs w:val="24"/>
        </w:rPr>
        <w:t xml:space="preserve">Förvarsreglerna är helt oacceptabla. Den maximalt tillåtna tiden för förvar, 18 månader, är orimligt lång. Grunderna för förvarstagande är så oprecisa att de öppnar för ett stort mått av godtycke. Också ensamkommande barn får tas i förvar i upp till 18 månader. Det är tillåtet </w:t>
      </w:r>
      <w:r w:rsidRPr="00B34BCF">
        <w:rPr>
          <w:szCs w:val="24"/>
        </w:rPr>
        <w:t>att placera både vuxna med barn och ensamkommande barn i vanliga fängelser. Detta står i flagrant strid med barnkonventionen.</w:t>
      </w:r>
    </w:p>
    <w:p w:rsidR="00B34BCF" w:rsidRPr="00B34BCF" w:rsidRDefault="00B34BCF">
      <w:pPr>
        <w:pStyle w:val="Normaltindrag"/>
        <w:shd w:val="clear" w:color="000000" w:fill="auto"/>
        <w:rPr>
          <w:szCs w:val="24"/>
        </w:rPr>
      </w:pPr>
      <w:r w:rsidRPr="00B34BCF">
        <w:rPr>
          <w:szCs w:val="24"/>
        </w:rPr>
        <w:t>Om den utvisade inte återvänt frivilligt – något som knappast är möjligt med hänsyn till tidsfristerna – får ett återreseförbud på fem år utfärdas. Det kommer att i hög grad försvåra möjligheten att fly om förhållandena i u</w:t>
      </w:r>
      <w:r w:rsidRPr="00B34BCF">
        <w:rPr>
          <w:szCs w:val="24"/>
        </w:rPr>
        <w:t>r</w:t>
      </w:r>
      <w:r w:rsidRPr="00B34BCF">
        <w:rPr>
          <w:szCs w:val="24"/>
        </w:rPr>
        <w:t>sprungslandet skulle förändras.</w:t>
      </w:r>
    </w:p>
    <w:p w:rsidR="00B34BCF" w:rsidRPr="00B34BCF" w:rsidRDefault="00B34BCF">
      <w:pPr>
        <w:pStyle w:val="Normaltindrag"/>
        <w:shd w:val="clear" w:color="000000" w:fill="auto"/>
        <w:rPr>
          <w:szCs w:val="24"/>
        </w:rPr>
      </w:pPr>
      <w:r w:rsidRPr="00B34BCF">
        <w:rPr>
          <w:szCs w:val="24"/>
        </w:rPr>
        <w:t>Vuxna, men även ensamkommande barn, får utvisas till länder de saknar anknytning till genom vilka de enbart transiterat. Även detta är självfallet något som strider mot barnkonventionen.</w:t>
      </w:r>
    </w:p>
    <w:p w:rsidR="00B34BCF" w:rsidRPr="00B34BCF" w:rsidRDefault="00B34BCF">
      <w:pPr>
        <w:pStyle w:val="Normaltindrag"/>
        <w:shd w:val="clear" w:color="000000" w:fill="auto"/>
        <w:rPr>
          <w:szCs w:val="24"/>
        </w:rPr>
      </w:pPr>
      <w:r w:rsidRPr="00B34BCF">
        <w:rPr>
          <w:szCs w:val="24"/>
        </w:rPr>
        <w:t>Det är djupt beklämmande att den svenska regeringen medverkat till att detta direktiv antagits. Regeringen bör därför ta initiativ till att återvändand</w:t>
      </w:r>
      <w:r w:rsidRPr="00B34BCF">
        <w:rPr>
          <w:szCs w:val="24"/>
        </w:rPr>
        <w:t>e</w:t>
      </w:r>
      <w:r w:rsidRPr="00B34BCF">
        <w:rPr>
          <w:szCs w:val="24"/>
        </w:rPr>
        <w:t>direktivet upphävs och ersätts med ett nytt direktiv vars innehåll står i grun</w:t>
      </w:r>
      <w:r w:rsidRPr="00B34BCF">
        <w:rPr>
          <w:szCs w:val="24"/>
        </w:rPr>
        <w:t>d</w:t>
      </w:r>
      <w:r w:rsidRPr="00B34BCF">
        <w:rPr>
          <w:szCs w:val="24"/>
        </w:rPr>
        <w:t>läggande överensstämmelse med både humanitära principer, respekten för människors lika värde och EU-ländernas internationella åtaganden. Detta bör riksdagen som sin mening ge regeringen till känna.</w:t>
      </w:r>
    </w:p>
    <w:p w:rsidR="00B34BCF" w:rsidRPr="00B34BCF" w:rsidRDefault="00B34BCF">
      <w:pPr>
        <w:pStyle w:val="Rubrik1"/>
        <w:shd w:val="clear" w:color="000000" w:fill="auto"/>
      </w:pPr>
      <w:bookmarkStart w:id="299" w:name="_Toc52088939"/>
      <w:bookmarkStart w:id="300" w:name="_Toc52089204"/>
      <w:bookmarkStart w:id="301" w:name="_Toc52089228"/>
      <w:bookmarkStart w:id="302" w:name="_Toc52089482"/>
      <w:bookmarkStart w:id="303" w:name="_Toc52089650"/>
      <w:bookmarkStart w:id="304" w:name="_Toc52089674"/>
      <w:bookmarkStart w:id="305" w:name="_Toc52089699"/>
      <w:bookmarkStart w:id="306" w:name="_Toc52090561"/>
      <w:bookmarkStart w:id="307" w:name="_Toc52098343"/>
      <w:bookmarkStart w:id="308" w:name="_Toc52160925"/>
      <w:bookmarkStart w:id="309" w:name="_Toc52161134"/>
      <w:bookmarkStart w:id="310" w:name="_Toc52168535"/>
      <w:bookmarkStart w:id="311" w:name="_Toc52856692"/>
      <w:bookmarkStart w:id="312" w:name="_Toc82430517"/>
      <w:bookmarkStart w:id="313" w:name="_Toc82430604"/>
      <w:bookmarkStart w:id="314" w:name="_Toc82431896"/>
      <w:bookmarkStart w:id="315" w:name="_Toc83459826"/>
      <w:bookmarkStart w:id="316" w:name="_Toc111450572"/>
      <w:bookmarkStart w:id="317" w:name="_Toc115091989"/>
      <w:bookmarkStart w:id="318" w:name="_Toc115092164"/>
      <w:bookmarkStart w:id="319" w:name="_Toc147720105"/>
      <w:bookmarkStart w:id="320" w:name="_Toc148441352"/>
      <w:bookmarkStart w:id="321" w:name="_Toc148441388"/>
      <w:bookmarkStart w:id="322" w:name="_Toc148512557"/>
      <w:bookmarkStart w:id="323" w:name="_Toc148512593"/>
      <w:bookmarkStart w:id="324" w:name="_Toc177886826"/>
      <w:bookmarkStart w:id="325" w:name="_Toc178674207"/>
      <w:bookmarkStart w:id="326" w:name="_Toc178925569"/>
      <w:bookmarkStart w:id="327" w:name="_Toc179272162"/>
      <w:bookmarkStart w:id="328" w:name="_Toc206923784"/>
      <w:bookmarkStart w:id="329" w:name="_Toc208848296"/>
      <w:bookmarkStart w:id="330" w:name="_Toc208848335"/>
      <w:bookmarkStart w:id="331" w:name="_Toc214362398"/>
      <w:r w:rsidRPr="00B34BCF">
        <w:t>Den svenska utlänningslagstiftningen</w:t>
      </w:r>
      <w:bookmarkStart w:id="332" w:name="_Toc52088940"/>
      <w:bookmarkStart w:id="333" w:name="_Toc52089205"/>
      <w:bookmarkStart w:id="334" w:name="_Toc52089229"/>
      <w:bookmarkStart w:id="335" w:name="_Toc52089483"/>
      <w:bookmarkStart w:id="336" w:name="_Toc52089651"/>
      <w:bookmarkStart w:id="337" w:name="_Toc52089675"/>
      <w:bookmarkStart w:id="338" w:name="_Toc52089700"/>
      <w:bookmarkStart w:id="339" w:name="_Toc52090562"/>
      <w:bookmarkStart w:id="340" w:name="_Toc52098344"/>
      <w:bookmarkStart w:id="341" w:name="_Toc52160926"/>
      <w:bookmarkStart w:id="342" w:name="_Toc52161135"/>
      <w:bookmarkStart w:id="343" w:name="_Toc52168536"/>
      <w:bookmarkStart w:id="344" w:name="_Toc52856693"/>
      <w:bookmarkStart w:id="345" w:name="_Toc82430518"/>
      <w:bookmarkStart w:id="346" w:name="_Toc8243060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B34BCF" w:rsidRPr="00B34BCF" w:rsidRDefault="00B34BCF">
      <w:pPr>
        <w:shd w:val="clear" w:color="000000" w:fill="auto"/>
      </w:pPr>
      <w:bookmarkStart w:id="347" w:name="_Toc82431897"/>
      <w:bookmarkStart w:id="348" w:name="_Toc83459827"/>
      <w:bookmarkStart w:id="349" w:name="_Toc111450573"/>
      <w:bookmarkStart w:id="350" w:name="_Toc115091990"/>
      <w:bookmarkStart w:id="351" w:name="_Toc115092165"/>
      <w:bookmarkStart w:id="352" w:name="_Toc147720106"/>
      <w:bookmarkStart w:id="353" w:name="_Toc148441353"/>
      <w:bookmarkStart w:id="354" w:name="_Toc148441389"/>
      <w:r w:rsidRPr="00B34BCF">
        <w:t>Vänsterpartiet är starkt kritiskt till den svenska flyktingpolitiken. Rätten till asyl undergrävs i dag genom stora brister i den praktiska tillämpningen av gällande lagstiftning. Den överordnade målsättningen tycks vara att avvisa största möjliga antal människor.</w:t>
      </w:r>
      <w:bookmarkStart w:id="355" w:name="_Toc148512558"/>
      <w:bookmarkStart w:id="356" w:name="_Toc148512594"/>
      <w:bookmarkStart w:id="357" w:name="_Toc177886827"/>
    </w:p>
    <w:p w:rsidR="00B34BCF" w:rsidRPr="00B34BCF" w:rsidRDefault="00B34BCF">
      <w:pPr>
        <w:pStyle w:val="Rubrik2"/>
        <w:shd w:val="clear" w:color="000000" w:fill="auto"/>
      </w:pPr>
      <w:bookmarkStart w:id="358" w:name="_Toc178674208"/>
      <w:bookmarkStart w:id="359" w:name="_Toc178925570"/>
      <w:bookmarkStart w:id="360" w:name="_Toc179272163"/>
      <w:bookmarkStart w:id="361" w:name="_Toc206923785"/>
      <w:bookmarkStart w:id="362" w:name="_Toc208848297"/>
      <w:bookmarkStart w:id="363" w:name="_Toc208848336"/>
      <w:bookmarkStart w:id="364" w:name="_Toc214362399"/>
      <w:r w:rsidRPr="00B34BCF">
        <w:t>Anhöriginvandringen</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B34BCF" w:rsidRPr="00B34BCF" w:rsidRDefault="00B34BCF">
      <w:pPr>
        <w:shd w:val="clear" w:color="000000" w:fill="auto"/>
      </w:pPr>
      <w:r w:rsidRPr="00B34BCF">
        <w:t>De regeländringar i utlänningslagen som genomfördes den 1 januari 1997 har, som Vänsterpartiet redan då förutsade, orsakat många mänskliga tragedier och stort lidande för familjemedlemmar både i Sverige och i hemlandet. Detta konstaterades också i en utvärdering av de nya reglerna som Röda Korset lät göra efter att de tillämpats i några år. Effekterna av lagändringarna visade sig bli både omänskliga och strida mot elementär mänsklig anständighet. Mot denna bakgrund tillsatte den dåvarande regeringen den s.</w:t>
      </w:r>
      <w:r w:rsidRPr="00B34BCF">
        <w:t>k. Anhörigkom</w:t>
      </w:r>
      <w:r w:rsidRPr="00B34BCF">
        <w:softHyphen/>
        <w:t>mittén som i februari 2002 lade fram förslag om mindre restriktiva regler för anhöriginvandringen. Den dåvarande socialdemokratiska regeringens passiva hållning i frågan var fullständigt oacceptabel, och det finns ingenting som tyder på att den nya alliansregeringen har någon som helst avsikt att göra något åt denna mot all mänsklig anständighet stridande lagreglering.</w:t>
      </w:r>
    </w:p>
    <w:p w:rsidR="00B34BCF" w:rsidRPr="00B34BCF" w:rsidRDefault="00B34BCF">
      <w:pPr>
        <w:pStyle w:val="Normaltindrag"/>
        <w:shd w:val="clear" w:color="000000" w:fill="auto"/>
      </w:pPr>
      <w:r w:rsidRPr="00B34BCF">
        <w:t>Regeringen har nyligen gett en särskild utredare i uppdrag att lämna fö</w:t>
      </w:r>
      <w:r w:rsidRPr="00B34BCF">
        <w:t>r</w:t>
      </w:r>
      <w:r w:rsidRPr="00B34BCF">
        <w:t>slag om att införa försörjningskrav som villkor för anhöriginvandring inom kärnfamiljen. För att ha rätt till uppehållstillstånd i anknytningsärenden för barn, make och maka måste arbete eller annan försörjning samt rimlig bostad kunna uppvisas (dir. 2008:12). Vänsterpartiet är mycket kritiskt till detta. Om sådana förslag genomförs kommer det att innebära en av de allvarligaste inskränkningarna av flyktingars mänskliga rättigheter som skett på många år. Försörjningskrav för anhöriginvandring inom kärnfami</w:t>
      </w:r>
      <w:r w:rsidRPr="00B34BCF">
        <w:t>ljen innebär en krän</w:t>
      </w:r>
      <w:r w:rsidRPr="00B34BCF">
        <w:t>k</w:t>
      </w:r>
      <w:r w:rsidRPr="00B34BCF">
        <w:t>ning av såväl Europakonventionens som barnkonventionens bestämmelser om rätten till familjeåterförening. Utredningen ska överlämna sitt slutbetänkande under hösten 2008.</w:t>
      </w:r>
    </w:p>
    <w:p w:rsidR="00B34BCF" w:rsidRPr="00B34BCF" w:rsidRDefault="00B34BCF">
      <w:pPr>
        <w:pStyle w:val="Normaltindrag"/>
        <w:shd w:val="clear" w:color="000000" w:fill="auto"/>
      </w:pPr>
      <w:r w:rsidRPr="00B34BCF">
        <w:t>Den 1 maj 2006 trädde vissa förändringar i utlänningslagen i kraft som gäller familjeåterförening och som innebar att EG-direktivet om rätt till fami</w:t>
      </w:r>
      <w:r w:rsidRPr="00B34BCF">
        <w:t>l</w:t>
      </w:r>
      <w:r w:rsidRPr="00B34BCF">
        <w:t>jeåterförening genomfördes i svensk rätt. Det är ett minimidirektiv och hin</w:t>
      </w:r>
      <w:r w:rsidRPr="00B34BCF">
        <w:t>d</w:t>
      </w:r>
      <w:r w:rsidRPr="00B34BCF">
        <w:t>rar därför inte Sverige från att ha mindre restriktiva regler. De regler som leder till djupt stötande och inhumana konsekvenser berörs inte av EG-direktivet.</w:t>
      </w:r>
    </w:p>
    <w:p w:rsidR="00B34BCF" w:rsidRPr="00B34BCF" w:rsidRDefault="00B34BCF">
      <w:pPr>
        <w:pStyle w:val="Normaltindrag"/>
        <w:shd w:val="clear" w:color="000000" w:fill="auto"/>
      </w:pPr>
      <w:r w:rsidRPr="00B34BCF">
        <w:t>Migrationsmyndigheternas tillämpning av 18-årsregeln på barn som up</w:t>
      </w:r>
      <w:r w:rsidRPr="00B34BCF">
        <w:t>p</w:t>
      </w:r>
      <w:r w:rsidRPr="00B34BCF">
        <w:t>nått denna ålder under ärendets handläggning har kritiserats av justitiekan</w:t>
      </w:r>
      <w:r w:rsidRPr="00B34BCF">
        <w:t>s</w:t>
      </w:r>
      <w:r w:rsidRPr="00B34BCF">
        <w:t xml:space="preserve">lern utan att myndigheterna </w:t>
      </w:r>
      <w:r w:rsidRPr="00B34BCF">
        <w:rPr>
          <w:bCs/>
        </w:rPr>
        <w:t>har</w:t>
      </w:r>
      <w:r w:rsidRPr="00B34BCF">
        <w:t xml:space="preserve"> tagit något intryck. F</w:t>
      </w:r>
      <w:r w:rsidRPr="00B34BCF">
        <w:rPr>
          <w:bCs/>
        </w:rPr>
        <w:t>ortfarande förekommer det att barn nekas återförening med sina föräldrar trots att de lämnat in ans</w:t>
      </w:r>
      <w:r w:rsidRPr="00B34BCF">
        <w:rPr>
          <w:bCs/>
        </w:rPr>
        <w:t>ö</w:t>
      </w:r>
      <w:r w:rsidRPr="00B34BCF">
        <w:rPr>
          <w:bCs/>
        </w:rPr>
        <w:t>kan i god tid, innan de fyllt 18 år.</w:t>
      </w:r>
      <w:r w:rsidRPr="00B34BCF">
        <w:t xml:space="preserve"> I många fall är det svårt att frigöra sig från misstanken att Migrationsverket avsiktligt fördröjer handläggningen så att barnet ska ha hunnit fylla 18 år innan beslutet fattas. Den s.k. sistalänken</w:t>
      </w:r>
      <w:r w:rsidRPr="00B34BCF">
        <w:softHyphen/>
        <w:t>bestämmelsen måste återinföras och möjlighete</w:t>
      </w:r>
      <w:r w:rsidRPr="00B34BCF">
        <w:t>rna för äldre föräldrar att åte</w:t>
      </w:r>
      <w:r w:rsidRPr="00B34BCF">
        <w:t>r</w:t>
      </w:r>
      <w:r w:rsidRPr="00B34BCF">
        <w:t>förenas med vuxna barn förbättras. Kraven på hushållsgemenskap omedelbart innan det vuxna barnet bosatte sig i Sverige och kravet att föräldrarna måste ha ansökt om familjeåterförening inom kort tid efter att barnet fått uppehåll</w:t>
      </w:r>
      <w:r w:rsidRPr="00B34BCF">
        <w:t>s</w:t>
      </w:r>
      <w:r w:rsidRPr="00B34BCF">
        <w:t>tillstånd i Sverige måste tas bort. Det kravet får helt orimliga konsekvenser. När det vuxna barnet flyttade till Sverige är föräldrarna ofta relativt unga och friska. 25 år senare kanske en av dem avlidit medan den efterlevande är gammal och svårt s</w:t>
      </w:r>
      <w:r w:rsidRPr="00B34BCF">
        <w:t>juk och inte kan klara sin livsföring utan hjälp av barnen. Men då stupar varje återföreningsansökan på tiomånadersgränsen. Det bör dock inte införas några regler om försörjningskrav. Därför bör regeringen uppdras att återkomma till riksdagen med förslag om förbättrade regler för anhöriginvandring. Detta bör riksdagen begära.</w:t>
      </w:r>
    </w:p>
    <w:p w:rsidR="00B34BCF" w:rsidRPr="00B34BCF" w:rsidRDefault="00B34BCF">
      <w:pPr>
        <w:pStyle w:val="Rubrik2"/>
        <w:shd w:val="clear" w:color="000000" w:fill="auto"/>
      </w:pPr>
      <w:bookmarkStart w:id="365" w:name="_Toc52088941"/>
      <w:bookmarkStart w:id="366" w:name="_Toc52089206"/>
      <w:bookmarkStart w:id="367" w:name="_Toc52089230"/>
      <w:bookmarkStart w:id="368" w:name="_Toc52089484"/>
      <w:bookmarkStart w:id="369" w:name="_Toc52089652"/>
      <w:bookmarkStart w:id="370" w:name="_Toc52089676"/>
      <w:bookmarkStart w:id="371" w:name="_Toc52089701"/>
      <w:bookmarkStart w:id="372" w:name="_Toc52090563"/>
      <w:bookmarkStart w:id="373" w:name="_Toc52098345"/>
      <w:bookmarkStart w:id="374" w:name="_Toc52160927"/>
      <w:bookmarkStart w:id="375" w:name="_Toc52161136"/>
      <w:bookmarkStart w:id="376" w:name="_Toc52168537"/>
      <w:bookmarkStart w:id="377" w:name="_Toc52856694"/>
      <w:bookmarkStart w:id="378" w:name="_Toc82430519"/>
      <w:bookmarkStart w:id="379" w:name="_Toc82430606"/>
      <w:bookmarkStart w:id="380" w:name="_Toc82431898"/>
      <w:bookmarkStart w:id="381" w:name="_Toc83459828"/>
      <w:bookmarkStart w:id="382" w:name="_Toc111450574"/>
      <w:bookmarkStart w:id="383" w:name="_Toc115091991"/>
      <w:bookmarkStart w:id="384" w:name="_Toc115092166"/>
      <w:bookmarkStart w:id="385" w:name="_Toc147720107"/>
      <w:bookmarkStart w:id="386" w:name="_Toc148441354"/>
      <w:bookmarkStart w:id="387" w:name="_Toc148441390"/>
      <w:bookmarkStart w:id="388" w:name="_Toc148512559"/>
      <w:bookmarkStart w:id="389" w:name="_Toc148512595"/>
      <w:bookmarkStart w:id="390" w:name="_Toc177886828"/>
      <w:bookmarkStart w:id="391" w:name="_Toc178674209"/>
      <w:bookmarkStart w:id="392" w:name="_Toc178925571"/>
      <w:bookmarkStart w:id="393" w:name="_Toc179272164"/>
      <w:bookmarkStart w:id="394" w:name="_Toc206923786"/>
      <w:bookmarkStart w:id="395" w:name="_Toc208848298"/>
      <w:bookmarkStart w:id="396" w:name="_Toc208848337"/>
      <w:bookmarkStart w:id="397" w:name="_Toc214362400"/>
      <w:r w:rsidRPr="00B34BCF">
        <w:t>Uppehållstillstånd efter inresa</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B34BCF" w:rsidRPr="00B34BCF" w:rsidRDefault="00B34BCF">
      <w:pPr>
        <w:shd w:val="clear" w:color="000000" w:fill="auto"/>
      </w:pPr>
      <w:r w:rsidRPr="00B34BCF">
        <w:t>En lagändring, som trädde i kraft år 2000, beträffande förutsättningarna att bifalla en ansökan om uppehållstillstånd som görs efter inresan, innebar fö</w:t>
      </w:r>
      <w:r w:rsidRPr="00B34BCF">
        <w:t>l</w:t>
      </w:r>
      <w:r w:rsidRPr="00B34BCF">
        <w:t>jande: om utlänningen har stark anknytning till en person bosatt i landet och det inte skäligen kan begäras att utlänningen återvänder till ett annat land för att inge ansökan där, får den bifallas trots att den gjorts efter inresa till Sve</w:t>
      </w:r>
      <w:r w:rsidRPr="00B34BCF">
        <w:softHyphen/>
        <w:t>rige. Avsikten med lagändringen var att öka möjligheterna till bifall på en ansökan gjord efter inresan, men bestämmelsen har tillämpats så att den tvär</w:t>
      </w:r>
      <w:r w:rsidRPr="00B34BCF">
        <w:t>t</w:t>
      </w:r>
      <w:r w:rsidRPr="00B34BCF">
        <w:t>om inneburit minskade möjligheter till bifall. Denna praxis har inte förändrats sedan en ny instansordning i utlännin</w:t>
      </w:r>
      <w:r w:rsidRPr="00B34BCF">
        <w:t>gsärenden har införts. Konsekvensen har blivit djupt inhumana beslut som leder till svåra tragedier.</w:t>
      </w:r>
    </w:p>
    <w:p w:rsidR="00B34BCF" w:rsidRPr="00B34BCF" w:rsidRDefault="00B34BCF">
      <w:pPr>
        <w:pStyle w:val="Normaltindrag"/>
        <w:shd w:val="clear" w:color="000000" w:fill="auto"/>
      </w:pPr>
      <w:r w:rsidRPr="00B34BCF">
        <w:t>Det är därför nödvändigt att regeringen lägger fram förslag om lagändring för att undantag från huvudregeln ska kunna göras bl.a. när utlänningen har barn i Sverige eller kvinnan i förhållandet är gravid eller sökanden med all sannolikhet skulle få sin ansökan beviljad. Lagändringen måste också omfatta de situationer där det redan föreligger ett lagakraftägande avvisnings- eller utvisningsbeslut. Detta bör r</w:t>
      </w:r>
      <w:r w:rsidRPr="00B34BCF">
        <w:t>iksdagen begära.</w:t>
      </w:r>
    </w:p>
    <w:p w:rsidR="00B34BCF" w:rsidRPr="00B34BCF" w:rsidRDefault="00B34BCF">
      <w:pPr>
        <w:pStyle w:val="Rubrik2"/>
        <w:shd w:val="clear" w:color="000000" w:fill="auto"/>
      </w:pPr>
      <w:bookmarkStart w:id="398" w:name="_Toc52088942"/>
      <w:bookmarkStart w:id="399" w:name="_Toc52089207"/>
      <w:bookmarkStart w:id="400" w:name="_Toc52089231"/>
      <w:bookmarkStart w:id="401" w:name="_Toc52089485"/>
      <w:bookmarkStart w:id="402" w:name="_Toc52089653"/>
      <w:bookmarkStart w:id="403" w:name="_Toc52089677"/>
      <w:bookmarkStart w:id="404" w:name="_Toc52089702"/>
      <w:bookmarkStart w:id="405" w:name="_Toc52090564"/>
      <w:bookmarkStart w:id="406" w:name="_Toc52098346"/>
      <w:bookmarkStart w:id="407" w:name="_Toc52160928"/>
      <w:bookmarkStart w:id="408" w:name="_Toc52161137"/>
      <w:bookmarkStart w:id="409" w:name="_Toc52168538"/>
      <w:bookmarkStart w:id="410" w:name="_Toc52856695"/>
      <w:bookmarkStart w:id="411" w:name="_Toc82430520"/>
      <w:bookmarkStart w:id="412" w:name="_Toc82430607"/>
      <w:bookmarkStart w:id="413" w:name="_Toc82431899"/>
      <w:bookmarkStart w:id="414" w:name="_Toc83459829"/>
      <w:bookmarkStart w:id="415" w:name="_Toc111450575"/>
      <w:bookmarkStart w:id="416" w:name="_Toc115091992"/>
      <w:bookmarkStart w:id="417" w:name="_Toc115092167"/>
      <w:bookmarkStart w:id="418" w:name="_Toc147720108"/>
      <w:bookmarkStart w:id="419" w:name="_Toc148441355"/>
      <w:bookmarkStart w:id="420" w:name="_Toc148441391"/>
      <w:bookmarkStart w:id="421" w:name="_Toc148512560"/>
      <w:bookmarkStart w:id="422" w:name="_Toc148512596"/>
      <w:bookmarkStart w:id="423" w:name="_Toc177886829"/>
      <w:bookmarkStart w:id="424" w:name="_Toc178674210"/>
      <w:bookmarkStart w:id="425" w:name="_Toc178925572"/>
      <w:bookmarkStart w:id="426" w:name="_Toc179272165"/>
      <w:bookmarkStart w:id="427" w:name="_Toc206923787"/>
      <w:bookmarkStart w:id="428" w:name="_Toc208848299"/>
      <w:bookmarkStart w:id="429" w:name="_Toc208848338"/>
      <w:bookmarkStart w:id="430" w:name="_Toc214362401"/>
      <w:r w:rsidRPr="00B34BCF">
        <w:t>Utländska kvinnors stryktålighet – en översyn av 2 kap. 4 § utlänningslagen</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B34BCF" w:rsidRPr="00B34BCF" w:rsidRDefault="00B34BCF">
      <w:pPr>
        <w:shd w:val="clear" w:color="000000" w:fill="auto"/>
      </w:pPr>
      <w:smartTag w:uri="urn:schemas-microsoft-com:office:smarttags" w:element="place">
        <w:smartTag w:uri="urn:schemas-microsoft-com:office:smarttags" w:element="City">
          <w:r w:rsidRPr="00B34BCF">
            <w:t>Sedan</w:t>
          </w:r>
        </w:smartTag>
      </w:smartTag>
      <w:r w:rsidRPr="00B34BCF">
        <w:t xml:space="preserve"> årtionden har många människor upprörts över att utländska kvinnor som misshandlats av sin man under den tvååriga prövotiden för permanent uppehållstillstånd, oftast blivit utvisade från Sverige om de brutit upp från förhållandet. Denna rättstillämpning har fått stötande konsekvenser, t.ex. att många kvinnor sett sig tvingade att stanna kvar i förhållanden trots missha</w:t>
      </w:r>
      <w:r w:rsidRPr="00B34BCF">
        <w:t>n</w:t>
      </w:r>
      <w:r w:rsidRPr="00B34BCF">
        <w:t>del från mannens sida, eftersom en utvisning skulle leda till fruktansvärda konsekvenser för dem i hemlandet. Den starka kritiken, bl.a. i r</w:t>
      </w:r>
      <w:r w:rsidRPr="00B34BCF">
        <w:t>iksdagsmoti</w:t>
      </w:r>
      <w:r w:rsidRPr="00B34BCF">
        <w:t>o</w:t>
      </w:r>
      <w:r w:rsidRPr="00B34BCF">
        <w:t>ner och frågor från Vänsterpartiet i riksdagen till ansvarigt statsråd, ledde till att den dåvarande regeringen i januari 2000 förelade riksdagen en proposition i ämnet. Tyvärr begränsade propositionen skyddet för kvinnan till fall när det varit fråga om våld eller för handlingar som innebär allvarlig kränkning. Vänsterpartiet påpekade i en reservation till utskottsbetänkandet att formul</w:t>
      </w:r>
      <w:r w:rsidRPr="00B34BCF">
        <w:t>e</w:t>
      </w:r>
      <w:r w:rsidRPr="00B34BCF">
        <w:t>ringen kunde komma att få till följd att för hög grad av våld och allvarlig kränkning kunde komma att accepte</w:t>
      </w:r>
      <w:r w:rsidRPr="00B34BCF">
        <w:t>ras och att myndigheterna medgavs ett alltför stort tolkningsutrymme. Det är uppenbart att den tidigare regeringens försök att genom lagändring åstadkomma en rimligare rättstillämpning mis</w:t>
      </w:r>
      <w:r w:rsidRPr="00B34BCF">
        <w:t>s</w:t>
      </w:r>
      <w:r w:rsidRPr="00B34BCF">
        <w:t>lyckats.</w:t>
      </w:r>
    </w:p>
    <w:p w:rsidR="00B34BCF" w:rsidRPr="00B34BCF" w:rsidRDefault="00B34BCF">
      <w:pPr>
        <w:pStyle w:val="Normaltindrag"/>
        <w:shd w:val="clear" w:color="000000" w:fill="auto"/>
      </w:pPr>
      <w:r w:rsidRPr="00B34BCF">
        <w:t>Riksdagen beslutade i mars 2006 i ett tillkännagivande att det fanns skäl att nu närmare studera tillämpningen av nämnda bestämmelse i syfte att kla</w:t>
      </w:r>
      <w:r w:rsidRPr="00B34BCF">
        <w:t>r</w:t>
      </w:r>
      <w:r w:rsidRPr="00B34BCF">
        <w:t>lägga huruvida skyddet för kvinnor och barn uppnår en godtagbar nivå. Om det visar sig att så inte är fallet borde regeringen återkomma till riksdagen med förslag om lagändring. Enligt uppgift från Regeringskansliet har rege</w:t>
      </w:r>
      <w:r w:rsidRPr="00B34BCF">
        <w:t>r</w:t>
      </w:r>
      <w:r w:rsidRPr="00B34BCF">
        <w:t>ingen nu efter långt dröjsmål begärt att Migrationsverket ska lämna en red</w:t>
      </w:r>
      <w:r w:rsidRPr="00B34BCF">
        <w:t>o</w:t>
      </w:r>
      <w:r w:rsidRPr="00B34BCF">
        <w:t>visning för tillämpningen av bestämmelsen. Men redan nu står det klart att det är nödvändigt med en lagändring för att det ska råda ett tillräckligt skydd för kvinnor och barn mot övergrepp som främjas av utlänn</w:t>
      </w:r>
      <w:r w:rsidRPr="00B34BCF">
        <w:t>ingslagen.</w:t>
      </w:r>
    </w:p>
    <w:p w:rsidR="00B34BCF" w:rsidRPr="00B34BCF" w:rsidRDefault="00B34BCF">
      <w:pPr>
        <w:pStyle w:val="Normaltindrag"/>
        <w:shd w:val="clear" w:color="000000" w:fill="auto"/>
      </w:pPr>
      <w:r w:rsidRPr="00B34BCF">
        <w:t>Regeringen bör snarast förelägga riksdagen förslag om lagändring för att komma till rätta med de fortsatta missförhållandena med avvisningsbeslut om kvinnor som misshandlats eller kränkts under den tvååriga prövotiden. Detta bör riksdagen begära.</w:t>
      </w:r>
    </w:p>
    <w:p w:rsidR="00B34BCF" w:rsidRPr="00B34BCF" w:rsidRDefault="00B34BCF">
      <w:pPr>
        <w:pStyle w:val="Rubrik2"/>
        <w:shd w:val="clear" w:color="000000" w:fill="auto"/>
      </w:pPr>
      <w:bookmarkStart w:id="431" w:name="_Toc82430521"/>
      <w:bookmarkStart w:id="432" w:name="_Toc82430608"/>
      <w:bookmarkStart w:id="433" w:name="_Toc82431900"/>
      <w:bookmarkStart w:id="434" w:name="_Toc83459830"/>
      <w:bookmarkStart w:id="435" w:name="_Toc111450576"/>
      <w:bookmarkStart w:id="436" w:name="_Toc115091993"/>
      <w:bookmarkStart w:id="437" w:name="_Toc115092168"/>
      <w:bookmarkStart w:id="438" w:name="_Toc147720109"/>
      <w:bookmarkStart w:id="439" w:name="_Toc148441356"/>
      <w:bookmarkStart w:id="440" w:name="_Toc148441392"/>
      <w:bookmarkStart w:id="441" w:name="_Toc148512561"/>
      <w:bookmarkStart w:id="442" w:name="_Toc148512597"/>
      <w:bookmarkStart w:id="443" w:name="_Toc177886830"/>
      <w:bookmarkStart w:id="444" w:name="_Toc178674211"/>
      <w:bookmarkStart w:id="445" w:name="_Toc178925573"/>
      <w:bookmarkStart w:id="446" w:name="_Toc179272166"/>
      <w:bookmarkStart w:id="447" w:name="_Toc206923788"/>
      <w:bookmarkStart w:id="448" w:name="_Toc208848300"/>
      <w:bookmarkStart w:id="449" w:name="_Toc208848339"/>
      <w:bookmarkStart w:id="450" w:name="_Toc214362402"/>
      <w:r w:rsidRPr="00B34BCF">
        <w:t>Förföljelse på grund av kön eller sexuell läggning</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B34BCF" w:rsidRPr="00B34BCF" w:rsidRDefault="00B34BCF">
      <w:pPr>
        <w:shd w:val="clear" w:color="000000" w:fill="auto"/>
      </w:pPr>
      <w:r w:rsidRPr="00B34BCF">
        <w:t>Den bestämmelse om skydd på grund av välgrundad fruktan för förföljelse på grund av kön eller sexuell läggning som infördes i utlänningslagen 1997 har utsatts för skarp kritik av, bl.a. Vänsterpartiet. Det skulle ha varit en betydligt bättre lösning att bredda tolkningen av Genèvekonventionens flyktingbegrepp så att det också innefattar förföljelse på grund av kön eller sexuell läggning.</w:t>
      </w:r>
    </w:p>
    <w:p w:rsidR="00B34BCF" w:rsidRPr="00B34BCF" w:rsidRDefault="00B34BCF">
      <w:pPr>
        <w:pStyle w:val="Normaltindrag"/>
        <w:shd w:val="clear" w:color="000000" w:fill="auto"/>
      </w:pPr>
      <w:r w:rsidRPr="00B34BCF">
        <w:t>Det är glädjande att det nu äntligen genomförts en utvidgning av flyktin</w:t>
      </w:r>
      <w:r w:rsidRPr="00B34BCF">
        <w:t>g</w:t>
      </w:r>
      <w:r w:rsidRPr="00B34BCF">
        <w:t>begreppet till att omfatta även förföljelse på grund av kön i enlighet med det synsätt som Vänsterpartiet länge förespråkat. Men det är av avgörande bet</w:t>
      </w:r>
      <w:r w:rsidRPr="00B34BCF">
        <w:t>y</w:t>
      </w:r>
      <w:r w:rsidRPr="00B34BCF">
        <w:t>delse om äldre rättspraxis tillåts influera tolkningen av den nya bestämme</w:t>
      </w:r>
      <w:r w:rsidRPr="00B34BCF">
        <w:t>l</w:t>
      </w:r>
      <w:r w:rsidRPr="00B34BCF">
        <w:t>sen. Än så länge har Migrationsöverdomstolen endast avgjort något enstaka mål på grundval av den nya bestämmelsen, och det är följaktligen för tidigt att dra några slutsatser om den nya regleringens praktiska betydelse. I propos</w:t>
      </w:r>
      <w:r w:rsidRPr="00B34BCF">
        <w:t>i</w:t>
      </w:r>
      <w:r w:rsidRPr="00B34BCF">
        <w:t>tionen har det inte gjorts något tydligt avståndstagan</w:t>
      </w:r>
      <w:r w:rsidRPr="00B34BCF">
        <w:t>de från denna äldre pra</w:t>
      </w:r>
      <w:r w:rsidRPr="00B34BCF">
        <w:t>x</w:t>
      </w:r>
      <w:r w:rsidRPr="00B34BCF">
        <w:t>is. Inte heller har det i propositionen tydligt klargjorts att de riktlinjer FN:s flyktingkommissariat utfärdat om könsrelaterad förföljelse ska tillämpas. Andra problem i tillämpning kan bli förföljelsebegreppet; social utstötning har inte berörts i lagstiftningen, inte heller könsdiskriminerande lagstiftning. Hur kommer riskbedömningarna att göras, hur höga beviskrav kommer att ställas i rättstillämpningen? Förföljelse inom familjen kommer att behandlas på ett annat sätt än förfölj</w:t>
      </w:r>
      <w:r w:rsidRPr="00B34BCF">
        <w:t>else från staten, att skydd inte kan ges på grund av resursbrist ska nämligen tillmätas betydelse vid bedömningen av flykting</w:t>
      </w:r>
      <w:r w:rsidRPr="00B34BCF">
        <w:softHyphen/>
        <w:t>skapsfrågan vid våld inom familjen. Detta är felaktig tillämpning av flyktin</w:t>
      </w:r>
      <w:r w:rsidRPr="00B34BCF">
        <w:t>g</w:t>
      </w:r>
      <w:r w:rsidRPr="00B34BCF">
        <w:t>begreppet som kommer att ställa många förföljda kvinnor utan skydd av fly</w:t>
      </w:r>
      <w:r w:rsidRPr="00B34BCF">
        <w:t>k</w:t>
      </w:r>
      <w:r w:rsidRPr="00B34BCF">
        <w:t>tingkonventionen.</w:t>
      </w:r>
    </w:p>
    <w:p w:rsidR="00B34BCF" w:rsidRPr="00B34BCF" w:rsidRDefault="00B34BCF">
      <w:pPr>
        <w:pStyle w:val="Normaltindrag"/>
        <w:shd w:val="clear" w:color="000000" w:fill="auto"/>
      </w:pPr>
      <w:r w:rsidRPr="00B34BCF">
        <w:t>Det är ett problem att regeringen i sitt regleringsbrev till Migrationsverket inte angivit att det ska vara ett mål att integrera ett genusperspektiv i asylpr</w:t>
      </w:r>
      <w:r w:rsidRPr="00B34BCF">
        <w:t>o</w:t>
      </w:r>
      <w:r w:rsidRPr="00B34BCF">
        <w:t>cessen. Migrationsverket saknar för närvarande sådana tydliga mål, strategier och rutiner. Det finns inte genusansvariga på alla enheter, och de som finns har varken fått en uppdragsbeskrivning eller tidsutrymme att kunna ägna frågan uppmärksamhet. Regeringen bör i kommande regleringsbrev till M</w:t>
      </w:r>
      <w:r w:rsidRPr="00B34BCF">
        <w:t>i</w:t>
      </w:r>
      <w:r w:rsidRPr="00B34BCF">
        <w:t>grationsverket ställa krav på att verket vidtar erforderliga åtgärder för att integrera ett genusperspektiv. Detta bör riksdagen som sin mening ge rege</w:t>
      </w:r>
      <w:r w:rsidRPr="00B34BCF">
        <w:t>r</w:t>
      </w:r>
      <w:r w:rsidRPr="00B34BCF">
        <w:t>ingen till känna.</w:t>
      </w:r>
    </w:p>
    <w:p w:rsidR="00B34BCF" w:rsidRPr="00B34BCF" w:rsidRDefault="00B34BCF">
      <w:pPr>
        <w:pStyle w:val="Normaltindrag"/>
        <w:shd w:val="clear" w:color="000000" w:fill="auto"/>
        <w:rPr>
          <w:szCs w:val="24"/>
        </w:rPr>
      </w:pPr>
      <w:r w:rsidRPr="00B34BCF">
        <w:t>Det är av största vikt att regeringen när de</w:t>
      </w:r>
      <w:r w:rsidRPr="00B34BCF">
        <w:t>t bildats en rättspraxis på grun</w:t>
      </w:r>
      <w:r w:rsidRPr="00B34BCF">
        <w:t>d</w:t>
      </w:r>
      <w:r w:rsidRPr="00B34BCF">
        <w:t>val av den nya bestämmelsen låter utvärdera tillämpningen av lagen för att konstatera om de avsedda förändringarna blivit verklighet och vilka problem som visat sig i tillämpningen. Därför bör regeringen genomföra en snar utvä</w:t>
      </w:r>
      <w:r w:rsidRPr="00B34BCF">
        <w:t>r</w:t>
      </w:r>
      <w:r w:rsidRPr="00B34BCF">
        <w:t>dering av tillämpningen av den nya lagbestämmelsen om flyktingstatus på grund av förföljelse på grund av kön eller sexuell läggning. Detta bör riksd</w:t>
      </w:r>
      <w:r w:rsidRPr="00B34BCF">
        <w:t>a</w:t>
      </w:r>
      <w:r w:rsidRPr="00B34BCF">
        <w:t>gen som sin mening ge regeringen till känna.</w:t>
      </w:r>
    </w:p>
    <w:p w:rsidR="00B34BCF" w:rsidRPr="00B34BCF" w:rsidRDefault="00B34BCF">
      <w:pPr>
        <w:pStyle w:val="Normaltindrag"/>
        <w:shd w:val="clear" w:color="000000" w:fill="auto"/>
      </w:pPr>
      <w:r w:rsidRPr="00B34BCF">
        <w:t>Trots ändringen av utlänningslagen har migrationsmyndighet</w:t>
      </w:r>
      <w:r w:rsidRPr="00B34BCF">
        <w:t xml:space="preserve">erna fortsatt att utvisa homosexuella personer till länder som t.ex. Iran (Länsrätten i Stockholms län, mål nr. UM 225-06, avd. 11). </w:t>
      </w:r>
      <w:r w:rsidRPr="00B34BCF">
        <w:rPr>
          <w:color w:val="000000"/>
          <w:szCs w:val="24"/>
        </w:rPr>
        <w:t>Migrationsverket och migr</w:t>
      </w:r>
      <w:r w:rsidRPr="00B34BCF">
        <w:rPr>
          <w:color w:val="000000"/>
          <w:szCs w:val="24"/>
        </w:rPr>
        <w:t>a</w:t>
      </w:r>
      <w:r w:rsidRPr="00B34BCF">
        <w:rPr>
          <w:color w:val="000000"/>
          <w:szCs w:val="24"/>
        </w:rPr>
        <w:t xml:space="preserve">tionsdomstolen använder regelmässigt Utrikesdepartementets rapporter om </w:t>
      </w:r>
      <w:r w:rsidRPr="00B34BCF">
        <w:rPr>
          <w:color w:val="000000"/>
          <w:spacing w:val="-2"/>
          <w:szCs w:val="24"/>
        </w:rPr>
        <w:t xml:space="preserve">mänskliga rättigheter som beslutsunderlag i flyktingärenden. Senast den 22 </w:t>
      </w:r>
      <w:r w:rsidRPr="00B34BCF">
        <w:rPr>
          <w:color w:val="000000"/>
          <w:szCs w:val="24"/>
        </w:rPr>
        <w:t>sep</w:t>
      </w:r>
      <w:r w:rsidRPr="00B34BCF">
        <w:rPr>
          <w:color w:val="000000"/>
          <w:szCs w:val="24"/>
        </w:rPr>
        <w:softHyphen/>
        <w:t>tember 2006 avslog Migrationsdomstolen i Stockholm en asylansökan gjord av en homosexuell man från Iran. Av UD:s rapport om Iran från år 2005 framgår följande:</w:t>
      </w:r>
    </w:p>
    <w:p w:rsidR="00B34BCF" w:rsidRPr="00B34BCF" w:rsidRDefault="00B34BCF">
      <w:pPr>
        <w:pStyle w:val="Citat"/>
        <w:shd w:val="clear" w:color="000000" w:fill="auto"/>
      </w:pPr>
      <w:r w:rsidRPr="00B34BCF">
        <w:t>Bristen på tolerans i det iranska samhälle</w:t>
      </w:r>
      <w:r w:rsidRPr="00B34BCF">
        <w:t>t är långtifrån absolut: män hå</w:t>
      </w:r>
      <w:r w:rsidRPr="00B34BCF">
        <w:t>l</w:t>
      </w:r>
      <w:r w:rsidRPr="00B34BCF">
        <w:t xml:space="preserve">ler varandra i händerna, de vänslas i parkerna etc. Man kan någon gång se män kyssa varandra på gatan eller se sminkade män. Det är något av en paradox i Iran att heterosexuella personer (som, </w:t>
      </w:r>
      <w:r w:rsidRPr="00B34BCF">
        <w:rPr>
          <w:i/>
          <w:iCs/>
        </w:rPr>
        <w:t>nota bene</w:t>
      </w:r>
      <w:r w:rsidRPr="00B34BCF">
        <w:t>, inte är gi</w:t>
      </w:r>
      <w:r w:rsidRPr="00B34BCF">
        <w:t>f</w:t>
      </w:r>
      <w:r w:rsidRPr="00B34BCF">
        <w:t>ta) egentligen har större svårigheter med att kunna leva ut sin sexuella läggning än homosexuella.</w:t>
      </w:r>
    </w:p>
    <w:p w:rsidR="00B34BCF" w:rsidRPr="00B34BCF" w:rsidRDefault="00B34BCF">
      <w:pPr>
        <w:shd w:val="clear" w:color="000000" w:fill="auto"/>
      </w:pPr>
      <w:r w:rsidRPr="00B34BCF">
        <w:t>Samtidigt erkänner UD i rapporten att homosexuella riskerar grymma straff för homosexuella handlingar. För män gäller dödsstraff vid penetration och piskrapp för andr</w:t>
      </w:r>
      <w:r w:rsidRPr="00B34BCF">
        <w:t>a sexuella handlingar. För könsumgänge mellan kvinnor utdöms hundra piskrapp för vardera parten. UD menar dock att de iranska myndigheterna inte ”aktivt förföljer” homosexuella och att de flesta hom</w:t>
      </w:r>
      <w:r w:rsidRPr="00B34BCF">
        <w:t>o</w:t>
      </w:r>
      <w:r w:rsidRPr="00B34BCF">
        <w:t>sexuella i Iran kan undgå fara om de lever ”diskret och tillbakadraget”. Denna motivering har legat till grund för flera beslut av regeringen.</w:t>
      </w:r>
    </w:p>
    <w:p w:rsidR="00B34BCF" w:rsidRPr="00B34BCF" w:rsidRDefault="00B34BCF">
      <w:pPr>
        <w:pStyle w:val="Normaltindrag"/>
        <w:shd w:val="clear" w:color="000000" w:fill="auto"/>
      </w:pPr>
      <w:r w:rsidRPr="00B34BCF">
        <w:t>UD konstaterar vidare att de avrättningar av två homosexuella män som skedde i augusti år 2005 hade sin grund i våldtäkt och mord. Detta trots att Amnesty International h</w:t>
      </w:r>
      <w:r w:rsidRPr="00B34BCF">
        <w:t>ar rapporterat om att den iranska regimen använder sig av andra brottsrubriceringar än de faktiska för att göra sig av med hom</w:t>
      </w:r>
      <w:r w:rsidRPr="00B34BCF">
        <w:t>o</w:t>
      </w:r>
      <w:r w:rsidRPr="00B34BCF">
        <w:t>sexuella personer. Vi kan konstatera att UD:s rapporter på flera avgörande punkter är rent felaktiga och dessutom kränkande för de HBT-personer som är tvungna att fly från sitt hemland på grund av förföljelse, misshandel och rena dödshot. Eftersom det är klarlagt att människor avrättas på grund av sin sexuella läggning i Iran bör asylsökande homosexuella iraniers fruktan anses välgr</w:t>
      </w:r>
      <w:r w:rsidRPr="00B34BCF">
        <w:t>undad så länge paragrafen om dödsstraff och kroppsbestraffning finns kvar i den iranska strafflagen. Detsamma gäller alla andra länder som avrättar och bestraffar homosexuella och bisexuella på grund av deras sexuella läg</w:t>
      </w:r>
      <w:r w:rsidRPr="00B34BCF">
        <w:t>g</w:t>
      </w:r>
      <w:r w:rsidRPr="00B34BCF">
        <w:t>ning samt transpersoner på grund av deras könsidentitet. Utlänningslagens tillämpning i praktiken avviker i dag från riksdagens intentioner med lagen. Riksdagen har tidigare i ett betänkande uttalat att det aldrig kan komma i fråga att avvisa exempelvis en homosexuell person till hemlandet</w:t>
      </w:r>
      <w:r w:rsidRPr="00B34BCF">
        <w:t xml:space="preserve"> om han eller hon riskerar förföljelse på grund av sin sexuella läggning (bet. 2005/06:SfU4). Riksdagen anför även att det torde vara mycket svårt att b</w:t>
      </w:r>
      <w:r w:rsidRPr="00B34BCF">
        <w:t>e</w:t>
      </w:r>
      <w:r w:rsidRPr="00B34BCF">
        <w:t>döma om ett döljande av den sexuella läggningen utesluter risken för förfö</w:t>
      </w:r>
      <w:r w:rsidRPr="00B34BCF">
        <w:t>l</w:t>
      </w:r>
      <w:r w:rsidRPr="00B34BCF">
        <w:t>jelse. Riksdagens mening verkar dessvärre ha gått Migrationsverket och m</w:t>
      </w:r>
      <w:r w:rsidRPr="00B34BCF">
        <w:t>i</w:t>
      </w:r>
      <w:r w:rsidRPr="00B34BCF">
        <w:t>grationsdomstolen förbi.</w:t>
      </w:r>
    </w:p>
    <w:p w:rsidR="00B34BCF" w:rsidRPr="00B34BCF" w:rsidRDefault="00B34BCF">
      <w:pPr>
        <w:pStyle w:val="Normaltindrag"/>
        <w:shd w:val="clear" w:color="000000" w:fill="auto"/>
      </w:pPr>
      <w:r w:rsidRPr="00B34BCF">
        <w:t>Utlänningslagen ska tillämpas i enlighet med lagstiftarens intentioner. Det är därför av yttersta vikt att Sverige tar sitt ansvar och ger de HBT-personer som flyr hit rätt till flykting</w:t>
      </w:r>
      <w:r w:rsidRPr="00B34BCF">
        <w:t>status. Detta bör riksdagen som sin mening ge regeringen till känna.</w:t>
      </w:r>
    </w:p>
    <w:p w:rsidR="00B34BCF" w:rsidRPr="00B34BCF" w:rsidRDefault="00B34BCF">
      <w:pPr>
        <w:pStyle w:val="Rubrik2"/>
        <w:shd w:val="clear" w:color="000000" w:fill="auto"/>
      </w:pPr>
      <w:bookmarkStart w:id="451" w:name="_Toc206923789"/>
      <w:bookmarkStart w:id="452" w:name="_Toc208848301"/>
      <w:bookmarkStart w:id="453" w:name="_Toc208848340"/>
      <w:bookmarkStart w:id="454" w:name="_Toc214362403"/>
      <w:r w:rsidRPr="00B34BCF">
        <w:t>Konventionsflyktingar</w:t>
      </w:r>
      <w:bookmarkEnd w:id="451"/>
      <w:bookmarkEnd w:id="452"/>
      <w:bookmarkEnd w:id="453"/>
      <w:bookmarkEnd w:id="454"/>
    </w:p>
    <w:p w:rsidR="00B34BCF" w:rsidRPr="00B34BCF" w:rsidRDefault="00B34BCF">
      <w:pPr>
        <w:shd w:val="clear" w:color="000000" w:fill="auto"/>
      </w:pPr>
      <w:r w:rsidRPr="00B34BCF">
        <w:t xml:space="preserve">Det beviskrav som uppställs i svensk rätt för att risken för förföljelse ska beaktas är att den är sannolik. Detta beviskrav står inte i överenstämmelse med en riktig tillämpning av flyktingkonventionen. Som framgår av FN:s flyktingkommissariats </w:t>
      </w:r>
      <w:r w:rsidRPr="00B34BCF">
        <w:rPr>
          <w:i/>
        </w:rPr>
        <w:t xml:space="preserve">Note on burden and standard of proof in refugee </w:t>
      </w:r>
      <w:r w:rsidRPr="00B34BCF">
        <w:rPr>
          <w:i/>
        </w:rPr>
        <w:br/>
        <w:t>claims</w:t>
      </w:r>
      <w:r w:rsidRPr="00B34BCF">
        <w:t xml:space="preserve"> från den 16 december 1998 bör kravet utifrån internationell rättspraxis, bl.a. domar i USA:s högsta domstol, ligga mellan ”sannolikt” och ”möjligt”. I målet INS v. Cardoz-Fonseca uttalade USA:s högsta domstol att ”beviskravet förvisso inte kräver att utlänningen visar att det är mer sannolikt än motsatsen att han kommer att bli förföljd för att klassificeras som flykting”. Regeringen bör ta initiativ till en sådan översyn av flyktingskapsbestämmelsen i</w:t>
      </w:r>
      <w:r w:rsidRPr="00B34BCF">
        <w:t xml:space="preserve"> utlä</w:t>
      </w:r>
      <w:r w:rsidRPr="00B34BCF">
        <w:t>n</w:t>
      </w:r>
      <w:r w:rsidRPr="00B34BCF">
        <w:t>ningslagen att tillämpningen bringas i överensstämmelse med gällande inte</w:t>
      </w:r>
      <w:r w:rsidRPr="00B34BCF">
        <w:t>r</w:t>
      </w:r>
      <w:r w:rsidRPr="00B34BCF">
        <w:t>nationell rätt. Detta bör riksdagen som sin mening ge regeringen till känna.</w:t>
      </w:r>
    </w:p>
    <w:p w:rsidR="00B34BCF" w:rsidRPr="00B34BCF" w:rsidRDefault="00B34BCF">
      <w:pPr>
        <w:pStyle w:val="Rubrik2"/>
        <w:shd w:val="clear" w:color="000000" w:fill="auto"/>
      </w:pPr>
      <w:bookmarkStart w:id="455" w:name="_Toc178674212"/>
      <w:bookmarkStart w:id="456" w:name="_Toc178925574"/>
      <w:bookmarkStart w:id="457" w:name="_Toc179272167"/>
      <w:bookmarkStart w:id="458" w:name="_Toc206923790"/>
      <w:bookmarkStart w:id="459" w:name="_Toc208848302"/>
      <w:bookmarkStart w:id="460" w:name="_Toc208848341"/>
      <w:bookmarkStart w:id="461" w:name="_Toc214362404"/>
      <w:r w:rsidRPr="00B34BCF">
        <w:t>Skyddsbehövande i övrigt</w:t>
      </w:r>
      <w:bookmarkEnd w:id="455"/>
      <w:bookmarkEnd w:id="456"/>
      <w:bookmarkEnd w:id="457"/>
      <w:bookmarkEnd w:id="458"/>
      <w:bookmarkEnd w:id="459"/>
      <w:bookmarkEnd w:id="460"/>
      <w:bookmarkEnd w:id="461"/>
    </w:p>
    <w:p w:rsidR="00B34BCF" w:rsidRPr="00B34BCF" w:rsidRDefault="00B34BCF">
      <w:pPr>
        <w:shd w:val="clear" w:color="000000" w:fill="auto"/>
      </w:pPr>
      <w:r w:rsidRPr="00B34BCF">
        <w:t>Den som känner välgrundad fruktan att utsättas för allvarliga övergrepp på grund av svåra motsättningar i hemlandet ska enligt en ny bestämmelse i 4 kap. 2 § utlänningslagen har rätt till uppehållstillstånd.</w:t>
      </w:r>
    </w:p>
    <w:p w:rsidR="00B34BCF" w:rsidRPr="00B34BCF" w:rsidRDefault="00B34BCF">
      <w:pPr>
        <w:pStyle w:val="Normaltindrag"/>
        <w:shd w:val="clear" w:color="000000" w:fill="auto"/>
      </w:pPr>
      <w:r w:rsidRPr="00B34BCF">
        <w:t>Bestämmelsen har av domstolarna givits den tolkningen att det måste röra sig om ett individualiserat hot för att den ska vara tillämplig. Detta strider helt mot vad lagstiftaren avsåg. I propositionen (2004/05:170) sägs på s. 178:</w:t>
      </w:r>
    </w:p>
    <w:p w:rsidR="00B34BCF" w:rsidRPr="00B34BCF" w:rsidRDefault="00B34BCF">
      <w:pPr>
        <w:pStyle w:val="Citat"/>
        <w:shd w:val="clear" w:color="000000" w:fill="auto"/>
      </w:pPr>
      <w:r w:rsidRPr="00B34BCF">
        <w:t>Härigenom täcks situationer in som enligt praxis ger uppehållstillstånd av politisk humanitära skäl och andra skyddsrelaterade skäl som hittills b</w:t>
      </w:r>
      <w:r w:rsidRPr="00B34BCF">
        <w:t>i</w:t>
      </w:r>
      <w:r w:rsidRPr="00B34BCF">
        <w:t>fallits av humanitära skäl. Det kan röra sig om såväl godtyckliga som systematiska övergrepp som det till följd av maktförhållandena i landet inte finns möjlighet för den enskilde att skydda sig emot eller få rättelse för. Övergreppen behöver inte nödvändigtvis härröra från en myndighet utan kan lika väl ha begåtts av någon enskild aktör. [– – –]Avsikten med den ändrade indelningen av grunderna för uppehållstillstånd är inte att i</w:t>
      </w:r>
      <w:r w:rsidRPr="00B34BCF">
        <w:t>n</w:t>
      </w:r>
      <w:r w:rsidRPr="00B34BCF">
        <w:t>skränka möjligheten för skyddssökande att få uppehållstillstånd i förhå</w:t>
      </w:r>
      <w:r w:rsidRPr="00B34BCF">
        <w:t>l</w:t>
      </w:r>
      <w:r w:rsidRPr="00B34BCF">
        <w:t>land</w:t>
      </w:r>
      <w:r w:rsidRPr="00B34BCF">
        <w:t>e till vad som gäller enligt nuvarande lagstiftning och praxis.</w:t>
      </w:r>
    </w:p>
    <w:p w:rsidR="00B34BCF" w:rsidRPr="00B34BCF" w:rsidRDefault="00B34BCF">
      <w:pPr>
        <w:shd w:val="clear" w:color="000000" w:fill="auto"/>
      </w:pPr>
      <w:r w:rsidRPr="00B34BCF">
        <w:t>Men det är just vad som skett genom att det i praxis ställts upp krav på ett individualiserat hot. I EU:s skyddsgrundsdirektiv finns en bestämmelse om subsidiärt skydd som i mycket motsvarar bestämmelsen i utlänningslagen. Vissa EU-länder som exempelvis Storbritannien har tolkat bestämmelsen så att den ger skydd i en situation av urskillningslöst våld i ett land utan att det krävs att den asylsökande måste kunna visa att ett individuellt hot ri</w:t>
      </w:r>
      <w:r w:rsidRPr="00B34BCF">
        <w:t>ktas mot honom/henne. I andra länder, t.ex. i Sverige, har domstolarna gjort en restri</w:t>
      </w:r>
      <w:r w:rsidRPr="00B34BCF">
        <w:t>k</w:t>
      </w:r>
      <w:r w:rsidRPr="00B34BCF">
        <w:t>tiv tolkning av bestämmelsen genom att krav ställts på att en individuell risk måste påvisas genom någon särskild omständighet. FN:s flyktingkommissar</w:t>
      </w:r>
      <w:r w:rsidRPr="00B34BCF">
        <w:t>i</w:t>
      </w:r>
      <w:r w:rsidRPr="00B34BCF">
        <w:t>at har rekommenderat att länderna inte ska uppställa krav på en individualis</w:t>
      </w:r>
      <w:r w:rsidRPr="00B34BCF">
        <w:t>e</w:t>
      </w:r>
      <w:r w:rsidRPr="00B34BCF">
        <w:t>rad risk när bestämmelsen tillämpas. Regeringen måste skyndsamt ta initiativ för en lagöversyn på denna punkt för att skyddet för människor vars liv, frihet och hälsa hotas ska bringas i överensstä</w:t>
      </w:r>
      <w:r w:rsidRPr="00B34BCF">
        <w:t>mmelse med vad som avsågs av la</w:t>
      </w:r>
      <w:r w:rsidRPr="00B34BCF">
        <w:t>g</w:t>
      </w:r>
      <w:r w:rsidRPr="00B34BCF">
        <w:t>stiftaren när den nya utlänningslagen antogs. Därför bör en översyn av 4 kap. 2 § 2 utlänningslagen göras så att det i praxis uppställda kravet på individual</w:t>
      </w:r>
      <w:r w:rsidRPr="00B34BCF">
        <w:t>i</w:t>
      </w:r>
      <w:r w:rsidRPr="00B34BCF">
        <w:t>serat hot utmönstras. Detta bör riksdagen som sin mening ge regeringen till känna.</w:t>
      </w:r>
    </w:p>
    <w:p w:rsidR="00B34BCF" w:rsidRPr="00B34BCF" w:rsidRDefault="00B34BCF">
      <w:pPr>
        <w:pStyle w:val="Normaltindrag"/>
        <w:shd w:val="clear" w:color="000000" w:fill="auto"/>
      </w:pPr>
      <w:r w:rsidRPr="00B34BCF">
        <w:t>Den som behöver skydd på grund av väpnad inre eller yttre konflikt har också rätt till skydd enligt utlänningslagen. Migrationsöverdomstolen har i en dom den 26 februari 2007 slagit fast att det inte råder väpnad konflikt i Irak i utlännin</w:t>
      </w:r>
      <w:r w:rsidRPr="00B34BCF">
        <w:t>gslagens mening. Enligt domstolens tolkning måste följande tre re</w:t>
      </w:r>
      <w:r w:rsidRPr="00B34BCF">
        <w:t>k</w:t>
      </w:r>
      <w:r w:rsidRPr="00B34BCF">
        <w:t>visit vara uppfyllda för att en intern väpnad konflikt ska anses råda: att det rör stridigheter mellan en stats väpnade styrkor och andra väpnade organiserade grupper och att dessa uppnår ett visst mått av intensitet, att de väpnade gru</w:t>
      </w:r>
      <w:r w:rsidRPr="00B34BCF">
        <w:t>p</w:t>
      </w:r>
      <w:r w:rsidRPr="00B34BCF">
        <w:t>perna ska ha territoriell kontroll till den grad att de kan utföra militära oper</w:t>
      </w:r>
      <w:r w:rsidRPr="00B34BCF">
        <w:t>a</w:t>
      </w:r>
      <w:r w:rsidRPr="00B34BCF">
        <w:t xml:space="preserve">tioner samt att civilbefolkningen ska vara drabbad på ett sätt som gör det omöjligt att vistas i regionen. Internflykt ska inte </w:t>
      </w:r>
      <w:r w:rsidRPr="00B34BCF">
        <w:t>heller vara möjlig.</w:t>
      </w:r>
    </w:p>
    <w:p w:rsidR="00B34BCF" w:rsidRPr="00B34BCF" w:rsidRDefault="00B34BCF">
      <w:pPr>
        <w:pStyle w:val="Normaltindrag"/>
        <w:shd w:val="clear" w:color="000000" w:fill="auto"/>
      </w:pPr>
      <w:r w:rsidRPr="00B34BCF">
        <w:t>Migrationsöverdomstolen har i sin tolkning stött ett uttalande i proposition 1996/97:25 rörande de aktuella ändringarna av utlänningslagen och ett rege</w:t>
      </w:r>
      <w:r w:rsidRPr="00B34BCF">
        <w:t>r</w:t>
      </w:r>
      <w:r w:rsidRPr="00B34BCF">
        <w:t>ingsbeslut från 2004. Det är från detta regeringsbeslut domstolen hämtat fo</w:t>
      </w:r>
      <w:r w:rsidRPr="00B34BCF">
        <w:t>r</w:t>
      </w:r>
      <w:r w:rsidRPr="00B34BCF">
        <w:t>muleringen väpnad konflikt i ”folkrättslig mening”. Formuleringen syftar uppenbarligen på de kriterier som fastställs i artikel 1(1) i 1977 års tillägg</w:t>
      </w:r>
      <w:r w:rsidRPr="00B34BCF">
        <w:t>s</w:t>
      </w:r>
      <w:r w:rsidRPr="00B34BCF">
        <w:t>protokoll till 1949 års Genèvekonventioner. Detta tilläggsprotokoll är eme</w:t>
      </w:r>
      <w:r w:rsidRPr="00B34BCF">
        <w:t>l</w:t>
      </w:r>
      <w:r w:rsidRPr="00B34BCF">
        <w:t>lertid inte ett uttryck för vad som är den folkrättsliga innebörden i begreppet ”väpnad konflikt”. Protokollet är bara tillämpligt på de stater som ratificerat detsamma. Artikel 3 i konventionen har en vidare</w:t>
      </w:r>
      <w:r w:rsidRPr="00B34BCF">
        <w:t xml:space="preserve"> tillämplighet och gäller även för stridigheter som inte omfattas av tilläggsprotokollet.</w:t>
      </w:r>
    </w:p>
    <w:p w:rsidR="00B34BCF" w:rsidRPr="00B34BCF" w:rsidRDefault="00B34BCF">
      <w:pPr>
        <w:pStyle w:val="Normaltindrag"/>
        <w:shd w:val="clear" w:color="000000" w:fill="auto"/>
      </w:pPr>
      <w:r w:rsidRPr="00B34BCF">
        <w:t>Internationella rödakorskommittén, som enligt sin stadga har ett särskilt uppdrag att tolka och informera om den internationella humanitära rätten, har i mars 2008 skrivit till EU:s ordförandeland och framfört sin tolkning av b</w:t>
      </w:r>
      <w:r w:rsidRPr="00B34BCF">
        <w:t>e</w:t>
      </w:r>
      <w:r w:rsidRPr="00B34BCF">
        <w:t>greppet inre väpnad konflikt:</w:t>
      </w:r>
    </w:p>
    <w:p w:rsidR="00B34BCF" w:rsidRPr="00B34BCF" w:rsidRDefault="00B34BCF">
      <w:pPr>
        <w:pStyle w:val="Citat"/>
        <w:shd w:val="clear" w:color="000000" w:fill="auto"/>
      </w:pPr>
      <w:r w:rsidRPr="00B34BCF">
        <w:t>Icke-internationella väpnade konflikter är utdragna väpnade sammanstö</w:t>
      </w:r>
      <w:r w:rsidRPr="00B34BCF">
        <w:t>t</w:t>
      </w:r>
      <w:r w:rsidRPr="00B34BCF">
        <w:t>ningar mellan väpnade regeringsstyrkor och en eller flera väpnade gru</w:t>
      </w:r>
      <w:r w:rsidRPr="00B34BCF">
        <w:t>p</w:t>
      </w:r>
      <w:r w:rsidRPr="00B34BCF">
        <w:t>per eller mellan sådana grupper på en stats territorium, som är part i G</w:t>
      </w:r>
      <w:r w:rsidRPr="00B34BCF">
        <w:t>e</w:t>
      </w:r>
      <w:r w:rsidRPr="00B34BCF">
        <w:t>nèvekonvetionen. Den väpnade konflikten måste uppnå ett minimum av intensitet och de inblandade parterna visa ett minimum av organisering (icke officiell översättning).</w:t>
      </w:r>
    </w:p>
    <w:p w:rsidR="00B34BCF" w:rsidRPr="00B34BCF" w:rsidRDefault="00B34BCF">
      <w:pPr>
        <w:shd w:val="clear" w:color="000000" w:fill="auto"/>
      </w:pPr>
      <w:r w:rsidRPr="00B34BCF">
        <w:t>Det är därför nödvändigt att regeringen tar initiativ till en översyn av tol</w:t>
      </w:r>
      <w:r w:rsidRPr="00B34BCF">
        <w:t>k</w:t>
      </w:r>
      <w:r w:rsidRPr="00B34BCF">
        <w:t>ningen av begreppet ”yttre eller inre väpnad konflikt” i 4 kap. 2 § utlänning</w:t>
      </w:r>
      <w:r w:rsidRPr="00B34BCF">
        <w:t>s</w:t>
      </w:r>
      <w:r w:rsidRPr="00B34BCF">
        <w:t>lagen att det bringas i överensstämmelse med den internationellt accepterade folkrättsliga innebörden av begreppet. Detta bör riksdagen som sin mening ge regeringen till känna.</w:t>
      </w:r>
    </w:p>
    <w:p w:rsidR="00B34BCF" w:rsidRPr="00B34BCF" w:rsidRDefault="00B34BCF">
      <w:pPr>
        <w:pStyle w:val="Normaltindrag"/>
        <w:shd w:val="clear" w:color="000000" w:fill="auto"/>
      </w:pPr>
      <w:r w:rsidRPr="00B34BCF">
        <w:t>Ett allvarligt missförhållande i utredningsförfarandet i asylärenden är att Migrationsverket inte tar initiativ till tortyrskadeutredningar när den asyls</w:t>
      </w:r>
      <w:r w:rsidRPr="00B34BCF">
        <w:t>ö</w:t>
      </w:r>
      <w:r w:rsidRPr="00B34BCF">
        <w:t>kande åberopar att han eller hon har torterats. De offentliga biträdena vågar normalt inte initiera en sådan utredning eftersom det inte går att förutse om utlägget kommer att godtas som en skälig utredningsåtgärd. Regeringen bör i kommande regleringsbrev ge Migrationsverket i uppdrag att förordna om tortyrskadeutredningar i de ärenden där sökanden uppgivit att han eller hon torterats. Detta bör riksdagen som sin mening ge regeringen till känna.</w:t>
      </w:r>
    </w:p>
    <w:p w:rsidR="00B34BCF" w:rsidRPr="00B34BCF" w:rsidRDefault="00B34BCF">
      <w:pPr>
        <w:pStyle w:val="Rubrik2"/>
        <w:shd w:val="clear" w:color="000000" w:fill="auto"/>
      </w:pPr>
      <w:bookmarkStart w:id="462" w:name="_Toc178674213"/>
      <w:bookmarkStart w:id="463" w:name="_Toc178925575"/>
      <w:bookmarkStart w:id="464" w:name="_Toc179272168"/>
      <w:bookmarkStart w:id="465" w:name="_Toc206923791"/>
      <w:bookmarkStart w:id="466" w:name="_Toc208848303"/>
      <w:bookmarkStart w:id="467" w:name="_Toc208848342"/>
      <w:bookmarkStart w:id="468" w:name="_Toc214362405"/>
      <w:r w:rsidRPr="00B34BCF">
        <w:t>Barns asylskäl</w:t>
      </w:r>
      <w:bookmarkEnd w:id="462"/>
      <w:bookmarkEnd w:id="463"/>
      <w:bookmarkEnd w:id="464"/>
      <w:bookmarkEnd w:id="465"/>
      <w:bookmarkEnd w:id="466"/>
      <w:bookmarkEnd w:id="467"/>
      <w:bookmarkEnd w:id="468"/>
    </w:p>
    <w:p w:rsidR="00B34BCF" w:rsidRPr="00B34BCF" w:rsidRDefault="00B34BCF">
      <w:pPr>
        <w:shd w:val="clear" w:color="000000" w:fill="auto"/>
      </w:pPr>
      <w:r w:rsidRPr="00B34BCF">
        <w:t>Mottagandet av ensamkommande flyktingbarn har de senaste åren varit för</w:t>
      </w:r>
      <w:r w:rsidRPr="00B34BCF">
        <w:t>e</w:t>
      </w:r>
      <w:r w:rsidRPr="00B34BCF">
        <w:t>mål för uppmärksamhet och här har förändringar genomförts för att förbättra mottagandet. När det gäller den förändringen att kommunerna i stället för Migrationsverket ska ansvara för mottagandet har det varit stora problem att få tillräckligt många kommuner att ställa upp. Det finns dock ett område som inte rönt så mycket uppmärksamhet och det gäller själva bedömningen av barns asylansökningar. Vi vet dock att mycket få barn får flyktingstatus, det gäller både Sverige och Europa.</w:t>
      </w:r>
    </w:p>
    <w:p w:rsidR="00B34BCF" w:rsidRPr="00B34BCF" w:rsidRDefault="00B34BCF">
      <w:pPr>
        <w:pStyle w:val="Normaltindrag"/>
        <w:shd w:val="clear" w:color="000000" w:fill="auto"/>
      </w:pPr>
      <w:r w:rsidRPr="00B34BCF">
        <w:t>Kunskapen om barnrelaterad</w:t>
      </w:r>
      <w:r w:rsidRPr="00B34BCF">
        <w:t xml:space="preserve"> förföljelse är bristfällig. Migrationsverket använder barnspecifik landinformation i mycket begränsad omfattning. Också hos ombuden finns kunskapsbrister i detta avseende. Av central betydelse är här förutom flyktingkonventionen också barnkonventionen. FN:s flyktin</w:t>
      </w:r>
      <w:r w:rsidRPr="00B34BCF">
        <w:t>g</w:t>
      </w:r>
      <w:r w:rsidRPr="00B34BCF">
        <w:t>kommissariat har också utfärdat riktlinjer för asylprocessen för ensamko</w:t>
      </w:r>
      <w:r w:rsidRPr="00B34BCF">
        <w:t>m</w:t>
      </w:r>
      <w:r w:rsidRPr="00B34BCF">
        <w:t>mande barn som också innehåller vägledning beträffande barnrelaterad förfö</w:t>
      </w:r>
      <w:r w:rsidRPr="00B34BCF">
        <w:t>l</w:t>
      </w:r>
      <w:r w:rsidRPr="00B34BCF">
        <w:t>jelse. Det föreligger behov av en översyn av utlänningslagen för att det ska klargöras att landin</w:t>
      </w:r>
      <w:r w:rsidRPr="00B34BCF">
        <w:t>formation som särskilt handlar om förföljelse av barn måste användas i barns asylärenden, och regeringen bör ge tilläggsdirektiv om detta till den pågående utredningen om en översyn av utlänningslagen. Detta bör riksdagen som sin mening ge regeringen till känna.</w:t>
      </w:r>
    </w:p>
    <w:p w:rsidR="00B34BCF" w:rsidRPr="00B34BCF" w:rsidRDefault="00B34BCF">
      <w:pPr>
        <w:pStyle w:val="Normaltindrag"/>
        <w:shd w:val="clear" w:color="000000" w:fill="auto"/>
        <w:rPr>
          <w:szCs w:val="24"/>
        </w:rPr>
      </w:pPr>
      <w:r w:rsidRPr="00B34BCF">
        <w:t>Det är också väsentligt att det finns personal utbildad i utredningsmetodik för barn. Det krävs t.ex. särskilda kunskaper för att kunna bedöma barns su</w:t>
      </w:r>
      <w:r w:rsidRPr="00B34BCF">
        <w:t>b</w:t>
      </w:r>
      <w:r w:rsidRPr="00B34BCF">
        <w:t xml:space="preserve">jektiva fruktan för förföljelse. </w:t>
      </w:r>
      <w:r w:rsidRPr="00B34BCF">
        <w:rPr>
          <w:szCs w:val="24"/>
        </w:rPr>
        <w:t>Regeringen bör uppdra åt Migrationsverket att utarbeta särskilda riktlinjer för utredning och bedömning av barns asylskäl. Detta bör riksdagen som sin mening ge regeringen till känna.</w:t>
      </w:r>
    </w:p>
    <w:p w:rsidR="00B34BCF" w:rsidRPr="00B34BCF" w:rsidRDefault="00B34BCF">
      <w:pPr>
        <w:pStyle w:val="Rubrik2"/>
        <w:shd w:val="clear" w:color="000000" w:fill="auto"/>
      </w:pPr>
      <w:bookmarkStart w:id="469" w:name="_Toc148441357"/>
      <w:bookmarkStart w:id="470" w:name="_Toc148441393"/>
      <w:bookmarkStart w:id="471" w:name="_Toc148512562"/>
      <w:bookmarkStart w:id="472" w:name="_Toc148512598"/>
      <w:bookmarkStart w:id="473" w:name="_Toc177886831"/>
      <w:bookmarkStart w:id="474" w:name="_Toc178674214"/>
      <w:bookmarkStart w:id="475" w:name="_Toc178925576"/>
      <w:bookmarkStart w:id="476" w:name="_Toc179272169"/>
      <w:bookmarkStart w:id="477" w:name="_Toc206923792"/>
      <w:bookmarkStart w:id="478" w:name="_Toc208848304"/>
      <w:bookmarkStart w:id="479" w:name="_Toc208848343"/>
      <w:bookmarkStart w:id="480" w:name="_Toc214362406"/>
      <w:r w:rsidRPr="00B34BCF">
        <w:t>Synnerligen ömmande omständigheter</w:t>
      </w:r>
      <w:bookmarkEnd w:id="469"/>
      <w:bookmarkEnd w:id="470"/>
      <w:bookmarkEnd w:id="471"/>
      <w:bookmarkEnd w:id="472"/>
      <w:bookmarkEnd w:id="473"/>
      <w:bookmarkEnd w:id="474"/>
      <w:bookmarkEnd w:id="475"/>
      <w:bookmarkEnd w:id="476"/>
      <w:bookmarkEnd w:id="477"/>
      <w:bookmarkEnd w:id="478"/>
      <w:bookmarkEnd w:id="479"/>
      <w:bookmarkEnd w:id="480"/>
    </w:p>
    <w:p w:rsidR="00B34BCF" w:rsidRPr="00B34BCF" w:rsidRDefault="00B34BCF">
      <w:pPr>
        <w:shd w:val="clear" w:color="000000" w:fill="auto"/>
      </w:pPr>
      <w:r w:rsidRPr="00B34BCF">
        <w:t>I den nya utlänningslag som trädde i kraft den 31 mars 2006 har det geno</w:t>
      </w:r>
      <w:r w:rsidRPr="00B34BCF">
        <w:t>m</w:t>
      </w:r>
      <w:r w:rsidRPr="00B34BCF">
        <w:t>förts betydande förändringar av regleringen om uppehållstillstånd på skydd</w:t>
      </w:r>
      <w:r w:rsidRPr="00B34BCF">
        <w:t>s</w:t>
      </w:r>
      <w:r w:rsidRPr="00B34BCF">
        <w:t>skäl och humanitära grunder. Avsikten är att en större andel ska beviljas u</w:t>
      </w:r>
      <w:r w:rsidRPr="00B34BCF">
        <w:t>p</w:t>
      </w:r>
      <w:r w:rsidRPr="00B34BCF">
        <w:t>pehållstillstånd på grund av skyddsskäl i stället för humanitära grunder. Detta är ett riktigt synsätt som Vänsterpartiet ställer sig bakom. Vi är dock kritiska till att den bestämmelse som i första hand ersätter humanitära skäl, nämligen 5 kap. 6 § utlänningslagen, som ger möjlighet att bevilja uppehållstillstånd på grund av synnerligen ömmande omständighet</w:t>
      </w:r>
      <w:r w:rsidRPr="00B34BCF">
        <w:t>er. Det har nu utbildats en mycket restriktiv praxis som bl.a. innebär att de som har hiv/aids eller andra svåra sjukdomar nästan undantagslöst hänvisas till att söka vård i hemlandet, även om vården av kostnadsskäl i praktiken inte är tillgänglig för den det gäller. Denna inhumana praxis måste brytas genom att lagbestämmelsen än</w:t>
      </w:r>
      <w:r w:rsidRPr="00B34BCF">
        <w:t>d</w:t>
      </w:r>
      <w:r w:rsidRPr="00B34BCF">
        <w:t>ras. Uttrycket ”synnerligen” i rättsliga sammanhang är ett mycket snävt b</w:t>
      </w:r>
      <w:r w:rsidRPr="00B34BCF">
        <w:t>e</w:t>
      </w:r>
      <w:r w:rsidRPr="00B34BCF">
        <w:t>grepp och bör därför bytas ut mot ”särskilt” som ger möjlighet till en något mer generös bedömning. Självm</w:t>
      </w:r>
      <w:r w:rsidRPr="00B34BCF">
        <w:t>ordsrisk som styrkts av en specialist i psyk</w:t>
      </w:r>
      <w:r w:rsidRPr="00B34BCF">
        <w:t>i</w:t>
      </w:r>
      <w:r w:rsidRPr="00B34BCF">
        <w:t>atri bör utgöra ett sådant särskilt skäl och utan att denna risk ska behöva vara kopplad till psykisk sjukdom. Därför bör 5 kap. 6 § första stycket 1 ges fö</w:t>
      </w:r>
      <w:r w:rsidRPr="00B34BCF">
        <w:t>l</w:t>
      </w:r>
      <w:r w:rsidRPr="00B34BCF">
        <w:t>jande lydelse:</w:t>
      </w:r>
    </w:p>
    <w:p w:rsidR="00B34BCF" w:rsidRPr="00B34BCF" w:rsidRDefault="00B34BCF">
      <w:pPr>
        <w:pStyle w:val="Citat"/>
        <w:shd w:val="clear" w:color="000000" w:fill="auto"/>
      </w:pPr>
      <w:r w:rsidRPr="00B34BCF">
        <w:t>Om uppehållstillstånd inte kan ges på annan grund, får tillstånd beviljas en utlänning om det vid en samlad bedömning av utlänningens situation föreligger sådana särskilt ömmande omständigheter att han eller hon bör tillåtas stanna i Sverige.</w:t>
      </w:r>
    </w:p>
    <w:p w:rsidR="00B34BCF" w:rsidRPr="00B34BCF" w:rsidRDefault="00B34BCF">
      <w:pPr>
        <w:shd w:val="clear" w:color="000000" w:fill="auto"/>
      </w:pPr>
      <w:r w:rsidRPr="00B34BCF">
        <w:t>Detta bör riksdagen besluta.</w:t>
      </w:r>
    </w:p>
    <w:p w:rsidR="00B34BCF" w:rsidRPr="00B34BCF" w:rsidRDefault="00B34BCF">
      <w:pPr>
        <w:pStyle w:val="Rubrik2"/>
        <w:shd w:val="clear" w:color="000000" w:fill="auto"/>
      </w:pPr>
      <w:bookmarkStart w:id="481" w:name="_Toc178674215"/>
      <w:bookmarkStart w:id="482" w:name="_Toc178925577"/>
      <w:bookmarkStart w:id="483" w:name="_Toc179272170"/>
      <w:bookmarkStart w:id="484" w:name="_Toc206923793"/>
      <w:bookmarkStart w:id="485" w:name="_Toc208848305"/>
      <w:bookmarkStart w:id="486" w:name="_Toc208848344"/>
      <w:bookmarkStart w:id="487" w:name="_Toc214362407"/>
      <w:r w:rsidRPr="00B34BCF">
        <w:t>Verkställighetshinder</w:t>
      </w:r>
      <w:bookmarkEnd w:id="481"/>
      <w:bookmarkEnd w:id="482"/>
      <w:bookmarkEnd w:id="483"/>
      <w:bookmarkEnd w:id="484"/>
      <w:bookmarkEnd w:id="485"/>
      <w:bookmarkEnd w:id="486"/>
      <w:bookmarkEnd w:id="487"/>
    </w:p>
    <w:p w:rsidR="00B34BCF" w:rsidRPr="00B34BCF" w:rsidRDefault="00B34BCF">
      <w:pPr>
        <w:shd w:val="clear" w:color="000000" w:fill="auto"/>
      </w:pPr>
      <w:r w:rsidRPr="00B34BCF">
        <w:t>I propositionen med förslag till ny utlänningslag (2004/05:170) s. 192 sägs att</w:t>
      </w:r>
    </w:p>
    <w:p w:rsidR="00B34BCF" w:rsidRPr="00B34BCF" w:rsidRDefault="00B34BCF">
      <w:pPr>
        <w:pStyle w:val="Citat"/>
        <w:shd w:val="clear" w:color="000000" w:fill="auto"/>
      </w:pPr>
      <w:r w:rsidRPr="00B34BCF">
        <w:t>något beslut om avvisning bör liksom hittills inte fattas då det redan inför ett beslut över en ansökan om uppehållstillstånd står klart att ett avläg</w:t>
      </w:r>
      <w:r w:rsidRPr="00B34BCF">
        <w:t>s</w:t>
      </w:r>
      <w:r w:rsidRPr="00B34BCF">
        <w:t>nandebeslut inte skulle gå att verkställa.</w:t>
      </w:r>
    </w:p>
    <w:p w:rsidR="00B34BCF" w:rsidRPr="00B34BCF" w:rsidRDefault="00B34BCF">
      <w:pPr>
        <w:shd w:val="clear" w:color="000000" w:fill="auto"/>
      </w:pPr>
      <w:r w:rsidRPr="00B34BCF">
        <w:t>Denna regel fanns också i den gamla utlänningslagen, men den tillämpades inte då och tillämpas inte heller nu på ett konsekvent och förutsägbart sätt. Många gånger fattas avvisningsbeslut i uppenbar strid med förarbetsuttala</w:t>
      </w:r>
      <w:r w:rsidRPr="00B34BCF">
        <w:t>n</w:t>
      </w:r>
      <w:r w:rsidRPr="00B34BCF">
        <w:t>det. Det är därför nödvändigt att regeringen återkommer till riksdagen med förslag till ny bestämmelse i utlänningslagen om att avlägsnandebeslut ej ska fattas om det inte går att verkställa. Detta bör riksdagen som sin mening ge regeringen till känna.</w:t>
      </w:r>
    </w:p>
    <w:p w:rsidR="00B34BCF" w:rsidRPr="00B34BCF" w:rsidRDefault="00B34BCF">
      <w:pPr>
        <w:pStyle w:val="Normaltindrag"/>
        <w:shd w:val="clear" w:color="000000" w:fill="auto"/>
      </w:pPr>
      <w:r w:rsidRPr="00B34BCF">
        <w:t>Bestämmelsen i 12 kap. 19 § 2 utlänningslagen, där krav uppställs att u</w:t>
      </w:r>
      <w:r w:rsidRPr="00B34BCF">
        <w:t>t</w:t>
      </w:r>
      <w:r w:rsidRPr="00B34BCF">
        <w:t>länningen inte kunnat åberopa verkställighetshindren tidigare eller har giltig ursäkt för att inte ha åberopat dem tidigare, står i uppenbar konflikt med art</w:t>
      </w:r>
      <w:r w:rsidRPr="00B34BCF">
        <w:t>i</w:t>
      </w:r>
      <w:r w:rsidRPr="00B34BCF">
        <w:t>kel 3 i Europakonventionen om de mänskliga rättigheterna. Detta avhjälps inte genom de möjligheter Migrationsverket har att bevilja uppehållstillstånd enligt 12 kap. 18 § utlänningslagen. Regeringen bör därför ta initiativ till en översyn av 12 kap. 19 § utlänningslagen för att bringa bestämmelsen i öve</w:t>
      </w:r>
      <w:r w:rsidRPr="00B34BCF">
        <w:t>r</w:t>
      </w:r>
      <w:r w:rsidRPr="00B34BCF">
        <w:t>ensstämmelse med Europakonventionen om de mänskl</w:t>
      </w:r>
      <w:r w:rsidRPr="00B34BCF">
        <w:t>iga rättigheterna. Detta bör riksdagen som sin mening ge regeringen till känna.</w:t>
      </w:r>
    </w:p>
    <w:p w:rsidR="00B34BCF" w:rsidRPr="00B34BCF" w:rsidRDefault="00B34BCF">
      <w:pPr>
        <w:pStyle w:val="Normaltindrag"/>
        <w:shd w:val="clear" w:color="000000" w:fill="auto"/>
      </w:pPr>
      <w:r w:rsidRPr="00B34BCF">
        <w:t>Om Migrationsverket en gång överlämnat verkställigheten av ett utvi</w:t>
      </w:r>
      <w:r w:rsidRPr="00B34BCF">
        <w:t>s</w:t>
      </w:r>
      <w:r w:rsidRPr="00B34BCF">
        <w:t>ningsbeslut till polisen saknar denna varje möjlighet att återlämna ärendet till Migrationsverket även om en förändrad situation skulle göra detta sakligt motiverat. Regeringen bör därför återkomma till riksdagen med förslag till en sådan lagändring att möjlighet ges till polisen att återlämna ett verkställi</w:t>
      </w:r>
      <w:r w:rsidRPr="00B34BCF">
        <w:t>g</w:t>
      </w:r>
      <w:r w:rsidRPr="00B34BCF">
        <w:t>hetsärende till Migrationsverket. Detta bör riksdagen som sin mening ge r</w:t>
      </w:r>
      <w:r w:rsidRPr="00B34BCF">
        <w:t>e</w:t>
      </w:r>
      <w:r w:rsidRPr="00B34BCF">
        <w:t>geringen till känna.</w:t>
      </w:r>
    </w:p>
    <w:p w:rsidR="00B34BCF" w:rsidRPr="00B34BCF" w:rsidRDefault="00B34BCF">
      <w:pPr>
        <w:pStyle w:val="Rubrik2"/>
        <w:shd w:val="clear" w:color="000000" w:fill="auto"/>
      </w:pPr>
      <w:bookmarkStart w:id="488" w:name="_Toc178674216"/>
      <w:bookmarkStart w:id="489" w:name="_Toc178925578"/>
      <w:bookmarkStart w:id="490" w:name="_Toc179272171"/>
      <w:bookmarkStart w:id="491" w:name="_Toc206923794"/>
      <w:bookmarkStart w:id="492" w:name="_Toc208848306"/>
      <w:bookmarkStart w:id="493" w:name="_Toc208848345"/>
      <w:bookmarkStart w:id="494" w:name="_Toc214362408"/>
      <w:r w:rsidRPr="00B34BCF">
        <w:t>Landkunskapen hos Migrationsverket</w:t>
      </w:r>
      <w:bookmarkEnd w:id="488"/>
      <w:bookmarkEnd w:id="489"/>
      <w:bookmarkEnd w:id="490"/>
      <w:bookmarkEnd w:id="491"/>
      <w:bookmarkEnd w:id="492"/>
      <w:bookmarkEnd w:id="493"/>
      <w:bookmarkEnd w:id="494"/>
    </w:p>
    <w:p w:rsidR="00B34BCF" w:rsidRPr="00B34BCF" w:rsidRDefault="00B34BCF">
      <w:pPr>
        <w:shd w:val="clear" w:color="000000" w:fill="auto"/>
      </w:pPr>
      <w:r w:rsidRPr="00B34BCF">
        <w:t>Numera redovisas Migrationsverkets databas ”Lifos” med landinformation om de asylsökandes hemländer på Migrationsverkets hemsida. Detta är ett stort framsteg eftersom det möjliggör en dialog mellan Migrationsverket och den asylsökande om innehållet och tillförlitligheten i landinformationen. Nu har dock ett nytt problem visat sig. Det förhåller sig nämligen många gånger så att Migrationsverket bortser från innehållet i sin egen landinformation när det där finns uppgifter som talar för att den asylsökande b</w:t>
      </w:r>
      <w:r w:rsidRPr="00B34BCF">
        <w:t>orde beviljas upp</w:t>
      </w:r>
      <w:r w:rsidRPr="00B34BCF">
        <w:t>e</w:t>
      </w:r>
      <w:r w:rsidRPr="00B34BCF">
        <w:t>hållstillstånd. Det föreligger att trängande behov av att Migrationsverkets tjänstemän utbildas i hur landinformationen används i ärendena på ett opa</w:t>
      </w:r>
      <w:r w:rsidRPr="00B34BCF">
        <w:t>r</w:t>
      </w:r>
      <w:r w:rsidRPr="00B34BCF">
        <w:t>tiskt sätt. Regeringen bör ge Migrationsverket i uppdrag att organisera sådana kurser i opartiskt användande av Migrationsverkets landinformation. Detta bör riksdagen som sin mening ge regeringen till känna.</w:t>
      </w:r>
    </w:p>
    <w:p w:rsidR="00B34BCF" w:rsidRPr="00B34BCF" w:rsidRDefault="00B34BCF">
      <w:pPr>
        <w:pStyle w:val="Rubrik2"/>
        <w:shd w:val="clear" w:color="000000" w:fill="auto"/>
      </w:pPr>
      <w:bookmarkStart w:id="495" w:name="_Toc115091995"/>
      <w:bookmarkStart w:id="496" w:name="_Toc115092170"/>
      <w:bookmarkStart w:id="497" w:name="_Toc147204557"/>
      <w:bookmarkStart w:id="498" w:name="_Toc147720111"/>
      <w:bookmarkStart w:id="499" w:name="_Toc148441359"/>
      <w:bookmarkStart w:id="500" w:name="_Toc148441395"/>
      <w:bookmarkStart w:id="501" w:name="_Toc148512564"/>
      <w:bookmarkStart w:id="502" w:name="_Toc148512600"/>
      <w:bookmarkStart w:id="503" w:name="_Toc177886832"/>
      <w:bookmarkStart w:id="504" w:name="_Toc178674217"/>
      <w:bookmarkStart w:id="505" w:name="_Toc178925579"/>
      <w:bookmarkStart w:id="506" w:name="_Toc179272172"/>
      <w:bookmarkStart w:id="507" w:name="_Toc206923795"/>
      <w:bookmarkStart w:id="508" w:name="_Toc208848307"/>
      <w:bookmarkStart w:id="509" w:name="_Toc208848346"/>
      <w:bookmarkStart w:id="510" w:name="_Toc214362409"/>
      <w:r w:rsidRPr="00B34BCF">
        <w:t xml:space="preserve">Illegal </w:t>
      </w:r>
      <w:bookmarkEnd w:id="495"/>
      <w:bookmarkEnd w:id="496"/>
      <w:bookmarkEnd w:id="497"/>
      <w:bookmarkEnd w:id="498"/>
      <w:bookmarkEnd w:id="499"/>
      <w:bookmarkEnd w:id="500"/>
      <w:bookmarkEnd w:id="501"/>
      <w:bookmarkEnd w:id="502"/>
      <w:r w:rsidRPr="00B34BCF">
        <w:t>vistelse</w:t>
      </w:r>
      <w:bookmarkEnd w:id="503"/>
      <w:bookmarkEnd w:id="504"/>
      <w:bookmarkEnd w:id="505"/>
      <w:bookmarkEnd w:id="506"/>
      <w:bookmarkEnd w:id="507"/>
      <w:bookmarkEnd w:id="508"/>
      <w:bookmarkEnd w:id="509"/>
      <w:bookmarkEnd w:id="510"/>
    </w:p>
    <w:p w:rsidR="00B34BCF" w:rsidRPr="00B34BCF" w:rsidRDefault="00B34BCF">
      <w:pPr>
        <w:shd w:val="clear" w:color="000000" w:fill="auto"/>
      </w:pPr>
      <w:r w:rsidRPr="00B34BCF">
        <w:t>I 8 kap. 12 § andra stycket utlänningslagen anges att en utlänning som avv</w:t>
      </w:r>
      <w:r w:rsidRPr="00B34BCF">
        <w:t>i</w:t>
      </w:r>
      <w:r w:rsidRPr="00B34BCF">
        <w:t>sats ska lämna landet inom två veckor. Tvåveckorsfristen börjar löpa samma dag som ett lagakraftägande beslut fattats. Många gånger kan det dröja avs</w:t>
      </w:r>
      <w:r w:rsidRPr="00B34BCF">
        <w:t>e</w:t>
      </w:r>
      <w:r w:rsidRPr="00B34BCF">
        <w:t>värd tid innan beslutet når den det berör. Inte sällan kan det gå mer än två veckor innan han eller hon får kännedom om beslutet. I alla händelser är tid</w:t>
      </w:r>
      <w:r w:rsidRPr="00B34BCF">
        <w:t>s</w:t>
      </w:r>
      <w:r w:rsidRPr="00B34BCF">
        <w:t>fristen så kort att det är helt omöjligt – också med god vilja – att ordna med utresan från Sverige inom denna frist. I andra fall, t.ex. för palestinier som tidigare vistats som gästarbetare i någon av Gulf</w:t>
      </w:r>
      <w:r w:rsidRPr="00B34BCF">
        <w:t>staterna, är det omöjligt att inom denna tidrymd ordna tillstånd att resa in i det land dit avvisningen ska ske. Ofta låter det sig över huvud taget inte göras.</w:t>
      </w:r>
    </w:p>
    <w:p w:rsidR="00B34BCF" w:rsidRPr="00B34BCF" w:rsidRDefault="00B34BCF">
      <w:pPr>
        <w:pStyle w:val="Normaltindrag"/>
        <w:shd w:val="clear" w:color="000000" w:fill="auto"/>
      </w:pPr>
      <w:r w:rsidRPr="00B34BCF">
        <w:t>Konsekvenserna av denna regel blir i nästan samtliga ärenden fullständigt orimliga. Utlänningen har ingen praktisk möjlighet att undvika att vistas ”</w:t>
      </w:r>
      <w:r w:rsidRPr="00B34BCF">
        <w:rPr>
          <w:szCs w:val="24"/>
        </w:rPr>
        <w:t>i</w:t>
      </w:r>
      <w:r w:rsidRPr="00B34BCF">
        <w:rPr>
          <w:szCs w:val="24"/>
        </w:rPr>
        <w:t>l</w:t>
      </w:r>
      <w:r w:rsidRPr="00B34BCF">
        <w:rPr>
          <w:szCs w:val="24"/>
        </w:rPr>
        <w:t>legalt</w:t>
      </w:r>
      <w:r w:rsidRPr="00B34BCF">
        <w:t>” i Sverige. Denna illegala vistelse kommer sedan att hållas emot henne eller honom vid varje framtida ansökan om uppehållstillstånd eller besöksv</w:t>
      </w:r>
      <w:r w:rsidRPr="00B34BCF">
        <w:t>i</w:t>
      </w:r>
      <w:r w:rsidRPr="00B34BCF">
        <w:t>sum. Murbyggandet mot omvärlden håller successivt på att övergå till ett fullständigt utestängande av människor av annan etnicitet från Europa. Det angivna lagrummet måste ändras så att det av lagtexten klart framgår att u</w:t>
      </w:r>
      <w:r w:rsidRPr="00B34BCF">
        <w:t>t</w:t>
      </w:r>
      <w:r w:rsidRPr="00B34BCF">
        <w:t>länningen alltid ska ha skäligt rådrum för att ordna förberedelserna för avr</w:t>
      </w:r>
      <w:r w:rsidRPr="00B34BCF">
        <w:t>e</w:t>
      </w:r>
      <w:r w:rsidRPr="00B34BCF">
        <w:t>san. Detta bör riksdagen som sin mening ge regeringen til</w:t>
      </w:r>
      <w:r w:rsidRPr="00B34BCF">
        <w:t>l känna.</w:t>
      </w:r>
    </w:p>
    <w:p w:rsidR="00B34BCF" w:rsidRPr="00B34BCF" w:rsidRDefault="00B34BCF">
      <w:pPr>
        <w:pStyle w:val="Rubrik2"/>
        <w:shd w:val="clear" w:color="000000" w:fill="auto"/>
      </w:pPr>
      <w:bookmarkStart w:id="511" w:name="_Toc148441360"/>
      <w:bookmarkStart w:id="512" w:name="_Toc148441396"/>
      <w:bookmarkStart w:id="513" w:name="_Toc148512565"/>
      <w:bookmarkStart w:id="514" w:name="_Toc148512601"/>
      <w:bookmarkStart w:id="515" w:name="_Toc177886833"/>
      <w:bookmarkStart w:id="516" w:name="_Toc178674218"/>
      <w:bookmarkStart w:id="517" w:name="_Toc178925580"/>
      <w:bookmarkStart w:id="518" w:name="_Toc179272173"/>
      <w:bookmarkStart w:id="519" w:name="_Toc206923796"/>
      <w:bookmarkStart w:id="520" w:name="_Toc208848308"/>
      <w:bookmarkStart w:id="521" w:name="_Toc208848347"/>
      <w:bookmarkStart w:id="522" w:name="_Toc214362410"/>
      <w:r w:rsidRPr="00B34BCF">
        <w:t>Bortre gräns i asylprocessen</w:t>
      </w:r>
      <w:bookmarkEnd w:id="511"/>
      <w:bookmarkEnd w:id="512"/>
      <w:bookmarkEnd w:id="513"/>
      <w:bookmarkEnd w:id="514"/>
      <w:bookmarkEnd w:id="515"/>
      <w:bookmarkEnd w:id="516"/>
      <w:bookmarkEnd w:id="517"/>
      <w:bookmarkEnd w:id="518"/>
      <w:bookmarkEnd w:id="519"/>
      <w:bookmarkEnd w:id="520"/>
      <w:bookmarkEnd w:id="521"/>
      <w:bookmarkEnd w:id="522"/>
    </w:p>
    <w:p w:rsidR="00B34BCF" w:rsidRPr="00B34BCF" w:rsidRDefault="00B34BCF">
      <w:pPr>
        <w:shd w:val="clear" w:color="000000" w:fill="auto"/>
      </w:pPr>
      <w:r w:rsidRPr="00B34BCF">
        <w:t>Handläggningstiderna för ärenden om uppehållstillstånd har ständigt varit ett stort problem i vart fall under de senaste 30 åren. Det har gjorts återkomma</w:t>
      </w:r>
      <w:r w:rsidRPr="00B34BCF">
        <w:t>n</w:t>
      </w:r>
      <w:r w:rsidRPr="00B34BCF">
        <w:t>de lagändringar och vidtagits andra åtgärder för att försöka komma till rätta med problemen, men utan att några förbättringar åstadkommits fram till i dag. De längsta godtagbara handläggningstider som regleringsbreven föreskriver har ingen som helst påverkan på verkligheten. Därför måste nu kraftfullare medel tillgripas. En bestämmelse bör införas i utlänningslagen om att den som ansökt om uppehållstillstånd och inte erhållit ett lagakraftägande a</w:t>
      </w:r>
      <w:r w:rsidRPr="00B34BCF">
        <w:t>v</w:t>
      </w:r>
      <w:r w:rsidRPr="00B34BCF">
        <w:t>slagsbeslut inom 18 månader från ansökan ska beviljas uppeh</w:t>
      </w:r>
      <w:r w:rsidRPr="00B34BCF">
        <w:t xml:space="preserve">ållstillstånd om det inte finns särskilda skäl som talar däremot. Sådana särskilda skäl kan vara att den sökande själv väsentligt bidragit till tidsutdräkten eller har gjort sig skyldig till allvarlig brottslighet. Regeringen bör återkomma med förslag om införande av sådan bortre gräns i asylprocessen. Detta bör riksdagen som sin mening ge regeringen till </w:t>
      </w:r>
      <w:bookmarkStart w:id="523" w:name="_Toc52088945"/>
      <w:bookmarkStart w:id="524" w:name="_Toc52089210"/>
      <w:bookmarkStart w:id="525" w:name="_Toc52089234"/>
      <w:bookmarkStart w:id="526" w:name="_Toc52089488"/>
      <w:bookmarkStart w:id="527" w:name="_Toc52089656"/>
      <w:bookmarkStart w:id="528" w:name="_Toc52089680"/>
      <w:bookmarkStart w:id="529" w:name="_Toc52089705"/>
      <w:bookmarkStart w:id="530" w:name="_Toc52090567"/>
      <w:bookmarkStart w:id="531" w:name="_Toc52098349"/>
      <w:bookmarkStart w:id="532" w:name="_Toc52160931"/>
      <w:bookmarkStart w:id="533" w:name="_Toc52161140"/>
      <w:bookmarkStart w:id="534" w:name="_Toc52168541"/>
      <w:bookmarkStart w:id="535" w:name="_Toc52856698"/>
      <w:bookmarkStart w:id="536" w:name="_Toc82430523"/>
      <w:bookmarkStart w:id="537" w:name="_Toc82430610"/>
      <w:bookmarkStart w:id="538" w:name="_Toc82431902"/>
      <w:bookmarkStart w:id="539" w:name="_Toc83459832"/>
      <w:bookmarkStart w:id="540" w:name="_Toc111450577"/>
      <w:bookmarkStart w:id="541" w:name="_Toc115091997"/>
      <w:bookmarkStart w:id="542" w:name="_Toc115092172"/>
      <w:bookmarkStart w:id="543" w:name="_Toc147720112"/>
      <w:bookmarkStart w:id="544" w:name="_Toc148441361"/>
      <w:bookmarkStart w:id="545" w:name="_Toc148441397"/>
      <w:bookmarkStart w:id="546" w:name="_Toc148512566"/>
      <w:bookmarkStart w:id="547" w:name="_Toc148512602"/>
      <w:r w:rsidRPr="00B34BCF">
        <w:t>känna.</w:t>
      </w:r>
    </w:p>
    <w:p w:rsidR="00B34BCF" w:rsidRPr="00B34BCF" w:rsidRDefault="00B34BCF">
      <w:pPr>
        <w:pStyle w:val="Rubrik2"/>
        <w:shd w:val="clear" w:color="000000" w:fill="auto"/>
      </w:pPr>
      <w:bookmarkStart w:id="548" w:name="_Toc177886834"/>
      <w:bookmarkStart w:id="549" w:name="_Toc178674219"/>
      <w:bookmarkStart w:id="550" w:name="_Toc178925581"/>
      <w:bookmarkStart w:id="551" w:name="_Toc179272174"/>
      <w:bookmarkStart w:id="552" w:name="_Toc206923797"/>
      <w:bookmarkStart w:id="553" w:name="_Toc208848309"/>
      <w:bookmarkStart w:id="554" w:name="_Toc208848348"/>
      <w:bookmarkStart w:id="555" w:name="_Toc214362411"/>
      <w:r w:rsidRPr="00B34BCF">
        <w:t>Visumkrav som medel att utestänga flyktingar från Sverige och EU</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B34BCF" w:rsidRPr="00B34BCF" w:rsidRDefault="00B34BCF">
      <w:pPr>
        <w:shd w:val="clear" w:color="000000" w:fill="auto"/>
      </w:pPr>
      <w:r w:rsidRPr="00B34BCF">
        <w:t>Visumkrav riktade mot länder där det pågår krig eller omfattande kränkningar mot mänskliga rättigheter är en viktig del av EU:s utestängningspolitik mot flyktingar och andra skyddsbehövande.</w:t>
      </w:r>
    </w:p>
    <w:p w:rsidR="00B34BCF" w:rsidRPr="00B34BCF" w:rsidRDefault="00B34BCF">
      <w:pPr>
        <w:pStyle w:val="Normaltindrag"/>
        <w:shd w:val="clear" w:color="000000" w:fill="auto"/>
      </w:pPr>
      <w:r w:rsidRPr="00B34BCF">
        <w:t>Detta är ett allvarligt hot mot asylrätten. Regeringen bör därför inom EU verka för att korta ner listan över visumpliktiga länder och för att visumkrav inte används för att stänga ute flyktingar och kortsluta Genèvekonventionen. Detta bör riksdagen som sin mening ge regeringen till känna.</w:t>
      </w:r>
    </w:p>
    <w:p w:rsidR="00B34BCF" w:rsidRPr="00B34BCF" w:rsidRDefault="00B34BCF">
      <w:pPr>
        <w:pStyle w:val="Rubrik2"/>
        <w:shd w:val="clear" w:color="000000" w:fill="auto"/>
      </w:pPr>
      <w:bookmarkStart w:id="556" w:name="_Toc52088946"/>
      <w:bookmarkStart w:id="557" w:name="_Toc52089211"/>
      <w:bookmarkStart w:id="558" w:name="_Toc52089235"/>
      <w:bookmarkStart w:id="559" w:name="_Toc52089489"/>
      <w:bookmarkStart w:id="560" w:name="_Toc52089657"/>
      <w:bookmarkStart w:id="561" w:name="_Toc52089681"/>
      <w:bookmarkStart w:id="562" w:name="_Toc52089706"/>
      <w:bookmarkStart w:id="563" w:name="_Toc52090568"/>
      <w:bookmarkStart w:id="564" w:name="_Toc52098350"/>
      <w:bookmarkStart w:id="565" w:name="_Toc52160932"/>
      <w:bookmarkStart w:id="566" w:name="_Toc52161141"/>
      <w:bookmarkStart w:id="567" w:name="_Toc52168542"/>
      <w:bookmarkStart w:id="568" w:name="_Toc52856699"/>
      <w:bookmarkStart w:id="569" w:name="_Toc82430524"/>
      <w:bookmarkStart w:id="570" w:name="_Toc82430611"/>
      <w:bookmarkStart w:id="571" w:name="_Toc82431903"/>
      <w:bookmarkStart w:id="572" w:name="_Toc83459833"/>
      <w:bookmarkStart w:id="573" w:name="_Toc111450578"/>
      <w:bookmarkStart w:id="574" w:name="_Toc115091998"/>
      <w:bookmarkStart w:id="575" w:name="_Toc115092173"/>
      <w:bookmarkStart w:id="576" w:name="_Toc147720113"/>
      <w:bookmarkStart w:id="577" w:name="_Toc148441362"/>
      <w:bookmarkStart w:id="578" w:name="_Toc148441398"/>
      <w:bookmarkStart w:id="579" w:name="_Toc148512567"/>
      <w:bookmarkStart w:id="580" w:name="_Toc148512603"/>
      <w:bookmarkStart w:id="581" w:name="_Toc177886835"/>
      <w:bookmarkStart w:id="582" w:name="_Toc178674220"/>
      <w:bookmarkStart w:id="583" w:name="_Toc178925582"/>
      <w:bookmarkStart w:id="584" w:name="_Toc179272175"/>
      <w:bookmarkStart w:id="585" w:name="_Toc206923798"/>
      <w:bookmarkStart w:id="586" w:name="_Toc208848310"/>
      <w:bookmarkStart w:id="587" w:name="_Toc208848349"/>
      <w:bookmarkStart w:id="588" w:name="_Toc214362412"/>
      <w:r w:rsidRPr="00B34BCF">
        <w:t>Praxis vid besöksvisum</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rsidR="00B34BCF" w:rsidRPr="00B34BCF" w:rsidRDefault="00B34BCF">
      <w:pPr>
        <w:shd w:val="clear" w:color="000000" w:fill="auto"/>
      </w:pPr>
      <w:r w:rsidRPr="00B34BCF">
        <w:t>Den praxis som Migrationsverket tillämpar beträffande besöksvisum innebär en betydligt restriktivare hållning mot sökande från länder, från vilka det tidigare varit vanligt med s.k. avhopp. Det är dock orimligt att straffa helt andra människor på grund av att landsmän, som beviljats besöksvisum, u</w:t>
      </w:r>
      <w:r w:rsidRPr="00B34BCF">
        <w:t>t</w:t>
      </w:r>
      <w:r w:rsidRPr="00B34BCF">
        <w:t xml:space="preserve">nyttjat sin mänskliga rättighet att söka asyl. Det är i själva verket ett indirekt angrepp på asylrätten. Det bidrar dessutom till att ge Sverige dåligt rykte internationellt när internationella gäster hindras från att delta i vetenskapliga eller andra sammankomster som arrangeras i Sverige. I förlängningen </w:t>
      </w:r>
      <w:smartTag w:uri="urn:schemas-microsoft-com:office:smarttags" w:element="place">
        <w:smartTag w:uri="urn:schemas-microsoft-com:office:smarttags" w:element="State">
          <w:r w:rsidRPr="00B34BCF">
            <w:t>kan</w:t>
          </w:r>
        </w:smartTag>
      </w:smartTag>
      <w:r w:rsidRPr="00B34BCF">
        <w:t xml:space="preserve"> Sverige komma att få svårigheter att få stå som värd för den typen av arra</w:t>
      </w:r>
      <w:r w:rsidRPr="00B34BCF">
        <w:t>n</w:t>
      </w:r>
      <w:r w:rsidRPr="00B34BCF">
        <w:t>gemang. Socialförsäkringsutskottet har flera gånger uttalat sig för en öppnare praxis, dock utan någon effekt.</w:t>
      </w:r>
    </w:p>
    <w:p w:rsidR="00B34BCF" w:rsidRPr="00B34BCF" w:rsidRDefault="00B34BCF">
      <w:pPr>
        <w:pStyle w:val="Normaltindrag"/>
        <w:shd w:val="clear" w:color="000000" w:fill="auto"/>
      </w:pPr>
      <w:r w:rsidRPr="00B34BCF">
        <w:t>Regeringen b</w:t>
      </w:r>
      <w:r w:rsidRPr="00B34BCF">
        <w:t>ör utfärda tydliga riktlinjer för Migrationsverkets handläg</w:t>
      </w:r>
      <w:r w:rsidRPr="00B34BCF">
        <w:t>g</w:t>
      </w:r>
      <w:r w:rsidRPr="00B34BCF">
        <w:t>ning av ärenden som gäller besöksvisum för att den ska genomsyras av en inställning som grundas på icke-diskriminering och humanitet. Detta bör riksdagen som sin mening ge regeringen till känna.</w:t>
      </w:r>
    </w:p>
    <w:p w:rsidR="00B34BCF" w:rsidRPr="00B34BCF" w:rsidRDefault="00B34BCF">
      <w:pPr>
        <w:pStyle w:val="Rubrik2"/>
        <w:shd w:val="clear" w:color="000000" w:fill="auto"/>
      </w:pPr>
      <w:bookmarkStart w:id="589" w:name="_Toc148441363"/>
      <w:bookmarkStart w:id="590" w:name="_Toc148441399"/>
      <w:bookmarkStart w:id="591" w:name="_Toc148512568"/>
      <w:bookmarkStart w:id="592" w:name="_Toc148512604"/>
      <w:bookmarkStart w:id="593" w:name="_Toc177886836"/>
      <w:bookmarkStart w:id="594" w:name="_Toc178674221"/>
      <w:bookmarkStart w:id="595" w:name="_Toc178925583"/>
      <w:bookmarkStart w:id="596" w:name="_Toc179272176"/>
      <w:bookmarkStart w:id="597" w:name="_Toc206923799"/>
      <w:bookmarkStart w:id="598" w:name="_Toc208848311"/>
      <w:bookmarkStart w:id="599" w:name="_Toc208848350"/>
      <w:bookmarkStart w:id="600" w:name="_Toc214362413"/>
      <w:r w:rsidRPr="00B34BCF">
        <w:t>Flyktingkvoten</w:t>
      </w:r>
      <w:bookmarkEnd w:id="589"/>
      <w:bookmarkEnd w:id="590"/>
      <w:bookmarkEnd w:id="591"/>
      <w:bookmarkEnd w:id="592"/>
      <w:bookmarkEnd w:id="593"/>
      <w:bookmarkEnd w:id="594"/>
      <w:bookmarkEnd w:id="595"/>
      <w:bookmarkEnd w:id="596"/>
      <w:bookmarkEnd w:id="597"/>
      <w:bookmarkEnd w:id="598"/>
      <w:bookmarkEnd w:id="599"/>
      <w:bookmarkEnd w:id="600"/>
    </w:p>
    <w:p w:rsidR="00B34BCF" w:rsidRPr="00B34BCF" w:rsidRDefault="00B34BCF">
      <w:pPr>
        <w:shd w:val="clear" w:color="000000" w:fill="auto"/>
      </w:pPr>
      <w:r w:rsidRPr="00B34BCF">
        <w:t>På ett område inom flyktingpolitiken har Sverige skaffat sig ett gott intern</w:t>
      </w:r>
      <w:r w:rsidRPr="00B34BCF">
        <w:t>a</w:t>
      </w:r>
      <w:r w:rsidRPr="00B34BCF">
        <w:t>tionellt anseende, nämligen genom den årliga flyktingkvot som används för att i samarbete med FN:s flyktingkommissariat erbjuda skydd genom vidar</w:t>
      </w:r>
      <w:r w:rsidRPr="00B34BCF">
        <w:t>e</w:t>
      </w:r>
      <w:r w:rsidRPr="00B34BCF">
        <w:t>bosättning till personer som befinner sig i ett tredjeland och inte har tillgång till någon långsiktig lösning. Traditionellt har Sverige erbjudit sig att genom kvoten ta emot flyktingar som varit särskilt utsatta, bl.a. sjuka och handika</w:t>
      </w:r>
      <w:r w:rsidRPr="00B34BCF">
        <w:t>p</w:t>
      </w:r>
      <w:r w:rsidRPr="00B34BCF">
        <w:t>pade flyktingar, och där flyktingkommissarien haft svårt att få fram erbjuda</w:t>
      </w:r>
      <w:r w:rsidRPr="00B34BCF">
        <w:t>n</w:t>
      </w:r>
      <w:r w:rsidRPr="00B34BCF">
        <w:t>den om vidarebosättning.</w:t>
      </w:r>
    </w:p>
    <w:p w:rsidR="00B34BCF" w:rsidRPr="00B34BCF" w:rsidRDefault="00B34BCF">
      <w:pPr>
        <w:pStyle w:val="Normaltindrag"/>
        <w:shd w:val="clear" w:color="000000" w:fill="auto"/>
      </w:pPr>
      <w:r w:rsidRPr="00B34BCF">
        <w:t>FN:s flyktingkommissaria</w:t>
      </w:r>
      <w:r w:rsidRPr="00B34BCF">
        <w:t>t har sju kriterier för vidarebosättning för fly</w:t>
      </w:r>
      <w:r w:rsidRPr="00B34BCF">
        <w:t>k</w:t>
      </w:r>
      <w:r w:rsidRPr="00B34BCF">
        <w:t>tingar som befinner sig i ett tredjeland:</w:t>
      </w:r>
    </w:p>
    <w:p w:rsidR="00B34BCF" w:rsidRPr="00B34BCF" w:rsidRDefault="00B34BCF">
      <w:pPr>
        <w:pStyle w:val="PunktlistaNummer"/>
        <w:numPr>
          <w:ilvl w:val="0"/>
          <w:numId w:val="19"/>
        </w:numPr>
        <w:shd w:val="clear" w:color="000000" w:fill="auto"/>
        <w:tabs>
          <w:tab w:val="clear" w:pos="720"/>
          <w:tab w:val="num" w:pos="284"/>
        </w:tabs>
        <w:ind w:hanging="720"/>
      </w:pPr>
      <w:r w:rsidRPr="00B34BCF">
        <w:t>skyddsbehov</w:t>
      </w:r>
    </w:p>
    <w:p w:rsidR="00B34BCF" w:rsidRPr="00B34BCF" w:rsidRDefault="00B34BCF">
      <w:pPr>
        <w:pStyle w:val="PunktlistaNummer"/>
        <w:numPr>
          <w:ilvl w:val="0"/>
          <w:numId w:val="19"/>
        </w:numPr>
        <w:shd w:val="clear" w:color="000000" w:fill="auto"/>
        <w:tabs>
          <w:tab w:val="clear" w:pos="720"/>
          <w:tab w:val="num" w:pos="284"/>
        </w:tabs>
        <w:spacing w:before="0"/>
        <w:ind w:hanging="720"/>
      </w:pPr>
      <w:r w:rsidRPr="00B34BCF">
        <w:t>tortyroffer med vårdbehov</w:t>
      </w:r>
    </w:p>
    <w:p w:rsidR="00B34BCF" w:rsidRPr="00B34BCF" w:rsidRDefault="00B34BCF">
      <w:pPr>
        <w:pStyle w:val="PunktlistaNummer"/>
        <w:numPr>
          <w:ilvl w:val="0"/>
          <w:numId w:val="19"/>
        </w:numPr>
        <w:shd w:val="clear" w:color="000000" w:fill="auto"/>
        <w:tabs>
          <w:tab w:val="clear" w:pos="720"/>
          <w:tab w:val="num" w:pos="284"/>
        </w:tabs>
        <w:spacing w:before="0"/>
        <w:ind w:hanging="720"/>
      </w:pPr>
      <w:r w:rsidRPr="00B34BCF">
        <w:t>utsatta kvinnor</w:t>
      </w:r>
    </w:p>
    <w:p w:rsidR="00B34BCF" w:rsidRPr="00B34BCF" w:rsidRDefault="00B34BCF">
      <w:pPr>
        <w:pStyle w:val="PunktlistaNummer"/>
        <w:numPr>
          <w:ilvl w:val="0"/>
          <w:numId w:val="19"/>
        </w:numPr>
        <w:shd w:val="clear" w:color="000000" w:fill="auto"/>
        <w:tabs>
          <w:tab w:val="clear" w:pos="720"/>
          <w:tab w:val="num" w:pos="284"/>
        </w:tabs>
        <w:spacing w:before="0"/>
        <w:ind w:hanging="720"/>
      </w:pPr>
      <w:r w:rsidRPr="00B34BCF">
        <w:t>familjeåterföreningsfall</w:t>
      </w:r>
    </w:p>
    <w:p w:rsidR="00B34BCF" w:rsidRPr="00B34BCF" w:rsidRDefault="00B34BCF">
      <w:pPr>
        <w:pStyle w:val="PunktlistaNummer"/>
        <w:numPr>
          <w:ilvl w:val="0"/>
          <w:numId w:val="19"/>
        </w:numPr>
        <w:shd w:val="clear" w:color="000000" w:fill="auto"/>
        <w:tabs>
          <w:tab w:val="clear" w:pos="720"/>
          <w:tab w:val="num" w:pos="284"/>
        </w:tabs>
        <w:spacing w:before="0"/>
        <w:ind w:hanging="720"/>
      </w:pPr>
      <w:r w:rsidRPr="00B34BCF">
        <w:t>flyktingbarn och -ungdomar</w:t>
      </w:r>
    </w:p>
    <w:p w:rsidR="00B34BCF" w:rsidRPr="00B34BCF" w:rsidRDefault="00B34BCF">
      <w:pPr>
        <w:pStyle w:val="PunktlistaNummer"/>
        <w:numPr>
          <w:ilvl w:val="0"/>
          <w:numId w:val="19"/>
        </w:numPr>
        <w:shd w:val="clear" w:color="000000" w:fill="auto"/>
        <w:tabs>
          <w:tab w:val="clear" w:pos="720"/>
          <w:tab w:val="num" w:pos="284"/>
        </w:tabs>
        <w:spacing w:before="0"/>
        <w:ind w:hanging="720"/>
      </w:pPr>
      <w:r w:rsidRPr="00B34BCF">
        <w:t>äldre</w:t>
      </w:r>
    </w:p>
    <w:p w:rsidR="00B34BCF" w:rsidRPr="00B34BCF" w:rsidRDefault="00B34BCF">
      <w:pPr>
        <w:pStyle w:val="PunktlistaNummer"/>
        <w:numPr>
          <w:ilvl w:val="0"/>
          <w:numId w:val="19"/>
        </w:numPr>
        <w:shd w:val="clear" w:color="000000" w:fill="auto"/>
        <w:tabs>
          <w:tab w:val="clear" w:pos="720"/>
          <w:tab w:val="num" w:pos="284"/>
        </w:tabs>
        <w:spacing w:before="0"/>
        <w:ind w:hanging="720"/>
        <w:rPr>
          <w:color w:val="000000"/>
        </w:rPr>
      </w:pPr>
      <w:r w:rsidRPr="00B34BCF">
        <w:t>flyktingar utan förutsättningar att integreras lokalt</w:t>
      </w:r>
    </w:p>
    <w:p w:rsidR="00B34BCF" w:rsidRPr="00B34BCF" w:rsidRDefault="00B34BCF">
      <w:pPr>
        <w:shd w:val="clear" w:color="000000" w:fill="auto"/>
      </w:pPr>
      <w:r w:rsidRPr="00B34BCF">
        <w:t>Nu satsar Sverige bara på att ta ut flyktingar ur den första kategorin och med beaktande av deras ”integrationspotential”. Detta har lett till att Sverige har lämnat avslag på många fall som presenterats av flyktingkommissariatet. Sverige bör i fortsättningen utnyttja hela den flyktingkvot som riksdagen fastställt och därvid ta ut särskilt utsatta flyktingar eller flyktingar till vilka flyktingkommissarien haft svårt att få fram erbjudanden om vidarebosättning. Hänsynstaganden till flyktingarnas ”integrati</w:t>
      </w:r>
      <w:r w:rsidRPr="00B34BCF">
        <w:t>onspotential” bör utmönstras som kriterium för uttagning på kvoten. Detta bör riksdagen som sin mening ge regeringen till känna.</w:t>
      </w:r>
    </w:p>
    <w:p w:rsidR="00B34BCF" w:rsidRPr="00B34BCF" w:rsidRDefault="00B34BCF">
      <w:pPr>
        <w:pStyle w:val="Normaltindrag"/>
        <w:shd w:val="clear" w:color="000000" w:fill="auto"/>
      </w:pPr>
      <w:r w:rsidRPr="00B34BCF">
        <w:t>Ytterligare försämringar har genomförts beträffande uttagningen av fami</w:t>
      </w:r>
      <w:r w:rsidRPr="00B34BCF">
        <w:t>l</w:t>
      </w:r>
      <w:r w:rsidRPr="00B34BCF">
        <w:t>jemedlemmar till en kvotflykting. Numera kräver man att dessa ska besöka en svensk ambassad för att ansöka om familjeåterförening även om det inte finns någon svensk ambassad i hemlandet och det är stora praktiska svårigheter och hinder att ta sig till en svensk ambassad. Tidigare har kravet på att en ansökan måste inges till en svensk ambassad eftergivits i sådana situationer. Regerin</w:t>
      </w:r>
      <w:r w:rsidRPr="00B34BCF">
        <w:t>g</w:t>
      </w:r>
      <w:r w:rsidRPr="00B34BCF">
        <w:t>en bör i kommande regleringsbrev till Migrationsverket uppdra åt verket att återgå till tidigare praxis vad gäller krav på</w:t>
      </w:r>
      <w:r w:rsidRPr="00B34BCF">
        <w:t xml:space="preserve"> att ansökan om familjeåterför</w:t>
      </w:r>
      <w:r w:rsidRPr="00B34BCF">
        <w:t>e</w:t>
      </w:r>
      <w:r w:rsidRPr="00B34BCF">
        <w:t>ning måste inges via svensk beskickning. Detta bör riksdagen som sin mening ge regeringen till känna.</w:t>
      </w:r>
    </w:p>
    <w:p w:rsidR="00B34BCF" w:rsidRPr="00B34BCF" w:rsidRDefault="00B34BCF">
      <w:pPr>
        <w:pStyle w:val="Normaltindrag"/>
        <w:shd w:val="clear" w:color="000000" w:fill="auto"/>
      </w:pPr>
      <w:r w:rsidRPr="00B34BCF">
        <w:t>En annan mycket allvarlig försämring som helt nyligen genomförts är att det numera enbart tas hänsyn till rena skyddsbehov vid uttagningar på fly</w:t>
      </w:r>
      <w:r w:rsidRPr="00B34BCF">
        <w:t>k</w:t>
      </w:r>
      <w:r w:rsidRPr="00B34BCF">
        <w:t>tingkvoten. Detta leder i vissa fall till djupt stötande konsekvenser. Det kan exempelvis gälla en dotter i en familj som fyllt 18 år och därför blir lämnad ensam kvar i ett hemland där unga ensamstående kvinnor av kulturella skäl har en fruktansvärt svår och utsatt situation. Regeringen bör ta initiativ för att Migrationsverket ska beredas möjlighet att ta nödvändiga mänskliga hänsyn vid uttagning av familjemedlemmar på kvoten även om de fyllt 18 år. Detta bör riksdagen som sin mening ge regeringen till k</w:t>
      </w:r>
      <w:r w:rsidRPr="00B34BCF">
        <w:t>änna.</w:t>
      </w:r>
    </w:p>
    <w:p w:rsidR="00B34BCF" w:rsidRPr="00B34BCF" w:rsidRDefault="00B34BCF">
      <w:pPr>
        <w:pStyle w:val="Normaltindrag"/>
        <w:shd w:val="clear" w:color="000000" w:fill="auto"/>
      </w:pPr>
      <w:r w:rsidRPr="00B34BCF">
        <w:t>Det orsakar Migrationsverket allvarliga problem att budgetåret utgör strikt gräns för genomförande av kvotuttagningarna. Ofta kan det vara omöjligt att hinna genomföra det fysiska överförandet av kvotflyktingen till Sverige under budgetåret. Då blir konsekvensen att platsen på det årets kvot går förlorad. Migrationsverket skulle föredra treåriga planeringsperioder för utnyttjande av flyktingkvoten så att ej utnyttjade platser kan överföras till nästkommande år. Regeringen bör ta initiativ till att det</w:t>
      </w:r>
      <w:r w:rsidRPr="00B34BCF">
        <w:t xml:space="preserve"> införs treåriga planeringsperioder för uttagningarna på flyktingkvoten. Detta bör riksdagen som sin mening ge regeringen till känna.</w:t>
      </w:r>
      <w:bookmarkStart w:id="601" w:name="_Toc52088947"/>
      <w:bookmarkStart w:id="602" w:name="_Toc52089212"/>
      <w:bookmarkStart w:id="603" w:name="_Toc52089236"/>
      <w:bookmarkStart w:id="604" w:name="_Toc52089490"/>
      <w:bookmarkStart w:id="605" w:name="_Toc52089658"/>
      <w:bookmarkStart w:id="606" w:name="_Toc52089682"/>
      <w:bookmarkStart w:id="607" w:name="_Toc52089707"/>
      <w:bookmarkStart w:id="608" w:name="_Toc52090569"/>
      <w:bookmarkStart w:id="609" w:name="_Toc52098351"/>
      <w:bookmarkStart w:id="610" w:name="_Toc52160933"/>
      <w:bookmarkStart w:id="611" w:name="_Toc52161142"/>
      <w:bookmarkStart w:id="612" w:name="_Toc52168543"/>
      <w:bookmarkStart w:id="613" w:name="_Toc52856700"/>
      <w:bookmarkStart w:id="614" w:name="_Toc82430525"/>
      <w:bookmarkStart w:id="615" w:name="_Toc82430612"/>
      <w:bookmarkStart w:id="616" w:name="_Toc82431904"/>
      <w:bookmarkStart w:id="617" w:name="_Toc83459834"/>
      <w:bookmarkStart w:id="618" w:name="_Toc111450579"/>
      <w:bookmarkStart w:id="619" w:name="_Toc115091999"/>
      <w:bookmarkStart w:id="620" w:name="_Toc115092174"/>
      <w:bookmarkStart w:id="621" w:name="_Toc148441364"/>
      <w:bookmarkStart w:id="622" w:name="_Toc148441400"/>
      <w:bookmarkStart w:id="623" w:name="_Toc148512569"/>
      <w:bookmarkStart w:id="624" w:name="_Toc148512605"/>
    </w:p>
    <w:p w:rsidR="00B34BCF" w:rsidRPr="00B34BCF" w:rsidRDefault="00B34BCF">
      <w:pPr>
        <w:pStyle w:val="Rubrik2"/>
        <w:shd w:val="clear" w:color="000000" w:fill="auto"/>
      </w:pPr>
      <w:bookmarkStart w:id="625" w:name="_Toc178674222"/>
      <w:bookmarkStart w:id="626" w:name="_Toc178925584"/>
      <w:bookmarkStart w:id="627" w:name="_Toc179272177"/>
      <w:bookmarkStart w:id="628" w:name="_Toc206923800"/>
      <w:bookmarkStart w:id="629" w:name="_Toc208848312"/>
      <w:bookmarkStart w:id="630" w:name="_Toc208848351"/>
      <w:bookmarkStart w:id="631" w:name="_Toc214362414"/>
      <w:r w:rsidRPr="00B34BCF">
        <w:t>Asylvisum</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B34BCF" w:rsidRPr="00B34BCF" w:rsidRDefault="00B34BCF">
      <w:pPr>
        <w:shd w:val="clear" w:color="000000" w:fill="auto"/>
      </w:pPr>
      <w:r w:rsidRPr="00B34BCF">
        <w:t>EU-ländernas regeringar har under ett antal år både unilateralt och inom r</w:t>
      </w:r>
      <w:r w:rsidRPr="00B34BCF">
        <w:t>a</w:t>
      </w:r>
      <w:r w:rsidRPr="00B34BCF">
        <w:t>men för EU-samarbetet strävat efter att konstruera mekanismer för att ut</w:t>
      </w:r>
      <w:r w:rsidRPr="00B34BCF">
        <w:t>e</w:t>
      </w:r>
      <w:r w:rsidRPr="00B34BCF">
        <w:t>stänga asylsökande från EU-territoriet. Resultatet har blivit att det är i det närmaste omöjligt att ta sig till EU för att söka asyl för den som inte har mö</w:t>
      </w:r>
      <w:r w:rsidRPr="00B34BCF">
        <w:t>j</w:t>
      </w:r>
      <w:r w:rsidRPr="00B34BCF">
        <w:t>lighet att få fram betydande penningsummor till människosmugglare. Därför har allt fler börjat diskutera möjligheten att beskickningar får utfärda visum till skyddsbehövande antingen när dessa befinner sig i hemlandet eller i tre</w:t>
      </w:r>
      <w:r w:rsidRPr="00B34BCF">
        <w:t>d</w:t>
      </w:r>
      <w:r w:rsidRPr="00B34BCF">
        <w:t>jeland.</w:t>
      </w:r>
    </w:p>
    <w:p w:rsidR="00B34BCF" w:rsidRPr="00B34BCF" w:rsidRDefault="00B34BCF">
      <w:pPr>
        <w:pStyle w:val="Normaltindrag"/>
        <w:shd w:val="clear" w:color="000000" w:fill="auto"/>
      </w:pPr>
      <w:r w:rsidRPr="00B34BCF">
        <w:t>Flera stater, både EU-medlemmar och andra,</w:t>
      </w:r>
      <w:r w:rsidRPr="00B34BCF">
        <w:t xml:space="preserve"> har redan infört olika varia</w:t>
      </w:r>
      <w:r w:rsidRPr="00B34BCF">
        <w:t>n</w:t>
      </w:r>
      <w:r w:rsidRPr="00B34BCF">
        <w:t>ter av denna möjlighet. Gregor Noll, professor i folkrätt vid Lunds universitet, har tillsammans med Jessica Fagerlund vid det danska centret för mänskliga rättigheter gjort en studie i detta ämne för EU-kommissionen som publicer</w:t>
      </w:r>
      <w:r w:rsidRPr="00B34BCF">
        <w:t>a</w:t>
      </w:r>
      <w:r w:rsidRPr="00B34BCF">
        <w:t>des i april 2002. De menar att de sex EU-länder som redan tillämpar systemet bör utveckla det ytterligare och delge övriga medlemsstater och forskare i</w:t>
      </w:r>
      <w:r w:rsidRPr="00B34BCF">
        <w:t>n</w:t>
      </w:r>
      <w:r w:rsidRPr="00B34BCF">
        <w:t>formation om hur det fungerar. De föreslår också att de övriga medlemsst</w:t>
      </w:r>
      <w:r w:rsidRPr="00B34BCF">
        <w:t>a</w:t>
      </w:r>
      <w:r w:rsidRPr="00B34BCF">
        <w:t>terna inför liknande system</w:t>
      </w:r>
      <w:r w:rsidRPr="00B34BCF">
        <w:t xml:space="preserve">, som dock endast </w:t>
      </w:r>
      <w:smartTag w:uri="urn:schemas-microsoft-com:office:smarttags" w:element="place">
        <w:smartTag w:uri="urn:schemas-microsoft-com:office:smarttags" w:element="State">
          <w:r w:rsidRPr="00B34BCF">
            <w:t>kan</w:t>
          </w:r>
        </w:smartTag>
      </w:smartTag>
      <w:r w:rsidRPr="00B34BCF">
        <w:t xml:space="preserve"> och får utgöra ett kompl</w:t>
      </w:r>
      <w:r w:rsidRPr="00B34BCF">
        <w:t>e</w:t>
      </w:r>
      <w:r w:rsidRPr="00B34BCF">
        <w:t>ment till det traditionella sättet att söka asyl.</w:t>
      </w:r>
    </w:p>
    <w:p w:rsidR="00B34BCF" w:rsidRPr="00B34BCF" w:rsidRDefault="00B34BCF">
      <w:pPr>
        <w:pStyle w:val="Normaltindrag"/>
        <w:shd w:val="clear" w:color="000000" w:fill="auto"/>
      </w:pPr>
      <w:r w:rsidRPr="00B34BCF">
        <w:t>Det finns flera svåra praktiska problem med asylvisum. Några sådana pr</w:t>
      </w:r>
      <w:r w:rsidRPr="00B34BCF">
        <w:t>o</w:t>
      </w:r>
      <w:r w:rsidRPr="00B34BCF">
        <w:t>blem är t.ex. avsaknad av en svensk ambassad i flyktingens hemland, risker för den asylsökande att besöka ambassaden, som ofta kan stå under beva</w:t>
      </w:r>
      <w:r w:rsidRPr="00B34BCF">
        <w:t>k</w:t>
      </w:r>
      <w:r w:rsidRPr="00B34BCF">
        <w:t>ning, problem med sekretessen gentemot lokalanställd personal vid ambass</w:t>
      </w:r>
      <w:r w:rsidRPr="00B34BCF">
        <w:t>a</w:t>
      </w:r>
      <w:r w:rsidRPr="00B34BCF">
        <w:t>den, rädsla att berätta om sina asylskäl medan man finns kvar i sitt hemland, svårigheter att skaffa medicinsk bevisning om eventuella tortyrskador, frånv</w:t>
      </w:r>
      <w:r w:rsidRPr="00B34BCF">
        <w:t>a</w:t>
      </w:r>
      <w:r w:rsidRPr="00B34BCF">
        <w:t>ro av möjlighet till advokathjälp m.m.</w:t>
      </w:r>
    </w:p>
    <w:p w:rsidR="00B34BCF" w:rsidRPr="00B34BCF" w:rsidRDefault="00B34BCF">
      <w:pPr>
        <w:pStyle w:val="Normaltindrag"/>
        <w:shd w:val="clear" w:color="000000" w:fill="auto"/>
      </w:pPr>
      <w:r w:rsidRPr="00B34BCF">
        <w:t>Regeringen bör tillsätta en utredning med uppgift att lägga fram förslag om en procedur för utfärd</w:t>
      </w:r>
      <w:r w:rsidRPr="00B34BCF">
        <w:t>ande av asylvisum. Detta bör riksdagen som sin mening ge regeringen till känna.</w:t>
      </w:r>
    </w:p>
    <w:p w:rsidR="00B34BCF" w:rsidRPr="00B34BCF" w:rsidRDefault="00B34BCF">
      <w:pPr>
        <w:pStyle w:val="Rubrik2"/>
        <w:shd w:val="clear" w:color="000000" w:fill="auto"/>
      </w:pPr>
      <w:bookmarkStart w:id="632" w:name="_Toc52088948"/>
      <w:bookmarkStart w:id="633" w:name="_Toc52089213"/>
      <w:bookmarkStart w:id="634" w:name="_Toc52089237"/>
      <w:bookmarkStart w:id="635" w:name="_Toc52089491"/>
      <w:bookmarkStart w:id="636" w:name="_Toc52089659"/>
      <w:bookmarkStart w:id="637" w:name="_Toc52089683"/>
      <w:bookmarkStart w:id="638" w:name="_Toc52089708"/>
      <w:bookmarkStart w:id="639" w:name="_Toc52090570"/>
      <w:bookmarkStart w:id="640" w:name="_Toc52098352"/>
      <w:bookmarkStart w:id="641" w:name="_Toc52160934"/>
      <w:bookmarkStart w:id="642" w:name="_Toc52161143"/>
      <w:bookmarkStart w:id="643" w:name="_Toc52168544"/>
      <w:bookmarkStart w:id="644" w:name="_Toc52856701"/>
      <w:bookmarkStart w:id="645" w:name="_Toc82430526"/>
      <w:bookmarkStart w:id="646" w:name="_Toc82430613"/>
      <w:bookmarkStart w:id="647" w:name="_Toc82431905"/>
      <w:bookmarkStart w:id="648" w:name="_Toc83459835"/>
      <w:bookmarkStart w:id="649" w:name="_Toc111450580"/>
      <w:bookmarkStart w:id="650" w:name="_Toc115092000"/>
      <w:bookmarkStart w:id="651" w:name="_Toc115092175"/>
      <w:bookmarkStart w:id="652" w:name="_Toc147720114"/>
      <w:bookmarkStart w:id="653" w:name="_Toc148441365"/>
      <w:bookmarkStart w:id="654" w:name="_Toc148441401"/>
      <w:bookmarkStart w:id="655" w:name="_Toc148512570"/>
      <w:bookmarkStart w:id="656" w:name="_Toc148512606"/>
      <w:bookmarkStart w:id="657" w:name="_Toc177886837"/>
      <w:bookmarkStart w:id="658" w:name="_Toc178674223"/>
      <w:bookmarkStart w:id="659" w:name="_Toc178925585"/>
      <w:bookmarkStart w:id="660" w:name="_Toc179272178"/>
      <w:bookmarkStart w:id="661" w:name="_Toc206923801"/>
      <w:bookmarkStart w:id="662" w:name="_Toc208848313"/>
      <w:bookmarkStart w:id="663" w:name="_Toc208848352"/>
      <w:bookmarkStart w:id="664" w:name="_Toc214362415"/>
      <w:r w:rsidRPr="00B34BCF">
        <w:t>Förvar</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rsidR="00B34BCF" w:rsidRPr="00B34BCF" w:rsidRDefault="00B34BCF">
      <w:pPr>
        <w:shd w:val="clear" w:color="000000" w:fill="auto"/>
      </w:pPr>
      <w:r w:rsidRPr="00B34BCF">
        <w:t>Att beröva en människa friheten är en ur integritetssynpunkt oerhört ingripa</w:t>
      </w:r>
      <w:r w:rsidRPr="00B34BCF">
        <w:t>n</w:t>
      </w:r>
      <w:r w:rsidRPr="00B34BCF">
        <w:t xml:space="preserve">de åtgärd som alltid måste vara grundad på preciserade och väl avgränsade förutsättningar och vara den absolut sista utvägen. Frihetsberövandet blir givetvis ännu mer traumatiskt för den som flytt från sitt land för att söka en fristad i ett främmande land. Utifrån dessa utgångspunkter </w:t>
      </w:r>
      <w:smartTag w:uri="urn:schemas-microsoft-com:office:smarttags" w:element="place">
        <w:smartTag w:uri="urn:schemas-microsoft-com:office:smarttags" w:element="State">
          <w:r w:rsidRPr="00B34BCF">
            <w:t>kan</w:t>
          </w:r>
        </w:smartTag>
      </w:smartTag>
      <w:r w:rsidRPr="00B34BCF">
        <w:t xml:space="preserve"> inte den nuv</w:t>
      </w:r>
      <w:r w:rsidRPr="00B34BCF">
        <w:t>a</w:t>
      </w:r>
      <w:r w:rsidRPr="00B34BCF">
        <w:t>rande regleringen i utlänningslagen av förutsättningarna för förvar godtas. De är nämligen mycket vaga och ger stort utrymme för godtycke från tillämpa</w:t>
      </w:r>
      <w:r w:rsidRPr="00B34BCF">
        <w:t>n</w:t>
      </w:r>
      <w:r w:rsidRPr="00B34BCF">
        <w:t xml:space="preserve">de myndigheter. Det </w:t>
      </w:r>
      <w:smartTag w:uri="urn:schemas-microsoft-com:office:smarttags" w:element="place">
        <w:smartTag w:uri="urn:schemas-microsoft-com:office:smarttags" w:element="State">
          <w:r w:rsidRPr="00B34BCF">
            <w:t>kan</w:t>
          </w:r>
        </w:smartTag>
      </w:smartTag>
      <w:r w:rsidRPr="00B34BCF">
        <w:t xml:space="preserve"> heller inte vara acceptabelt at</w:t>
      </w:r>
      <w:r w:rsidRPr="00B34BCF">
        <w:t>t det inte finns någon tidsbegränsning av förvar om det föreligger synnerliga skäl.</w:t>
      </w:r>
    </w:p>
    <w:p w:rsidR="00B34BCF" w:rsidRPr="00B34BCF" w:rsidRDefault="00B34BCF">
      <w:pPr>
        <w:pStyle w:val="Normaltindrag"/>
        <w:shd w:val="clear" w:color="000000" w:fill="auto"/>
      </w:pPr>
      <w:r w:rsidRPr="00B34BCF">
        <w:t>Regeringen bör därför tillsätta en utredning med uppgift att se över utlä</w:t>
      </w:r>
      <w:r w:rsidRPr="00B34BCF">
        <w:t>n</w:t>
      </w:r>
      <w:r w:rsidRPr="00B34BCF">
        <w:t>ningslagens bestämmelser om förvar i 10 kap. utlänningslagen utifrån de tidigare angivna utgångspunkterna. Detta bör riksdagen som sin mening ge regeringen till känna.</w:t>
      </w:r>
    </w:p>
    <w:p w:rsidR="00B34BCF" w:rsidRPr="00B34BCF" w:rsidRDefault="00B34BCF">
      <w:pPr>
        <w:pStyle w:val="Rubrik2"/>
        <w:shd w:val="clear" w:color="000000" w:fill="auto"/>
      </w:pPr>
      <w:bookmarkStart w:id="665" w:name="_Toc148441366"/>
      <w:bookmarkStart w:id="666" w:name="_Toc148441402"/>
      <w:bookmarkStart w:id="667" w:name="_Toc148512571"/>
      <w:bookmarkStart w:id="668" w:name="_Toc148512607"/>
      <w:bookmarkStart w:id="669" w:name="_Toc177886838"/>
      <w:bookmarkStart w:id="670" w:name="_Toc178674224"/>
      <w:bookmarkStart w:id="671" w:name="_Toc178925586"/>
      <w:bookmarkStart w:id="672" w:name="_Toc179272179"/>
      <w:bookmarkStart w:id="673" w:name="_Toc206923802"/>
      <w:bookmarkStart w:id="674" w:name="_Toc208848314"/>
      <w:bookmarkStart w:id="675" w:name="_Toc208848353"/>
      <w:bookmarkStart w:id="676" w:name="_Toc214362416"/>
      <w:r w:rsidRPr="00B34BCF">
        <w:t>Förordnande av offentliga biträden i utlänningsärenden</w:t>
      </w:r>
      <w:bookmarkEnd w:id="665"/>
      <w:bookmarkEnd w:id="666"/>
      <w:bookmarkEnd w:id="667"/>
      <w:bookmarkEnd w:id="668"/>
      <w:bookmarkEnd w:id="669"/>
      <w:bookmarkEnd w:id="670"/>
      <w:bookmarkEnd w:id="671"/>
      <w:bookmarkEnd w:id="672"/>
      <w:bookmarkEnd w:id="673"/>
      <w:bookmarkEnd w:id="674"/>
      <w:bookmarkEnd w:id="675"/>
      <w:bookmarkEnd w:id="676"/>
    </w:p>
    <w:p w:rsidR="00B34BCF" w:rsidRPr="00B34BCF" w:rsidRDefault="00B34BCF">
      <w:pPr>
        <w:shd w:val="clear" w:color="000000" w:fill="auto"/>
      </w:pPr>
      <w:r w:rsidRPr="00B34BCF">
        <w:t>Migrationsöverdomstolen har i ett praxisbildande beslut fastslagit att det saknas rättsligt utrymme att förordna offentligt biträde i ärenden enligt Du</w:t>
      </w:r>
      <w:r w:rsidRPr="00B34BCF">
        <w:t>b</w:t>
      </w:r>
      <w:r w:rsidRPr="00B34BCF">
        <w:t xml:space="preserve">linförordningen. Mot bakgrund av att det finns medlemsstater i EU som inte tillämpar flyktingkonventionen och den även i övrigt starkt divergerande tillämpningen av asylreglerna mellan olika EU-länder, finns inte sällan ett stort behov av rättsligt biträde i s.k. Dublinärenden. Det är därför nödvändigt att regeringen lägger fram förslag om sådan ändring i utlänningslagen att det blir möjligt att förordna offentligt biträde även i ärenden som handläggs enligt Dublinförordningen. Detta bör riksdagen som sin </w:t>
      </w:r>
      <w:r w:rsidRPr="00B34BCF">
        <w:t>mening ge regeringen till känna.</w:t>
      </w:r>
    </w:p>
    <w:p w:rsidR="00B34BCF" w:rsidRPr="00B34BCF" w:rsidRDefault="00B34BCF">
      <w:pPr>
        <w:pStyle w:val="Normaltindrag"/>
        <w:shd w:val="clear" w:color="000000" w:fill="auto"/>
      </w:pPr>
      <w:r w:rsidRPr="00B34BCF">
        <w:t>Sedan lång tid är det Migrationsverket som förordnar offentligt biträde i utlänningsärenden. Det har riktats stark kritik mot hur Migrationsverket ha</w:t>
      </w:r>
      <w:r w:rsidRPr="00B34BCF">
        <w:t>n</w:t>
      </w:r>
      <w:r w:rsidRPr="00B34BCF">
        <w:t>terar den uppgiften från bl.a. Sveriges advokatsamfund och från Advokater utan gränser. Migrationsverket har systematiskt försökt undvika att förordna offentliga biträden som varit kända för att vara kunniga, skickliga och eng</w:t>
      </w:r>
      <w:r w:rsidRPr="00B34BCF">
        <w:t>a</w:t>
      </w:r>
      <w:r w:rsidRPr="00B34BCF">
        <w:t>gerade. Den asylsökande har fått ett offentligt biträde som inte tillvaratagit sin klients intressen.</w:t>
      </w:r>
    </w:p>
    <w:p w:rsidR="00B34BCF" w:rsidRPr="00B34BCF" w:rsidRDefault="00B34BCF">
      <w:pPr>
        <w:pStyle w:val="Normaltindrag"/>
        <w:shd w:val="clear" w:color="000000" w:fill="auto"/>
      </w:pPr>
      <w:r w:rsidRPr="00B34BCF">
        <w:t xml:space="preserve">Den nyanlände flyktingen har i realiteten små möjligheter att välja en jurist som är kunnig och engagerad inom detta rättsområde. Och i de få fall där den asylsökande hunnit få fram </w:t>
      </w:r>
      <w:r w:rsidRPr="00B34BCF">
        <w:t>ett namnförslag har det i några fall gått så långt att Migrationsverket nekat att förordna advokater som gjort sig kända för att bjuda Migrationsverket hårt motstånd.</w:t>
      </w:r>
    </w:p>
    <w:p w:rsidR="00B34BCF" w:rsidRPr="00B34BCF" w:rsidRDefault="00B34BCF">
      <w:pPr>
        <w:pStyle w:val="Normaltindrag"/>
        <w:shd w:val="clear" w:color="000000" w:fill="auto"/>
      </w:pPr>
      <w:r w:rsidRPr="00B34BCF">
        <w:t>Den asylsökande befinner sig i ett sådant underläge att han eller hon tvin</w:t>
      </w:r>
      <w:r w:rsidRPr="00B34BCF">
        <w:t>g</w:t>
      </w:r>
      <w:r w:rsidRPr="00B34BCF">
        <w:t>as acceptera också undermåliga insatser. Advokater står under Advokatsa</w:t>
      </w:r>
      <w:r w:rsidRPr="00B34BCF">
        <w:t>m</w:t>
      </w:r>
      <w:r w:rsidRPr="00B34BCF">
        <w:t>fundets disciplinära tillsyn. Någon sådan kontroll finns inte beträffande de juristfirmor som Migrationsverket tycks anlita i ökande grad. D</w:t>
      </w:r>
      <w:r w:rsidRPr="00B34BCF">
        <w:rPr>
          <w:szCs w:val="24"/>
        </w:rPr>
        <w:t>et är mot de</w:t>
      </w:r>
      <w:r w:rsidRPr="00B34BCF">
        <w:rPr>
          <w:szCs w:val="24"/>
        </w:rPr>
        <w:t>n</w:t>
      </w:r>
      <w:r w:rsidRPr="00B34BCF">
        <w:rPr>
          <w:szCs w:val="24"/>
        </w:rPr>
        <w:t>na bakgrund oerhört allvarligt att det, i motsats till vad som är fallet i brot</w:t>
      </w:r>
      <w:r w:rsidRPr="00B34BCF">
        <w:rPr>
          <w:szCs w:val="24"/>
        </w:rPr>
        <w:t>t</w:t>
      </w:r>
      <w:r w:rsidRPr="00B34BCF">
        <w:rPr>
          <w:szCs w:val="24"/>
        </w:rPr>
        <w:t>mål, i princip är omöjligt att få byta biträde på grund av ombudets oskickli</w:t>
      </w:r>
      <w:r w:rsidRPr="00B34BCF">
        <w:rPr>
          <w:szCs w:val="24"/>
        </w:rPr>
        <w:t>g</w:t>
      </w:r>
      <w:r w:rsidRPr="00B34BCF">
        <w:rPr>
          <w:szCs w:val="24"/>
        </w:rPr>
        <w:t>het eller bristande samarbete. Ändå kan resultatet av en dålig insats från o</w:t>
      </w:r>
      <w:r w:rsidRPr="00B34BCF">
        <w:rPr>
          <w:szCs w:val="24"/>
        </w:rPr>
        <w:t>m</w:t>
      </w:r>
      <w:r w:rsidRPr="00B34BCF">
        <w:rPr>
          <w:szCs w:val="24"/>
        </w:rPr>
        <w:t>budet få minst lika allvarliga konsekvenser i asylär</w:t>
      </w:r>
      <w:r w:rsidRPr="00B34BCF">
        <w:rPr>
          <w:szCs w:val="24"/>
        </w:rPr>
        <w:t>enden som i brottmål.</w:t>
      </w:r>
    </w:p>
    <w:p w:rsidR="00B34BCF" w:rsidRPr="00B34BCF" w:rsidRDefault="00B34BCF">
      <w:pPr>
        <w:pStyle w:val="Normaltindrag"/>
        <w:shd w:val="clear" w:color="000000" w:fill="auto"/>
        <w:rPr>
          <w:szCs w:val="24"/>
        </w:rPr>
      </w:pPr>
      <w:r w:rsidRPr="00B34BCF">
        <w:rPr>
          <w:szCs w:val="24"/>
        </w:rPr>
        <w:t>När Migrationsverket nu även formellt är motpart till den asylsökande i migrationsdomstolen framstår det ännu tydligare hur orimligt det är att det är Migrationsverket som ska ha rätten att utse sin egen motpart. Det är jämfö</w:t>
      </w:r>
      <w:r w:rsidRPr="00B34BCF">
        <w:rPr>
          <w:szCs w:val="24"/>
        </w:rPr>
        <w:t>r</w:t>
      </w:r>
      <w:r w:rsidRPr="00B34BCF">
        <w:rPr>
          <w:szCs w:val="24"/>
        </w:rPr>
        <w:t>bart med om åklagaren skulle utse försvararen i brottmål. Regeringen bör därför lägga fram förslag om återgång till den tidigare ordningen att Rätt</w:t>
      </w:r>
      <w:r w:rsidRPr="00B34BCF">
        <w:rPr>
          <w:szCs w:val="24"/>
        </w:rPr>
        <w:t>s</w:t>
      </w:r>
      <w:r w:rsidRPr="00B34BCF">
        <w:rPr>
          <w:szCs w:val="24"/>
        </w:rPr>
        <w:t>hjälpsmyndigheten, alternativt länsrätten, bör förordna offentliga biträden i utlänningsärenden. Detta bör riksdagen som sin mening ge regeringen till känna.</w:t>
      </w:r>
    </w:p>
    <w:p w:rsidR="00B34BCF" w:rsidRPr="00B34BCF" w:rsidRDefault="00B34BCF">
      <w:pPr>
        <w:pStyle w:val="Rubrik2"/>
        <w:shd w:val="clear" w:color="000000" w:fill="auto"/>
      </w:pPr>
      <w:bookmarkStart w:id="677" w:name="_Toc206923803"/>
      <w:bookmarkStart w:id="678" w:name="_Toc208848315"/>
      <w:bookmarkStart w:id="679" w:name="_Toc208848354"/>
      <w:bookmarkStart w:id="680" w:name="_Toc214362417"/>
      <w:r w:rsidRPr="00B34BCF">
        <w:t>Utbildning av nämndledamöter och offentliga biträden</w:t>
      </w:r>
      <w:bookmarkEnd w:id="677"/>
      <w:bookmarkEnd w:id="678"/>
      <w:bookmarkEnd w:id="679"/>
      <w:bookmarkEnd w:id="680"/>
    </w:p>
    <w:p w:rsidR="00B34BCF" w:rsidRPr="00B34BCF" w:rsidRDefault="00B34BCF">
      <w:pPr>
        <w:shd w:val="clear" w:color="000000" w:fill="auto"/>
      </w:pPr>
      <w:r w:rsidRPr="00B34BCF">
        <w:t>I utlänningsärenden förekommer många gånger både komplicerade rättsliga frågor och svårbedömda faktiska förhållanden. Det finns ett behov av fö</w:t>
      </w:r>
      <w:r w:rsidRPr="00B34BCF">
        <w:t>r</w:t>
      </w:r>
      <w:r w:rsidRPr="00B34BCF">
        <w:t>stärkta utbildningsinsatser både av Migrationsverkets personal, migration</w:t>
      </w:r>
      <w:r w:rsidRPr="00B34BCF">
        <w:t>s</w:t>
      </w:r>
      <w:r w:rsidRPr="00B34BCF">
        <w:t>domstolarnas nämndledamöter och offentliga biträden. Regeringen bör ge ett uppdrag till Domstolsverket att lämna förslag på hur utbildning för de kateg</w:t>
      </w:r>
      <w:r w:rsidRPr="00B34BCF">
        <w:t>o</w:t>
      </w:r>
      <w:r w:rsidRPr="00B34BCF">
        <w:t>rier som ovan angivits kan organiseras, samt förslag på vem eller vilka som bör vara huvudmän för en sådan utbildning. Detta bör riksdagen som sin mening ge regeringen till känna.</w:t>
      </w:r>
    </w:p>
    <w:p w:rsidR="00B34BCF" w:rsidRPr="00B34BCF" w:rsidRDefault="00B34BCF">
      <w:pPr>
        <w:pStyle w:val="Rubrik2"/>
        <w:shd w:val="clear" w:color="000000" w:fill="auto"/>
      </w:pPr>
      <w:bookmarkStart w:id="681" w:name="_Toc206923804"/>
      <w:bookmarkStart w:id="682" w:name="_Toc208848316"/>
      <w:bookmarkStart w:id="683" w:name="_Toc208848355"/>
      <w:bookmarkStart w:id="684" w:name="_Toc214362418"/>
      <w:r w:rsidRPr="00B34BCF">
        <w:t>Inrättande av en professur i migrationsrätt</w:t>
      </w:r>
      <w:bookmarkEnd w:id="681"/>
      <w:bookmarkEnd w:id="682"/>
      <w:bookmarkEnd w:id="683"/>
      <w:bookmarkEnd w:id="684"/>
    </w:p>
    <w:p w:rsidR="00B34BCF" w:rsidRPr="00B34BCF" w:rsidRDefault="00B34BCF">
      <w:pPr>
        <w:shd w:val="clear" w:color="000000" w:fill="auto"/>
      </w:pPr>
      <w:r w:rsidRPr="00B34BCF">
        <w:t>Det skulle innebära ett viktigt bidrag för att stärka utlänningsrättens ställning att inrätta en professur i migrationsrätt. En sådan professur skulle vara ett viktigt stöd för genomförande av högkvalitativ utbildning inom migrationsrä</w:t>
      </w:r>
      <w:r w:rsidRPr="00B34BCF">
        <w:t>t</w:t>
      </w:r>
      <w:r w:rsidRPr="00B34BCF">
        <w:t>ten, bl.a. genom den satsning på forskning inom området som härigenom skulle främjas. Regeringen bör inrätta en professur i migrationsrätt vid läm</w:t>
      </w:r>
      <w:r w:rsidRPr="00B34BCF">
        <w:t>p</w:t>
      </w:r>
      <w:r w:rsidRPr="00B34BCF">
        <w:t>ligt universitet.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BCF">
        <w:trPr>
          <w:cantSplit/>
        </w:trPr>
        <w:tc>
          <w:tcPr>
            <w:tcW w:w="3046" w:type="dxa"/>
          </w:tcPr>
          <w:p w:rsidR="00B34BCF" w:rsidRPr="00B34BCF" w:rsidRDefault="00B34BCF">
            <w:pPr>
              <w:pStyle w:val="UnderskriftDatum"/>
              <w:shd w:val="clear" w:color="000000" w:fill="auto"/>
              <w:spacing w:before="240"/>
            </w:pPr>
            <w:r w:rsidRPr="00B34BCF">
              <w:t>Stockholm den 11 september 2008</w:t>
            </w:r>
          </w:p>
        </w:tc>
        <w:tc>
          <w:tcPr>
            <w:tcW w:w="3047" w:type="dxa"/>
          </w:tcPr>
          <w:p w:rsidR="00B34BCF" w:rsidRPr="00B34BCF" w:rsidRDefault="00B34BCF">
            <w:pPr>
              <w:pStyle w:val="Underskrifter"/>
              <w:shd w:val="clear" w:color="000000" w:fill="auto"/>
              <w:spacing w:before="240"/>
            </w:pPr>
          </w:p>
        </w:tc>
      </w:tr>
      <w:tr w:rsidR="00000000" w:rsidRPr="00B34BCF">
        <w:trPr>
          <w:cantSplit/>
        </w:trPr>
        <w:tc>
          <w:tcPr>
            <w:tcW w:w="3046" w:type="dxa"/>
          </w:tcPr>
          <w:p w:rsidR="00B34BCF" w:rsidRPr="00B34BCF" w:rsidRDefault="00B34BCF">
            <w:pPr>
              <w:pStyle w:val="Underskrifter"/>
              <w:shd w:val="clear" w:color="000000" w:fill="auto"/>
            </w:pPr>
            <w:r w:rsidRPr="00B34BCF">
              <w:t>Lars Ohly (v)</w:t>
            </w:r>
          </w:p>
        </w:tc>
        <w:tc>
          <w:tcPr>
            <w:tcW w:w="3046" w:type="dxa"/>
          </w:tcPr>
          <w:p w:rsidR="00B34BCF" w:rsidRPr="00B34BCF" w:rsidRDefault="00B34BCF">
            <w:pPr>
              <w:pStyle w:val="Underskrifter"/>
              <w:shd w:val="clear" w:color="000000" w:fill="auto"/>
            </w:pPr>
          </w:p>
        </w:tc>
      </w:tr>
      <w:tr w:rsidR="00000000" w:rsidRPr="00B34BCF">
        <w:trPr>
          <w:cantSplit/>
        </w:trPr>
        <w:tc>
          <w:tcPr>
            <w:tcW w:w="3046" w:type="dxa"/>
          </w:tcPr>
          <w:p w:rsidR="00B34BCF" w:rsidRPr="00B34BCF" w:rsidRDefault="00B34BCF">
            <w:pPr>
              <w:pStyle w:val="Underskrifter"/>
              <w:shd w:val="clear" w:color="000000" w:fill="auto"/>
            </w:pPr>
            <w:r w:rsidRPr="00B34BCF">
              <w:t>Marianne Berg (v)</w:t>
            </w:r>
          </w:p>
        </w:tc>
        <w:tc>
          <w:tcPr>
            <w:tcW w:w="3046" w:type="dxa"/>
          </w:tcPr>
          <w:p w:rsidR="00B34BCF" w:rsidRPr="00B34BCF" w:rsidRDefault="00B34BCF">
            <w:pPr>
              <w:pStyle w:val="Underskrifter"/>
              <w:shd w:val="clear" w:color="000000" w:fill="auto"/>
            </w:pPr>
            <w:r w:rsidRPr="00B34BCF">
              <w:t>Jacob Johnson (v)</w:t>
            </w:r>
          </w:p>
        </w:tc>
      </w:tr>
      <w:tr w:rsidR="00000000" w:rsidRPr="00B34BCF">
        <w:trPr>
          <w:cantSplit/>
        </w:trPr>
        <w:tc>
          <w:tcPr>
            <w:tcW w:w="3046" w:type="dxa"/>
          </w:tcPr>
          <w:p w:rsidR="00B34BCF" w:rsidRPr="00B34BCF" w:rsidRDefault="00B34BCF">
            <w:pPr>
              <w:pStyle w:val="Underskrifter"/>
              <w:shd w:val="clear" w:color="000000" w:fill="auto"/>
            </w:pPr>
            <w:r w:rsidRPr="00B34BCF">
              <w:t>Hans Linde (v)</w:t>
            </w:r>
          </w:p>
        </w:tc>
        <w:tc>
          <w:tcPr>
            <w:tcW w:w="3046" w:type="dxa"/>
          </w:tcPr>
          <w:p w:rsidR="00B34BCF" w:rsidRPr="00B34BCF" w:rsidRDefault="00B34BCF">
            <w:pPr>
              <w:pStyle w:val="Underskrifter"/>
              <w:shd w:val="clear" w:color="000000" w:fill="auto"/>
            </w:pPr>
            <w:r w:rsidRPr="00B34BCF">
              <w:t>Elina Linna (v)</w:t>
            </w:r>
          </w:p>
        </w:tc>
      </w:tr>
      <w:tr w:rsidR="00000000" w:rsidRPr="00B34BCF">
        <w:trPr>
          <w:cantSplit/>
        </w:trPr>
        <w:tc>
          <w:tcPr>
            <w:tcW w:w="3046" w:type="dxa"/>
          </w:tcPr>
          <w:p w:rsidR="00B34BCF" w:rsidRPr="00B34BCF" w:rsidRDefault="00B34BCF">
            <w:pPr>
              <w:pStyle w:val="Underskrifter"/>
              <w:shd w:val="clear" w:color="000000" w:fill="auto"/>
            </w:pPr>
            <w:r w:rsidRPr="00B34BCF">
              <w:t>Gunilla Wahlén (v)</w:t>
            </w:r>
          </w:p>
        </w:tc>
        <w:tc>
          <w:tcPr>
            <w:tcW w:w="3046" w:type="dxa"/>
          </w:tcPr>
          <w:p w:rsidR="00B34BCF" w:rsidRPr="00B34BCF" w:rsidRDefault="00B34BCF">
            <w:pPr>
              <w:pStyle w:val="Underskrifter"/>
              <w:shd w:val="clear" w:color="000000" w:fill="auto"/>
            </w:pPr>
            <w:r w:rsidRPr="00B34BCF">
              <w:t>Alice Åström (v)</w:t>
            </w:r>
          </w:p>
        </w:tc>
      </w:tr>
      <w:tr w:rsidR="00000000" w:rsidRPr="00B34BCF">
        <w:trPr>
          <w:cantSplit/>
        </w:trPr>
        <w:tc>
          <w:tcPr>
            <w:tcW w:w="3046" w:type="dxa"/>
          </w:tcPr>
          <w:p w:rsidR="00B34BCF" w:rsidRPr="00B34BCF" w:rsidRDefault="00B34BCF">
            <w:pPr>
              <w:pStyle w:val="Underskrifter"/>
              <w:shd w:val="clear" w:color="000000" w:fill="auto"/>
            </w:pPr>
            <w:r w:rsidRPr="00B34BCF">
              <w:t>Kalle Larsson (v)</w:t>
            </w:r>
          </w:p>
        </w:tc>
        <w:tc>
          <w:tcPr>
            <w:tcW w:w="3046" w:type="dxa"/>
          </w:tcPr>
          <w:p w:rsidR="00B34BCF" w:rsidRPr="00B34BCF" w:rsidRDefault="00B34BCF">
            <w:pPr>
              <w:pStyle w:val="Underskrifter"/>
              <w:shd w:val="clear" w:color="000000" w:fill="auto"/>
            </w:pPr>
          </w:p>
        </w:tc>
      </w:tr>
    </w:tbl>
    <w:p w:rsidR="00B34BCF" w:rsidRPr="00B34BCF" w:rsidRDefault="00B34BCF">
      <w:pPr>
        <w:pStyle w:val="Normaltindrag"/>
        <w:shd w:val="clear" w:color="000000" w:fill="auto"/>
      </w:pPr>
    </w:p>
    <w:sectPr w:rsidR="00000000" w:rsidRPr="00B34B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BCF" w:rsidRPr="00B34BCF" w:rsidRDefault="00B34BCF">
      <w:r w:rsidRPr="00B34BCF">
        <w:separator/>
      </w:r>
    </w:p>
  </w:endnote>
  <w:endnote w:type="continuationSeparator" w:id="0">
    <w:p w:rsidR="00B34BCF" w:rsidRPr="00B34BCF" w:rsidRDefault="00B34BCF">
      <w:r w:rsidRPr="00B34B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BCF" w:rsidRPr="00B34BCF" w:rsidRDefault="00B34BCF">
    <w:pPr>
      <w:pStyle w:val="Sidfot"/>
    </w:pPr>
    <w:r w:rsidRPr="00B34B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7325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BCF" w:rsidRDefault="00B34BCF">
                          <w:pPr>
                            <w:pStyle w:val="NormalS5sidnrV"/>
                          </w:pPr>
                          <w:r>
                            <w:fldChar w:fldCharType="begin"/>
                          </w:r>
                          <w:r>
                            <w:instrText xml:space="preserve"> PAGE *\charformat</w:instrText>
                          </w:r>
                          <w:r>
                            <w:fldChar w:fldCharType="separate"/>
                          </w:r>
                          <w:r>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BCF" w:rsidRDefault="00B34BCF">
                    <w:pPr>
                      <w:pStyle w:val="NormalS5sidnrV"/>
                    </w:pPr>
                    <w:r>
                      <w:fldChar w:fldCharType="begin"/>
                    </w:r>
                    <w:r>
                      <w:instrText xml:space="preserve"> PAGE *\charformat</w:instrText>
                    </w:r>
                    <w:r>
                      <w:fldChar w:fldCharType="separate"/>
                    </w:r>
                    <w:r>
                      <w:rPr>
                        <w:noProof/>
                      </w:rPr>
                      <w:t>26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BCF" w:rsidRPr="00B34BCF" w:rsidRDefault="00B34BCF">
    <w:pPr>
      <w:pStyle w:val="Sidfot"/>
    </w:pPr>
    <w:r w:rsidRPr="00B34B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8752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BCF" w:rsidRDefault="00B34BCF">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BCF" w:rsidRDefault="00B34BCF">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BCF" w:rsidRPr="00B34BCF" w:rsidRDefault="00B34BCF">
    <w:pPr>
      <w:pStyle w:val="Sidfot"/>
    </w:pPr>
    <w:r w:rsidRPr="00B34B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242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BCF" w:rsidRDefault="00B34B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BCF" w:rsidRDefault="00B34B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BCF" w:rsidRPr="00B34BCF" w:rsidRDefault="00B34BCF">
      <w:r w:rsidRPr="00B34BCF">
        <w:separator/>
      </w:r>
    </w:p>
  </w:footnote>
  <w:footnote w:type="continuationSeparator" w:id="0">
    <w:p w:rsidR="00B34BCF" w:rsidRPr="00B34BCF" w:rsidRDefault="00B34BCF">
      <w:r w:rsidRPr="00B34B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BCF" w:rsidRPr="00B34BCF" w:rsidRDefault="00B34BCF">
    <w:pPr>
      <w:pStyle w:val="Sidhuvud"/>
    </w:pPr>
    <w:r w:rsidRPr="00B34B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084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BCF" w:rsidRDefault="00B34B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BCF" w:rsidRDefault="00B34B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BCF" w:rsidRPr="00B34BCF" w:rsidRDefault="00B34BCF">
    <w:pPr>
      <w:pStyle w:val="Sidhuvud"/>
    </w:pPr>
    <w:r w:rsidRPr="00B34B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BCF" w:rsidRDefault="00B34B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BCF" w:rsidRDefault="00B34B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BCF" w:rsidRPr="00B34BCF" w:rsidRDefault="00B34BCF">
    <w:pPr>
      <w:pStyle w:val="FSHNormal"/>
      <w:tabs>
        <w:tab w:val="right" w:pos="5840"/>
      </w:tabs>
    </w:pPr>
    <w:r w:rsidRPr="00B34BCF">
      <w:br/>
    </w:r>
    <w:r w:rsidRPr="00B34BCF">
      <w:fldChar w:fldCharType="begin" w:fldLock="1"/>
    </w:r>
    <w:r w:rsidRPr="00B34BCF">
      <w:instrText xml:space="preserve"> DOCPROPERTY</w:instrText>
    </w:r>
    <w:r w:rsidRPr="00B34BCF">
      <w:rPr>
        <w:sz w:val="18"/>
      </w:rPr>
      <w:instrText xml:space="preserve"> "YearUser" *\charformat </w:instrText>
    </w:r>
    <w:r w:rsidRPr="00B34BCF">
      <w:fldChar w:fldCharType="separate"/>
    </w:r>
    <w:r w:rsidRPr="00B34BCF">
      <w:t>2008/09</w:t>
    </w:r>
    <w:r w:rsidRPr="00B34BCF">
      <w:fldChar w:fldCharType="end"/>
    </w:r>
    <w:r w:rsidRPr="00B34BCF">
      <w:t xml:space="preserve"> </w:t>
    </w:r>
    <w:r w:rsidRPr="00B34BCF">
      <w:tab/>
      <w:t xml:space="preserve">mnr: </w:t>
    </w:r>
    <w:r w:rsidRPr="00B34BCF">
      <w:fldChar w:fldCharType="begin" w:fldLock="1"/>
    </w:r>
    <w:r w:rsidRPr="00B34BCF">
      <w:instrText xml:space="preserve"> DOCPROPERTY</w:instrText>
    </w:r>
    <w:r w:rsidRPr="00B34BCF">
      <w:rPr>
        <w:sz w:val="18"/>
      </w:rPr>
      <w:instrText xml:space="preserve"> "Motionsnummer" *\charformat </w:instrText>
    </w:r>
    <w:r w:rsidRPr="00B34BCF">
      <w:fldChar w:fldCharType="separate"/>
    </w:r>
    <w:r w:rsidRPr="00B34BCF">
      <w:t>Sf331</w:t>
    </w:r>
    <w:r w:rsidRPr="00B34BCF">
      <w:fldChar w:fldCharType="end"/>
    </w:r>
    <w:r w:rsidRPr="00B34BCF">
      <w:br/>
    </w:r>
    <w:r w:rsidRPr="00B34BCF">
      <w:fldChar w:fldCharType="begin" w:fldLock="1"/>
    </w:r>
    <w:r w:rsidRPr="00B34BCF">
      <w:instrText xml:space="preserve"> DOCPROPERTY</w:instrText>
    </w:r>
    <w:r w:rsidRPr="00B34BCF">
      <w:rPr>
        <w:sz w:val="18"/>
      </w:rPr>
      <w:instrText xml:space="preserve"> "Samling" *\charformat </w:instrText>
    </w:r>
    <w:r w:rsidRPr="00B34BCF">
      <w:fldChar w:fldCharType="end"/>
    </w:r>
    <w:r w:rsidRPr="00B34BCF">
      <w:tab/>
      <w:t xml:space="preserve">pnr: </w:t>
    </w:r>
    <w:r w:rsidRPr="00B34BCF">
      <w:fldChar w:fldCharType="begin" w:fldLock="1"/>
    </w:r>
    <w:r w:rsidRPr="00B34BCF">
      <w:instrText xml:space="preserve"> DOCPROPERTY</w:instrText>
    </w:r>
    <w:r w:rsidRPr="00B34BCF">
      <w:rPr>
        <w:sz w:val="18"/>
      </w:rPr>
      <w:instrText xml:space="preserve"> "Partinummer" *\charformat </w:instrText>
    </w:r>
    <w:r w:rsidRPr="00B34BCF">
      <w:fldChar w:fldCharType="separate"/>
    </w:r>
    <w:r w:rsidRPr="00B34BCF">
      <w:t>v250</w:t>
    </w:r>
    <w:r w:rsidRPr="00B34BCF">
      <w:fldChar w:fldCharType="end"/>
    </w:r>
  </w:p>
  <w:p w:rsidR="00B34BCF" w:rsidRPr="00B34BCF" w:rsidRDefault="00B34BCF">
    <w:pPr>
      <w:pStyle w:val="FSHRub1"/>
    </w:pPr>
    <w:r w:rsidRPr="00B34BCF">
      <w:t>Motion till riksdagen</w:t>
    </w:r>
    <w:r w:rsidRPr="00B34BCF">
      <w:br/>
    </w:r>
    <w:r w:rsidRPr="00B34BCF">
      <w:fldChar w:fldCharType="begin" w:fldLock="1"/>
    </w:r>
    <w:r w:rsidRPr="00B34BCF">
      <w:instrText xml:space="preserve"> DOCPROPERTY "YearUser" *\charformat </w:instrText>
    </w:r>
    <w:r w:rsidRPr="00B34BCF">
      <w:fldChar w:fldCharType="separate"/>
    </w:r>
    <w:r w:rsidRPr="00B34BCF">
      <w:t>2008/09</w:t>
    </w:r>
    <w:r w:rsidRPr="00B34BCF">
      <w:fldChar w:fldCharType="end"/>
    </w:r>
    <w:r w:rsidRPr="00B34BCF">
      <w:t>:</w:t>
    </w:r>
    <w:r w:rsidRPr="00B34BCF">
      <w:fldChar w:fldCharType="begin" w:fldLock="1"/>
    </w:r>
    <w:r w:rsidRPr="00B34BCF">
      <w:instrText xml:space="preserve"> DOCPROPERTY "Motionsnummer" *\charformat </w:instrText>
    </w:r>
    <w:r w:rsidRPr="00B34BCF">
      <w:fldChar w:fldCharType="separate"/>
    </w:r>
    <w:r w:rsidRPr="00B34BCF">
      <w:t>Sf331</w:t>
    </w:r>
    <w:r w:rsidRPr="00B34BCF">
      <w:fldChar w:fldCharType="end"/>
    </w:r>
  </w:p>
  <w:p w:rsidR="00B34BCF" w:rsidRPr="00B34BCF" w:rsidRDefault="00B34BCF">
    <w:pPr>
      <w:pStyle w:val="FSHNormalS5"/>
    </w:pPr>
    <w:r w:rsidRPr="00B34BCF">
      <w:fldChar w:fldCharType="begin" w:fldLock="1"/>
    </w:r>
    <w:r w:rsidRPr="00B34BCF">
      <w:instrText xml:space="preserve"> DOCPROPERTY "MotionarText" *\charformat </w:instrText>
    </w:r>
    <w:r w:rsidRPr="00B34BCF">
      <w:fldChar w:fldCharType="separate"/>
    </w:r>
    <w:r w:rsidRPr="00B34BCF">
      <w:t>av Lars Ohly m.fl. (v)</w:t>
    </w:r>
    <w:r w:rsidRPr="00B34BCF">
      <w:fldChar w:fldCharType="end"/>
    </w:r>
    <w:r w:rsidRPr="00B34BCF">
      <w:br/>
    </w:r>
    <w:r w:rsidRPr="00B34BCF">
      <w:fldChar w:fldCharType="begin" w:fldLock="1"/>
    </w:r>
    <w:r w:rsidRPr="00B34BCF">
      <w:instrText xml:space="preserve"> DOCPROPERTY "SvarFrasKort" *\charformat </w:instrText>
    </w:r>
    <w:r w:rsidRPr="00B34BCF">
      <w:fldChar w:fldCharType="end"/>
    </w:r>
  </w:p>
  <w:p w:rsidR="00B34BCF" w:rsidRPr="00B34BCF" w:rsidRDefault="00B34BCF">
    <w:pPr>
      <w:pStyle w:val="FSHTitel"/>
    </w:pPr>
    <w:r w:rsidRPr="00B34BCF">
      <w:fldChar w:fldCharType="begin" w:fldLock="1"/>
    </w:r>
    <w:r w:rsidRPr="00B34BCF">
      <w:instrText xml:space="preserve"> DOCPROPERTY</w:instrText>
    </w:r>
    <w:r w:rsidRPr="00B34BCF">
      <w:rPr>
        <w:sz w:val="18"/>
      </w:rPr>
      <w:instrText xml:space="preserve"> "RubrikSvar" *\charformat </w:instrText>
    </w:r>
    <w:r w:rsidRPr="00B34BCF">
      <w:fldChar w:fldCharType="separate"/>
    </w:r>
    <w:r w:rsidRPr="00B34BCF">
      <w:t>Flykting- och immigrationspolitiken</w:t>
    </w:r>
    <w:r w:rsidRPr="00B34BCF">
      <w:fldChar w:fldCharType="end"/>
    </w:r>
  </w:p>
  <w:p w:rsidR="00B34BCF" w:rsidRPr="00B34BCF" w:rsidRDefault="00B34BCF">
    <w:pPr>
      <w:pStyle w:val="Normal00"/>
    </w:pPr>
  </w:p>
  <w:p w:rsidR="00B34BCF" w:rsidRPr="00B34BCF" w:rsidRDefault="00B34B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DD25E4"/>
    <w:multiLevelType w:val="hybridMultilevel"/>
    <w:tmpl w:val="C9425DEA"/>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65044A"/>
    <w:multiLevelType w:val="hybridMultilevel"/>
    <w:tmpl w:val="DA3CE4BE"/>
    <w:lvl w:ilvl="0" w:tplc="984C13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C6D45DD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392933"/>
    <w:multiLevelType w:val="multilevel"/>
    <w:tmpl w:val="828219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BD05827"/>
    <w:multiLevelType w:val="multilevel"/>
    <w:tmpl w:val="9EAEFD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68872336">
    <w:abstractNumId w:val="8"/>
  </w:num>
  <w:num w:numId="2" w16cid:durableId="1925216487">
    <w:abstractNumId w:val="9"/>
  </w:num>
  <w:num w:numId="3" w16cid:durableId="273640105">
    <w:abstractNumId w:val="8"/>
  </w:num>
  <w:num w:numId="4" w16cid:durableId="870649655">
    <w:abstractNumId w:val="9"/>
  </w:num>
  <w:num w:numId="5" w16cid:durableId="1737707875">
    <w:abstractNumId w:val="15"/>
  </w:num>
  <w:num w:numId="6" w16cid:durableId="355541278">
    <w:abstractNumId w:val="10"/>
  </w:num>
  <w:num w:numId="7" w16cid:durableId="1000934570">
    <w:abstractNumId w:val="11"/>
  </w:num>
  <w:num w:numId="8" w16cid:durableId="362558649">
    <w:abstractNumId w:val="14"/>
  </w:num>
  <w:num w:numId="9" w16cid:durableId="1623463105">
    <w:abstractNumId w:val="8"/>
  </w:num>
  <w:num w:numId="10" w16cid:durableId="1444039061">
    <w:abstractNumId w:val="3"/>
  </w:num>
  <w:num w:numId="11" w16cid:durableId="747507652">
    <w:abstractNumId w:val="2"/>
  </w:num>
  <w:num w:numId="12" w16cid:durableId="1970017344">
    <w:abstractNumId w:val="1"/>
  </w:num>
  <w:num w:numId="13" w16cid:durableId="93981650">
    <w:abstractNumId w:val="0"/>
  </w:num>
  <w:num w:numId="14" w16cid:durableId="376701808">
    <w:abstractNumId w:val="9"/>
  </w:num>
  <w:num w:numId="15" w16cid:durableId="84693806">
    <w:abstractNumId w:val="7"/>
  </w:num>
  <w:num w:numId="16" w16cid:durableId="1137335125">
    <w:abstractNumId w:val="6"/>
  </w:num>
  <w:num w:numId="17" w16cid:durableId="304355673">
    <w:abstractNumId w:val="5"/>
  </w:num>
  <w:num w:numId="18" w16cid:durableId="569114671">
    <w:abstractNumId w:val="4"/>
  </w:num>
  <w:num w:numId="19" w16cid:durableId="882904017">
    <w:abstractNumId w:val="12"/>
  </w:num>
  <w:num w:numId="20" w16cid:durableId="1894854750">
    <w:abstractNumId w:val="13"/>
  </w:num>
  <w:num w:numId="21" w16cid:durableId="971404128">
    <w:abstractNumId w:val="17"/>
  </w:num>
  <w:num w:numId="22" w16cid:durableId="86997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19"/>
    <w:docVar w:name="PersonGUIDs" w:val="{F1A2565D-4D2F-4887-9B1D-3D7BE825DA8C},{25384487-954A-4B3D-A759-FB67661DCC6F},{70ED92E7-062B-44F5-98C0-1732E6D079B7},{88576935-7337-4AFA-923F-6E59D33EEBED},{8B923F15-4996-4696-A089-6A5BE8BF8E1B},{233588E7-F7BD-4F60-BEE5-22A19EE80FB2},{7E0BF71E-CD03-4DBF-9F51-3B5B798F2741},{7719F267-5625-4124-AC19-C21B84EE23A7}"/>
  </w:docVars>
  <w:rsids>
    <w:rsidRoot w:val="00B14533"/>
    <w:rsid w:val="00B14533"/>
    <w:rsid w:val="00B34B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5122"/>
    <o:shapelayout v:ext="edit">
      <o:idmap v:ext="edit" data="3"/>
    </o:shapelayout>
  </w:shapeDefaults>
  <w:decimalSymbol w:val=","/>
  <w:listSeparator w:val=";"/>
  <w15:chartTrackingRefBased/>
  <w15:docId w15:val="{C439654C-7453-4346-B242-B316E119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13094</Words>
  <Characters>77911</Characters>
  <Application>Microsoft Office Word</Application>
  <DocSecurity>4</DocSecurity>
  <Lines>1391</Lines>
  <Paragraphs>327</Paragraphs>
  <ScaleCrop>false</ScaleCrop>
  <HeadingPairs>
    <vt:vector size="2" baseType="variant">
      <vt:variant>
        <vt:lpstr>Rubrik</vt:lpstr>
      </vt:variant>
      <vt:variant>
        <vt:i4>1</vt:i4>
      </vt:variant>
    </vt:vector>
  </HeadingPairs>
  <TitlesOfParts>
    <vt:vector size="1" baseType="lpstr">
      <vt:lpstr>v250</vt:lpstr>
    </vt:vector>
  </TitlesOfParts>
  <Company>Riksdagen</Company>
  <LinksUpToDate>false</LinksUpToDate>
  <CharactersWithSpaces>90678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v250</dc:title>
  <dc:subject>v250</dc:subject>
  <dc:creator>Riksdagen</dc:creator>
  <cp:keywords>Riksdagen</cp:keywords>
  <dc:description>TKG-ktrl, MSMQ4mb, PersReg-Distribution mm</dc:description>
  <cp:lastModifiedBy>Lars Brink</cp:lastModifiedBy>
  <cp:revision>2</cp:revision>
  <cp:lastPrinted>2008-11-28T08:41:00Z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mot2000_495_2008-08-19</vt:lpwstr>
  </property>
  <property fmtid="{D5CDD505-2E9C-101B-9397-08002B2CF9AE}" pid="3" name="version">
    <vt:lpwstr>mot2000_495_2008-08-19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Flykting- och immigrationspolitiken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 och immigrationspolitiken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Sf331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20082009000000000118000002500080</vt:lpwstr>
  </property>
  <property fmtid="{D5CDD505-2E9C-101B-9397-08002B2CF9AE}" pid="47" name="datum">
    <vt:lpwstr>080911</vt:lpwstr>
  </property>
  <property fmtid="{D5CDD505-2E9C-101B-9397-08002B2CF9AE}" pid="48" name="avsändar-e-post">
    <vt:lpwstr>anna-maria.westwood@riksdagen.se</vt:lpwstr>
  </property>
  <property fmtid="{D5CDD505-2E9C-101B-9397-08002B2CF9AE}" pid="49" name="id">
    <vt:lpwstr>20082009000000000118000002500080</vt:lpwstr>
  </property>
  <property fmtid="{D5CDD505-2E9C-101B-9397-08002B2CF9AE}" pid="50" name="nummer">
    <vt:lpwstr>331</vt:lpwstr>
  </property>
  <property fmtid="{D5CDD505-2E9C-101B-9397-08002B2CF9AE}" pid="51" name="utskottsbeteckning">
    <vt:lpwstr>Sf</vt:lpwstr>
  </property>
  <property fmtid="{D5CDD505-2E9C-101B-9397-08002B2CF9AE}" pid="52" name="GlobalUID">
    <vt:lpwstr>{0260C1F3-BC1F-479F-87A9-81C1CF6B532E}</vt:lpwstr>
  </property>
  <property fmtid="{D5CDD505-2E9C-101B-9397-08002B2CF9AE}" pid="53" name="Överföringar">
    <vt:i4>0</vt:i4>
  </property>
  <property fmtid="{D5CDD505-2E9C-101B-9397-08002B2CF9AE}" pid="54" name="Checksum">
    <vt:lpwstr>*0010950073375*</vt:lpwstr>
  </property>
  <property fmtid="{D5CDD505-2E9C-101B-9397-08002B2CF9AE}" pid="55" name="skuggnummer">
    <vt:lpwstr>2733</vt:lpwstr>
  </property>
  <property fmtid="{D5CDD505-2E9C-101B-9397-08002B2CF9AE}" pid="56" name="urixVersion">
    <vt:lpwstr>3.2.0.8</vt:lpwstr>
  </property>
  <property fmtid="{D5CDD505-2E9C-101B-9397-08002B2CF9AE}" pid="57" name="urixOrigin">
    <vt:lpwstr>090401 19:36:19.552</vt:lpwstr>
  </property>
  <property fmtid="{D5CDD505-2E9C-101B-9397-08002B2CF9AE}" pid="58" name="urixGuid">
    <vt:lpwstr>{4C42EFAA-5803-4B48-90B3-C69665E56F86}</vt:lpwstr>
  </property>
</Properties>
</file>