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B0853">
        <w:tc>
          <w:tcPr>
            <w:tcW w:w="2268" w:type="dxa"/>
          </w:tcPr>
          <w:p w:rsidR="00BB0853" w:rsidRDefault="00BB0853">
            <w:pPr>
              <w:framePr w:w="4400" w:h="1644" w:wrap="notBeside" w:vAnchor="page" w:hAnchor="page" w:x="6573" w:y="721"/>
              <w:rPr>
                <w:rFonts w:ascii="TradeGothic" w:hAnsi="TradeGothic"/>
                <w:i/>
                <w:sz w:val="18"/>
              </w:rPr>
            </w:pPr>
          </w:p>
        </w:tc>
        <w:tc>
          <w:tcPr>
            <w:tcW w:w="2347" w:type="dxa"/>
            <w:gridSpan w:val="2"/>
          </w:tcPr>
          <w:p w:rsidR="00BB0853" w:rsidRDefault="00BB0853">
            <w:pPr>
              <w:framePr w:w="4400" w:h="1644" w:wrap="notBeside" w:vAnchor="page" w:hAnchor="page" w:x="6573" w:y="721"/>
              <w:rPr>
                <w:rFonts w:ascii="TradeGothic" w:hAnsi="TradeGothic"/>
                <w:i/>
                <w:sz w:val="18"/>
              </w:rPr>
            </w:pPr>
          </w:p>
        </w:tc>
      </w:tr>
      <w:tr w:rsidR="00BB0853">
        <w:tc>
          <w:tcPr>
            <w:tcW w:w="2268" w:type="dxa"/>
          </w:tcPr>
          <w:p w:rsidR="00BB0853" w:rsidRDefault="00BB0853">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BB0853" w:rsidRDefault="00BB0853">
            <w:pPr>
              <w:framePr w:w="4400" w:h="1644" w:wrap="notBeside" w:vAnchor="page" w:hAnchor="page" w:x="6573" w:y="721"/>
              <w:rPr>
                <w:rFonts w:ascii="TradeGothic" w:hAnsi="TradeGothic"/>
                <w:b/>
                <w:sz w:val="22"/>
              </w:rPr>
            </w:pPr>
          </w:p>
        </w:tc>
      </w:tr>
      <w:tr w:rsidR="00BB0853">
        <w:trPr>
          <w:trHeight w:val="343"/>
        </w:trPr>
        <w:tc>
          <w:tcPr>
            <w:tcW w:w="3402" w:type="dxa"/>
            <w:gridSpan w:val="2"/>
          </w:tcPr>
          <w:p w:rsidR="00BB0853" w:rsidRDefault="00BB0853">
            <w:pPr>
              <w:framePr w:w="4400" w:h="1644" w:wrap="notBeside" w:vAnchor="page" w:hAnchor="page" w:x="6573" w:y="721"/>
            </w:pPr>
          </w:p>
        </w:tc>
        <w:tc>
          <w:tcPr>
            <w:tcW w:w="1213" w:type="dxa"/>
          </w:tcPr>
          <w:p w:rsidR="00BB0853" w:rsidRDefault="00BB0853">
            <w:pPr>
              <w:framePr w:w="4400" w:h="1644" w:wrap="notBeside" w:vAnchor="page" w:hAnchor="page" w:x="6573" w:y="721"/>
            </w:pPr>
          </w:p>
        </w:tc>
      </w:tr>
      <w:tr w:rsidR="00BB0853">
        <w:tc>
          <w:tcPr>
            <w:tcW w:w="2268" w:type="dxa"/>
          </w:tcPr>
          <w:p w:rsidR="00BB0853" w:rsidRDefault="00BB0853">
            <w:pPr>
              <w:framePr w:w="4400" w:h="1644" w:wrap="notBeside" w:vAnchor="page" w:hAnchor="page" w:x="6573" w:y="721"/>
            </w:pPr>
            <w:fldSimple w:instr=" CREATEDATE  \@ &quot;yyyy-MM-dd&quot;  \* MERGEFORMAT ">
              <w:r>
                <w:rPr>
                  <w:noProof/>
                </w:rPr>
                <w:t>2012-02-15</w:t>
              </w:r>
            </w:fldSimple>
          </w:p>
        </w:tc>
        <w:tc>
          <w:tcPr>
            <w:tcW w:w="2347" w:type="dxa"/>
            <w:gridSpan w:val="2"/>
          </w:tcPr>
          <w:p w:rsidR="00BB0853" w:rsidRDefault="00BB0853">
            <w:pPr>
              <w:framePr w:w="4400" w:h="1644" w:wrap="notBeside" w:vAnchor="page" w:hAnchor="page" w:x="6573" w:y="721"/>
            </w:pPr>
          </w:p>
        </w:tc>
      </w:tr>
      <w:tr w:rsidR="00BB0853">
        <w:tc>
          <w:tcPr>
            <w:tcW w:w="2268" w:type="dxa"/>
          </w:tcPr>
          <w:p w:rsidR="00BB0853" w:rsidRDefault="00BB0853">
            <w:pPr>
              <w:framePr w:w="4400" w:h="1644" w:wrap="notBeside" w:vAnchor="page" w:hAnchor="page" w:x="6573" w:y="721"/>
            </w:pPr>
          </w:p>
        </w:tc>
        <w:tc>
          <w:tcPr>
            <w:tcW w:w="2347" w:type="dxa"/>
            <w:gridSpan w:val="2"/>
          </w:tcPr>
          <w:p w:rsidR="00BB0853" w:rsidRDefault="00BB0853">
            <w:pPr>
              <w:framePr w:w="4400" w:h="1644" w:wrap="notBeside" w:vAnchor="page" w:hAnchor="page" w:x="6573" w:y="721"/>
            </w:pPr>
          </w:p>
        </w:tc>
      </w:tr>
    </w:tbl>
    <w:tbl>
      <w:tblPr>
        <w:tblW w:w="0" w:type="auto"/>
        <w:tblLayout w:type="fixed"/>
        <w:tblLook w:val="0000"/>
      </w:tblPr>
      <w:tblGrid>
        <w:gridCol w:w="4911"/>
      </w:tblGrid>
      <w:tr w:rsidR="00BB0853">
        <w:trPr>
          <w:trHeight w:val="2400"/>
        </w:trPr>
        <w:tc>
          <w:tcPr>
            <w:tcW w:w="4911" w:type="dxa"/>
          </w:tcPr>
          <w:p w:rsidR="00BB0853" w:rsidRDefault="00BB0853">
            <w:pPr>
              <w:pStyle w:val="Avsndare"/>
              <w:framePr w:h="2483" w:wrap="notBeside" w:x="1504"/>
              <w:rPr>
                <w:b/>
                <w:i w:val="0"/>
                <w:sz w:val="22"/>
              </w:rPr>
            </w:pPr>
            <w:r>
              <w:rPr>
                <w:b/>
                <w:i w:val="0"/>
                <w:sz w:val="22"/>
              </w:rPr>
              <w:t>Statsrådsberedningen</w:t>
            </w:r>
          </w:p>
          <w:p w:rsidR="00BB0853" w:rsidRDefault="00BB0853">
            <w:pPr>
              <w:pStyle w:val="Avsndare"/>
              <w:framePr w:h="2483" w:wrap="notBeside" w:x="1504"/>
            </w:pPr>
          </w:p>
          <w:p w:rsidR="00BB0853" w:rsidRDefault="00BB0853">
            <w:pPr>
              <w:pStyle w:val="Avsndare"/>
              <w:framePr w:h="2483" w:wrap="notBeside" w:x="1504"/>
            </w:pPr>
            <w:r>
              <w:t>EU-kansliet</w:t>
            </w:r>
          </w:p>
          <w:p w:rsidR="00BB0853" w:rsidRDefault="00BB0853">
            <w:pPr>
              <w:pStyle w:val="Avsndare"/>
              <w:framePr w:h="2483" w:wrap="notBeside" w:x="1504"/>
            </w:pPr>
          </w:p>
          <w:p w:rsidR="00BB0853" w:rsidRDefault="00BB0853">
            <w:pPr>
              <w:pStyle w:val="Avsndare"/>
              <w:framePr w:h="2483" w:wrap="notBeside" w:x="1504"/>
            </w:pPr>
          </w:p>
          <w:p w:rsidR="00BB0853" w:rsidRDefault="00BB0853">
            <w:pPr>
              <w:pStyle w:val="Avsndare"/>
              <w:framePr w:h="2483" w:wrap="notBeside" w:x="1504"/>
            </w:pPr>
          </w:p>
          <w:p w:rsidR="00BB0853" w:rsidRDefault="00BB0853">
            <w:pPr>
              <w:pStyle w:val="Avsndare"/>
              <w:framePr w:h="2483" w:wrap="notBeside" w:x="1504"/>
              <w:rPr>
                <w:b/>
                <w:i w:val="0"/>
                <w:sz w:val="22"/>
              </w:rPr>
            </w:pPr>
          </w:p>
        </w:tc>
      </w:tr>
    </w:tbl>
    <w:p w:rsidR="00BB0853" w:rsidRDefault="00BB0853">
      <w:pPr>
        <w:framePr w:w="4400" w:h="2523" w:wrap="notBeside" w:vAnchor="page" w:hAnchor="page" w:x="6453" w:y="2445"/>
        <w:ind w:left="142"/>
      </w:pPr>
    </w:p>
    <w:p w:rsidR="00BB0853" w:rsidRDefault="00BB0853">
      <w:pPr>
        <w:pStyle w:val="UDrubrik"/>
        <w:tabs>
          <w:tab w:val="left" w:pos="1701"/>
          <w:tab w:val="left" w:pos="1985"/>
        </w:tabs>
        <w:rPr>
          <w:rFonts w:cs="Arial"/>
          <w:sz w:val="28"/>
        </w:rPr>
      </w:pPr>
      <w:bookmarkStart w:id="0" w:name="_Toc67391946"/>
      <w:bookmarkStart w:id="1" w:name="_Toc70473239"/>
      <w:r>
        <w:rPr>
          <w:rFonts w:cs="Arial"/>
          <w:sz w:val="28"/>
        </w:rPr>
        <w:t>Komplettering Troliga A-punkter inför kommande rådsmöten som godkändes vid Coreper I och förväntas godkännas vid Coreper II</w:t>
      </w:r>
      <w:bookmarkEnd w:id="0"/>
      <w:bookmarkEnd w:id="1"/>
      <w:r>
        <w:rPr>
          <w:rFonts w:cs="Arial"/>
          <w:sz w:val="28"/>
        </w:rPr>
        <w:t xml:space="preserve"> vecka 7.</w:t>
      </w:r>
    </w:p>
    <w:p w:rsidR="00BB0853" w:rsidRDefault="00BB0853" w:rsidP="00C9119B">
      <w:pPr>
        <w:pStyle w:val="BodyText"/>
      </w:pPr>
    </w:p>
    <w:p w:rsidR="00BB0853" w:rsidRDefault="00BB0853" w:rsidP="00C9119B">
      <w:pPr>
        <w:pStyle w:val="BodyText"/>
      </w:pPr>
      <w:r>
        <w:t>Överlämnas för skriftligt samråd vecka 7 till fredagen den 17 februari, kl. 09.00.</w:t>
      </w:r>
    </w:p>
    <w:p w:rsidR="00BB0853" w:rsidRPr="00C9119B" w:rsidRDefault="00BB0853" w:rsidP="00C9119B">
      <w:pPr>
        <w:pStyle w:val="BodyText"/>
      </w:pPr>
      <w:r>
        <w:br w:type="page"/>
      </w:r>
    </w:p>
    <w:p w:rsidR="00BB0853" w:rsidRDefault="00BB0853">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BB0853" w:rsidRDefault="00BB0853">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7161486" w:history="1">
        <w:r w:rsidRPr="00CC7510">
          <w:rPr>
            <w:rStyle w:val="Hyperlink"/>
            <w:noProof/>
          </w:rPr>
          <w:t>Frågor som lösts i förberedande instanser</w:t>
        </w:r>
        <w:r>
          <w:rPr>
            <w:noProof/>
            <w:webHidden/>
          </w:rPr>
          <w:tab/>
        </w:r>
        <w:r>
          <w:rPr>
            <w:noProof/>
            <w:webHidden/>
          </w:rPr>
          <w:fldChar w:fldCharType="begin"/>
        </w:r>
        <w:r>
          <w:rPr>
            <w:noProof/>
            <w:webHidden/>
          </w:rPr>
          <w:instrText xml:space="preserve"> PAGEREF _Toc317161486 \h </w:instrText>
        </w:r>
        <w:r>
          <w:rPr>
            <w:noProof/>
            <w:webHidden/>
          </w:rPr>
        </w:r>
        <w:r>
          <w:rPr>
            <w:noProof/>
            <w:webHidden/>
          </w:rPr>
          <w:fldChar w:fldCharType="separate"/>
        </w:r>
        <w:r>
          <w:rPr>
            <w:noProof/>
            <w:webHidden/>
          </w:rPr>
          <w:t>7</w:t>
        </w:r>
        <w:r>
          <w:rPr>
            <w:noProof/>
            <w:webHidden/>
          </w:rPr>
          <w:fldChar w:fldCharType="end"/>
        </w:r>
      </w:hyperlink>
    </w:p>
    <w:p w:rsidR="00BB0853" w:rsidRDefault="00BB0853">
      <w:pPr>
        <w:pStyle w:val="TOC1"/>
        <w:tabs>
          <w:tab w:val="right" w:leader="dot" w:pos="7644"/>
        </w:tabs>
        <w:rPr>
          <w:rFonts w:ascii="Calibri" w:hAnsi="Calibri"/>
          <w:b w:val="0"/>
          <w:bCs w:val="0"/>
          <w:caps w:val="0"/>
          <w:noProof/>
          <w:sz w:val="22"/>
          <w:szCs w:val="22"/>
          <w:lang w:eastAsia="sv-SE"/>
        </w:rPr>
      </w:pPr>
      <w:hyperlink w:anchor="_Toc317161487" w:history="1">
        <w:r w:rsidRPr="00CC7510">
          <w:rPr>
            <w:rStyle w:val="Hyperlink"/>
            <w:noProof/>
          </w:rPr>
          <w:t>Troliga A-punkter inför kommande rådsmöten som godkändes vid Coreper I 2012-02-15</w:t>
        </w:r>
        <w:r>
          <w:rPr>
            <w:noProof/>
            <w:webHidden/>
          </w:rPr>
          <w:tab/>
        </w:r>
        <w:r>
          <w:rPr>
            <w:noProof/>
            <w:webHidden/>
          </w:rPr>
          <w:fldChar w:fldCharType="begin"/>
        </w:r>
        <w:r>
          <w:rPr>
            <w:noProof/>
            <w:webHidden/>
          </w:rPr>
          <w:instrText xml:space="preserve"> PAGEREF _Toc317161487 \h </w:instrText>
        </w:r>
        <w:r>
          <w:rPr>
            <w:noProof/>
            <w:webHidden/>
          </w:rPr>
        </w:r>
        <w:r>
          <w:rPr>
            <w:noProof/>
            <w:webHidden/>
          </w:rPr>
          <w:fldChar w:fldCharType="separate"/>
        </w:r>
        <w:r>
          <w:rPr>
            <w:noProof/>
            <w:webHidden/>
          </w:rPr>
          <w:t>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88" w:history="1">
        <w:r w:rsidRPr="00CC7510">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_Toc317161488 \h </w:instrText>
        </w:r>
        <w:r>
          <w:rPr>
            <w:noProof/>
            <w:webHidden/>
          </w:rPr>
        </w:r>
        <w:r>
          <w:rPr>
            <w:noProof/>
            <w:webHidden/>
          </w:rPr>
          <w:fldChar w:fldCharType="separate"/>
        </w:r>
        <w:r>
          <w:rPr>
            <w:noProof/>
            <w:webHidden/>
          </w:rPr>
          <w:t>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89" w:history="1">
        <w:r w:rsidRPr="00CC7510">
          <w:rPr>
            <w:rStyle w:val="Hyperlink"/>
            <w:noProof/>
          </w:rPr>
          <w:t>2. Case before the Court of Justice Case C-619/11 (Dumont de Chassart) Validity of Article 79.1 of Regulation (EEC) No 1408/71 of 14 June 1971 = Information note for the Permanent Representatives Committee (Part 1)</w:t>
        </w:r>
        <w:r>
          <w:rPr>
            <w:noProof/>
            <w:webHidden/>
          </w:rPr>
          <w:tab/>
        </w:r>
        <w:r>
          <w:rPr>
            <w:noProof/>
            <w:webHidden/>
          </w:rPr>
          <w:fldChar w:fldCharType="begin"/>
        </w:r>
        <w:r>
          <w:rPr>
            <w:noProof/>
            <w:webHidden/>
          </w:rPr>
          <w:instrText xml:space="preserve"> PAGEREF _Toc317161489 \h </w:instrText>
        </w:r>
        <w:r>
          <w:rPr>
            <w:noProof/>
            <w:webHidden/>
          </w:rPr>
        </w:r>
        <w:r>
          <w:rPr>
            <w:noProof/>
            <w:webHidden/>
          </w:rPr>
          <w:fldChar w:fldCharType="separate"/>
        </w:r>
        <w:r>
          <w:rPr>
            <w:noProof/>
            <w:webHidden/>
          </w:rPr>
          <w:t>8</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0" w:history="1">
        <w:r w:rsidRPr="00CC7510">
          <w:rPr>
            <w:rStyle w:val="Hyperlink"/>
            <w:noProof/>
          </w:rPr>
          <w:t>3. Case before the Court of Justice of the European Union Case C-28/12 (European Commission against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_Toc317161490 \h </w:instrText>
        </w:r>
        <w:r>
          <w:rPr>
            <w:noProof/>
            <w:webHidden/>
          </w:rPr>
        </w:r>
        <w:r>
          <w:rPr>
            <w:noProof/>
            <w:webHidden/>
          </w:rPr>
          <w:fldChar w:fldCharType="separate"/>
        </w:r>
        <w:r>
          <w:rPr>
            <w:noProof/>
            <w:webHidden/>
          </w:rPr>
          <w:t>8</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1" w:history="1">
        <w:r w:rsidRPr="00CC7510">
          <w:rPr>
            <w:rStyle w:val="Hyperlink"/>
            <w:noProof/>
          </w:rPr>
          <w:t>4. Consumption of EAGF appropriations for the period from 16 October 2011 to 30 November 2011 = Information note for the Permanent Representatives Committee (Part 1)</w:t>
        </w:r>
        <w:r>
          <w:rPr>
            <w:noProof/>
            <w:webHidden/>
          </w:rPr>
          <w:tab/>
        </w:r>
        <w:r>
          <w:rPr>
            <w:noProof/>
            <w:webHidden/>
          </w:rPr>
          <w:fldChar w:fldCharType="begin"/>
        </w:r>
        <w:r>
          <w:rPr>
            <w:noProof/>
            <w:webHidden/>
          </w:rPr>
          <w:instrText xml:space="preserve"> PAGEREF _Toc317161491 \h </w:instrText>
        </w:r>
        <w:r>
          <w:rPr>
            <w:noProof/>
            <w:webHidden/>
          </w:rPr>
        </w:r>
        <w:r>
          <w:rPr>
            <w:noProof/>
            <w:webHidden/>
          </w:rPr>
          <w:fldChar w:fldCharType="separate"/>
        </w:r>
        <w:r>
          <w:rPr>
            <w:noProof/>
            <w:webHidden/>
          </w:rPr>
          <w:t>8</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2" w:history="1">
        <w:r w:rsidRPr="00CC7510">
          <w:rPr>
            <w:rStyle w:val="Hyperlink"/>
            <w:noProof/>
          </w:rPr>
          <w:t>5. Governing Board of the European Agency for Safety and Health at Work Appointment of Mr Jan BATEN, Belgian member, in place of Mr Willy IMBRECHTS, who has resigned = Adoption</w:t>
        </w:r>
        <w:r>
          <w:rPr>
            <w:noProof/>
            <w:webHidden/>
          </w:rPr>
          <w:tab/>
        </w:r>
        <w:r>
          <w:rPr>
            <w:noProof/>
            <w:webHidden/>
          </w:rPr>
          <w:fldChar w:fldCharType="begin"/>
        </w:r>
        <w:r>
          <w:rPr>
            <w:noProof/>
            <w:webHidden/>
          </w:rPr>
          <w:instrText xml:space="preserve"> PAGEREF _Toc317161492 \h </w:instrText>
        </w:r>
        <w:r>
          <w:rPr>
            <w:noProof/>
            <w:webHidden/>
          </w:rPr>
        </w:r>
        <w:r>
          <w:rPr>
            <w:noProof/>
            <w:webHidden/>
          </w:rPr>
          <w:fldChar w:fldCharType="separate"/>
        </w:r>
        <w:r>
          <w:rPr>
            <w:noProof/>
            <w:webHidden/>
          </w:rPr>
          <w:t>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3" w:history="1">
        <w:r w:rsidRPr="00CC7510">
          <w:rPr>
            <w:rStyle w:val="Hyperlink"/>
            <w:noProof/>
          </w:rPr>
          <w:t>6. Governing Board of the European Agency for Safety and Health at Work Appointment of Ms Véronique CRUTZEN, Belgian alternate member, in place of Mr Christian DENEVE, who has resigned = Adoption</w:t>
        </w:r>
        <w:r>
          <w:rPr>
            <w:noProof/>
            <w:webHidden/>
          </w:rPr>
          <w:tab/>
        </w:r>
        <w:r>
          <w:rPr>
            <w:noProof/>
            <w:webHidden/>
          </w:rPr>
          <w:fldChar w:fldCharType="begin"/>
        </w:r>
        <w:r>
          <w:rPr>
            <w:noProof/>
            <w:webHidden/>
          </w:rPr>
          <w:instrText xml:space="preserve"> PAGEREF _Toc317161493 \h </w:instrText>
        </w:r>
        <w:r>
          <w:rPr>
            <w:noProof/>
            <w:webHidden/>
          </w:rPr>
        </w:r>
        <w:r>
          <w:rPr>
            <w:noProof/>
            <w:webHidden/>
          </w:rPr>
          <w:fldChar w:fldCharType="separate"/>
        </w:r>
        <w:r>
          <w:rPr>
            <w:noProof/>
            <w:webHidden/>
          </w:rPr>
          <w:t>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4" w:history="1">
        <w:r w:rsidRPr="00CC7510">
          <w:rPr>
            <w:rStyle w:val="Hyperlink"/>
            <w:noProof/>
          </w:rPr>
          <w:t>7. Advisory Committee on Safety and Health at Work Appointment of Mr Jan BATEN, Belgian alternate member, in place of Mr Willy IMBRECHTS, who has resigned = Adoption</w:t>
        </w:r>
        <w:r>
          <w:rPr>
            <w:noProof/>
            <w:webHidden/>
          </w:rPr>
          <w:tab/>
        </w:r>
        <w:r>
          <w:rPr>
            <w:noProof/>
            <w:webHidden/>
          </w:rPr>
          <w:fldChar w:fldCharType="begin"/>
        </w:r>
        <w:r>
          <w:rPr>
            <w:noProof/>
            <w:webHidden/>
          </w:rPr>
          <w:instrText xml:space="preserve"> PAGEREF _Toc317161494 \h </w:instrText>
        </w:r>
        <w:r>
          <w:rPr>
            <w:noProof/>
            <w:webHidden/>
          </w:rPr>
        </w:r>
        <w:r>
          <w:rPr>
            <w:noProof/>
            <w:webHidden/>
          </w:rPr>
          <w:fldChar w:fldCharType="separate"/>
        </w:r>
        <w:r>
          <w:rPr>
            <w:noProof/>
            <w:webHidden/>
          </w:rPr>
          <w:t>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5" w:history="1">
        <w:r w:rsidRPr="00CC7510">
          <w:rPr>
            <w:rStyle w:val="Hyperlink"/>
            <w:noProof/>
          </w:rPr>
          <w:t>8. Governing Board of the European Foundation for the Improvement of Living and Working Conditions Appointment of Mr Alain PIETTE, Belgian alternate member, in place of Mr Jan BATEN, who has resigned = Adoption</w:t>
        </w:r>
        <w:r>
          <w:rPr>
            <w:noProof/>
            <w:webHidden/>
          </w:rPr>
          <w:tab/>
        </w:r>
        <w:r>
          <w:rPr>
            <w:noProof/>
            <w:webHidden/>
          </w:rPr>
          <w:fldChar w:fldCharType="begin"/>
        </w:r>
        <w:r>
          <w:rPr>
            <w:noProof/>
            <w:webHidden/>
          </w:rPr>
          <w:instrText xml:space="preserve"> PAGEREF _Toc317161495 \h </w:instrText>
        </w:r>
        <w:r>
          <w:rPr>
            <w:noProof/>
            <w:webHidden/>
          </w:rPr>
        </w:r>
        <w:r>
          <w:rPr>
            <w:noProof/>
            <w:webHidden/>
          </w:rPr>
          <w:fldChar w:fldCharType="separate"/>
        </w:r>
        <w:r>
          <w:rPr>
            <w:noProof/>
            <w:webHidden/>
          </w:rPr>
          <w:t>10</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6" w:history="1">
        <w:r w:rsidRPr="00CC7510">
          <w:rPr>
            <w:rStyle w:val="Hyperlink"/>
            <w:noProof/>
          </w:rPr>
          <w:t>9. Advisory Committee on Freedom of Movement for Workers Appointment of Ms Jenni KARJALAINEN, Finnish alternate member, in place of Ms Liisa FOLKERSMA, who has resigned = Adoption</w:t>
        </w:r>
        <w:r>
          <w:rPr>
            <w:noProof/>
            <w:webHidden/>
          </w:rPr>
          <w:tab/>
        </w:r>
        <w:r>
          <w:rPr>
            <w:noProof/>
            <w:webHidden/>
          </w:rPr>
          <w:fldChar w:fldCharType="begin"/>
        </w:r>
        <w:r>
          <w:rPr>
            <w:noProof/>
            <w:webHidden/>
          </w:rPr>
          <w:instrText xml:space="preserve"> PAGEREF _Toc317161496 \h </w:instrText>
        </w:r>
        <w:r>
          <w:rPr>
            <w:noProof/>
            <w:webHidden/>
          </w:rPr>
        </w:r>
        <w:r>
          <w:rPr>
            <w:noProof/>
            <w:webHidden/>
          </w:rPr>
          <w:fldChar w:fldCharType="separate"/>
        </w:r>
        <w:r>
          <w:rPr>
            <w:noProof/>
            <w:webHidden/>
          </w:rPr>
          <w:t>10</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7" w:history="1">
        <w:r w:rsidRPr="00CC7510">
          <w:rPr>
            <w:rStyle w:val="Hyperlink"/>
            <w:noProof/>
          </w:rPr>
          <w:t>10. Proposal for a Council Decision on the conclusion of a Voluntary Partnership Agreement between the European Union and the Central African Republic on forest law enforcement, governance and trade in timber and derived products to the European Union (FLEGT) = Request by the Council for the consent of the European Parliament</w:t>
        </w:r>
        <w:r>
          <w:rPr>
            <w:noProof/>
            <w:webHidden/>
          </w:rPr>
          <w:tab/>
        </w:r>
        <w:r>
          <w:rPr>
            <w:noProof/>
            <w:webHidden/>
          </w:rPr>
          <w:fldChar w:fldCharType="begin"/>
        </w:r>
        <w:r>
          <w:rPr>
            <w:noProof/>
            <w:webHidden/>
          </w:rPr>
          <w:instrText xml:space="preserve"> PAGEREF _Toc317161497 \h </w:instrText>
        </w:r>
        <w:r>
          <w:rPr>
            <w:noProof/>
            <w:webHidden/>
          </w:rPr>
        </w:r>
        <w:r>
          <w:rPr>
            <w:noProof/>
            <w:webHidden/>
          </w:rPr>
          <w:fldChar w:fldCharType="separate"/>
        </w:r>
        <w:r>
          <w:rPr>
            <w:noProof/>
            <w:webHidden/>
          </w:rPr>
          <w:t>10</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8" w:history="1">
        <w:r w:rsidRPr="00CC7510">
          <w:rPr>
            <w:rStyle w:val="Hyperlink"/>
            <w:noProof/>
          </w:rPr>
          <w:t>11. European Heritage Label Appointment by the Council of four members of the European panel for the European Union action for the European Heritage Label = Adoption</w:t>
        </w:r>
        <w:r>
          <w:rPr>
            <w:noProof/>
            <w:webHidden/>
          </w:rPr>
          <w:tab/>
        </w:r>
        <w:r>
          <w:rPr>
            <w:noProof/>
            <w:webHidden/>
          </w:rPr>
          <w:fldChar w:fldCharType="begin"/>
        </w:r>
        <w:r>
          <w:rPr>
            <w:noProof/>
            <w:webHidden/>
          </w:rPr>
          <w:instrText xml:space="preserve"> PAGEREF _Toc317161498 \h </w:instrText>
        </w:r>
        <w:r>
          <w:rPr>
            <w:noProof/>
            <w:webHidden/>
          </w:rPr>
        </w:r>
        <w:r>
          <w:rPr>
            <w:noProof/>
            <w:webHidden/>
          </w:rPr>
          <w:fldChar w:fldCharType="separate"/>
        </w:r>
        <w:r>
          <w:rPr>
            <w:noProof/>
            <w:webHidden/>
          </w:rPr>
          <w:t>11</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499" w:history="1">
        <w:r w:rsidRPr="00CC7510">
          <w:rPr>
            <w:rStyle w:val="Hyperlink"/>
            <w:noProof/>
          </w:rPr>
          <w:t>12. Commission Regulation (EU) No .../.. of XXX amending Regulation (EC) No 62/2006 concerning the technical specification for interoperability relating to the telematic applications for freight subsystem of the trans-European conventional rail system = Decision not to oppose the adoption</w:t>
        </w:r>
        <w:r>
          <w:rPr>
            <w:noProof/>
            <w:webHidden/>
          </w:rPr>
          <w:tab/>
        </w:r>
        <w:r>
          <w:rPr>
            <w:noProof/>
            <w:webHidden/>
          </w:rPr>
          <w:fldChar w:fldCharType="begin"/>
        </w:r>
        <w:r>
          <w:rPr>
            <w:noProof/>
            <w:webHidden/>
          </w:rPr>
          <w:instrText xml:space="preserve"> PAGEREF _Toc317161499 \h </w:instrText>
        </w:r>
        <w:r>
          <w:rPr>
            <w:noProof/>
            <w:webHidden/>
          </w:rPr>
        </w:r>
        <w:r>
          <w:rPr>
            <w:noProof/>
            <w:webHidden/>
          </w:rPr>
          <w:fldChar w:fldCharType="separate"/>
        </w:r>
        <w:r>
          <w:rPr>
            <w:noProof/>
            <w:webHidden/>
          </w:rPr>
          <w:t>12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0" w:history="1">
        <w:r w:rsidRPr="00CC7510">
          <w:rPr>
            <w:rStyle w:val="Hyperlink"/>
            <w:noProof/>
          </w:rPr>
          <w:t>13. Commission Decision of XXX on the second set of common safety targets as regards the rail system= Decision not to oppose the adoption</w:t>
        </w:r>
        <w:r>
          <w:rPr>
            <w:noProof/>
            <w:webHidden/>
          </w:rPr>
          <w:tab/>
        </w:r>
        <w:r>
          <w:rPr>
            <w:noProof/>
            <w:webHidden/>
          </w:rPr>
          <w:fldChar w:fldCharType="begin"/>
        </w:r>
        <w:r>
          <w:rPr>
            <w:noProof/>
            <w:webHidden/>
          </w:rPr>
          <w:instrText xml:space="preserve"> PAGEREF _Toc317161500 \h </w:instrText>
        </w:r>
        <w:r>
          <w:rPr>
            <w:noProof/>
            <w:webHidden/>
          </w:rPr>
        </w:r>
        <w:r>
          <w:rPr>
            <w:noProof/>
            <w:webHidden/>
          </w:rPr>
          <w:fldChar w:fldCharType="separate"/>
        </w:r>
        <w:r>
          <w:rPr>
            <w:noProof/>
            <w:webHidden/>
          </w:rPr>
          <w:t>13</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1" w:history="1">
        <w:r w:rsidRPr="00CC7510">
          <w:rPr>
            <w:rStyle w:val="Hyperlink"/>
            <w:noProof/>
          </w:rPr>
          <w:t>14. Council Decision on the position to be taken by the European Union concerning the adoption of a Decision by the Joint Committee of the Convention of 20 May 1987 on a common transit procedure and a Decision by the Joint Committee of the Convention of 20 May 1987 on the simplification of formalities in trade of goods concerning an invitation to Croatia and Turkey to accede to these Conventions = Adoption</w:t>
        </w:r>
        <w:r>
          <w:rPr>
            <w:noProof/>
            <w:webHidden/>
          </w:rPr>
          <w:tab/>
        </w:r>
        <w:r>
          <w:rPr>
            <w:noProof/>
            <w:webHidden/>
          </w:rPr>
          <w:fldChar w:fldCharType="begin"/>
        </w:r>
        <w:r>
          <w:rPr>
            <w:noProof/>
            <w:webHidden/>
          </w:rPr>
          <w:instrText xml:space="preserve"> PAGEREF _Toc317161501 \h </w:instrText>
        </w:r>
        <w:r>
          <w:rPr>
            <w:noProof/>
            <w:webHidden/>
          </w:rPr>
        </w:r>
        <w:r>
          <w:rPr>
            <w:noProof/>
            <w:webHidden/>
          </w:rPr>
          <w:fldChar w:fldCharType="separate"/>
        </w:r>
        <w:r>
          <w:rPr>
            <w:noProof/>
            <w:webHidden/>
          </w:rPr>
          <w:t>14</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2" w:history="1">
        <w:r w:rsidRPr="00CC7510">
          <w:rPr>
            <w:rStyle w:val="Hyperlink"/>
            <w:noProof/>
          </w:rPr>
          <w:t>15. Proposal for a Directive of the European Parliament and of the Council amending Council Directive 78/660/EEC on the annual accounts of certain types of companies as regards micro-entities (Council second reading) (Legislative deliberation + Statement) = Approval of the European Parliament's amendments</w:t>
        </w:r>
        <w:r>
          <w:rPr>
            <w:noProof/>
            <w:webHidden/>
          </w:rPr>
          <w:tab/>
        </w:r>
        <w:r>
          <w:rPr>
            <w:noProof/>
            <w:webHidden/>
          </w:rPr>
          <w:fldChar w:fldCharType="begin"/>
        </w:r>
        <w:r>
          <w:rPr>
            <w:noProof/>
            <w:webHidden/>
          </w:rPr>
          <w:instrText xml:space="preserve"> PAGEREF _Toc317161502 \h </w:instrText>
        </w:r>
        <w:r>
          <w:rPr>
            <w:noProof/>
            <w:webHidden/>
          </w:rPr>
        </w:r>
        <w:r>
          <w:rPr>
            <w:noProof/>
            <w:webHidden/>
          </w:rPr>
          <w:fldChar w:fldCharType="separate"/>
        </w:r>
        <w:r>
          <w:rPr>
            <w:noProof/>
            <w:webHidden/>
          </w:rPr>
          <w:t>15</w:t>
        </w:r>
        <w:r>
          <w:rPr>
            <w:noProof/>
            <w:webHidden/>
          </w:rPr>
          <w:fldChar w:fldCharType="end"/>
        </w:r>
      </w:hyperlink>
    </w:p>
    <w:p w:rsidR="00BB0853" w:rsidRDefault="00BB0853">
      <w:pPr>
        <w:pStyle w:val="TOC1"/>
        <w:tabs>
          <w:tab w:val="right" w:leader="dot" w:pos="7644"/>
        </w:tabs>
        <w:rPr>
          <w:rFonts w:ascii="Calibri" w:hAnsi="Calibri"/>
          <w:b w:val="0"/>
          <w:bCs w:val="0"/>
          <w:caps w:val="0"/>
          <w:noProof/>
          <w:sz w:val="22"/>
          <w:szCs w:val="22"/>
          <w:lang w:eastAsia="sv-SE"/>
        </w:rPr>
      </w:pPr>
      <w:hyperlink w:anchor="_Toc317161503" w:history="1">
        <w:r w:rsidRPr="00CC7510">
          <w:rPr>
            <w:rStyle w:val="Hyperlink"/>
            <w:noProof/>
          </w:rPr>
          <w:t>Troliga A-punkter inför kommande rådsmöten som förväntas godkännas vid Coreper II 2012-02-16</w:t>
        </w:r>
        <w:r>
          <w:rPr>
            <w:noProof/>
            <w:webHidden/>
          </w:rPr>
          <w:tab/>
        </w:r>
        <w:r>
          <w:rPr>
            <w:noProof/>
            <w:webHidden/>
          </w:rPr>
          <w:fldChar w:fldCharType="begin"/>
        </w:r>
        <w:r>
          <w:rPr>
            <w:noProof/>
            <w:webHidden/>
          </w:rPr>
          <w:instrText xml:space="preserve"> PAGEREF _Toc317161503 \h </w:instrText>
        </w:r>
        <w:r>
          <w:rPr>
            <w:noProof/>
            <w:webHidden/>
          </w:rPr>
        </w:r>
        <w:r>
          <w:rPr>
            <w:noProof/>
            <w:webHidden/>
          </w:rPr>
          <w:fldChar w:fldCharType="separate"/>
        </w:r>
        <w:r>
          <w:rPr>
            <w:noProof/>
            <w:webHidden/>
          </w:rPr>
          <w:t>16</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4" w:history="1">
        <w:r w:rsidRPr="00CC7510">
          <w:rPr>
            <w:rStyle w:val="Hyperlink"/>
            <w:noProof/>
          </w:rPr>
          <w:t>16. Case T-531/11 before the General Court = HAMAS v. Council of the European Union</w:t>
        </w:r>
        <w:r>
          <w:rPr>
            <w:noProof/>
            <w:webHidden/>
          </w:rPr>
          <w:tab/>
        </w:r>
        <w:r>
          <w:rPr>
            <w:noProof/>
            <w:webHidden/>
          </w:rPr>
          <w:fldChar w:fldCharType="begin"/>
        </w:r>
        <w:r>
          <w:rPr>
            <w:noProof/>
            <w:webHidden/>
          </w:rPr>
          <w:instrText xml:space="preserve"> PAGEREF _Toc317161504 \h </w:instrText>
        </w:r>
        <w:r>
          <w:rPr>
            <w:noProof/>
            <w:webHidden/>
          </w:rPr>
        </w:r>
        <w:r>
          <w:rPr>
            <w:noProof/>
            <w:webHidden/>
          </w:rPr>
          <w:fldChar w:fldCharType="separate"/>
        </w:r>
        <w:r>
          <w:rPr>
            <w:noProof/>
            <w:webHidden/>
          </w:rPr>
          <w:t>16</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5" w:history="1">
        <w:r w:rsidRPr="00CC7510">
          <w:rPr>
            <w:rStyle w:val="Hyperlink"/>
            <w:noProof/>
          </w:rPr>
          <w:t>17. Case before the General Court of the European Union = Case T-633/11 Guangdong Kito Ceramics Co Ltd against the Council of the European Union</w:t>
        </w:r>
        <w:r>
          <w:rPr>
            <w:noProof/>
            <w:webHidden/>
          </w:rPr>
          <w:tab/>
        </w:r>
        <w:r>
          <w:rPr>
            <w:noProof/>
            <w:webHidden/>
          </w:rPr>
          <w:fldChar w:fldCharType="begin"/>
        </w:r>
        <w:r>
          <w:rPr>
            <w:noProof/>
            <w:webHidden/>
          </w:rPr>
          <w:instrText xml:space="preserve"> PAGEREF _Toc317161505 \h </w:instrText>
        </w:r>
        <w:r>
          <w:rPr>
            <w:noProof/>
            <w:webHidden/>
          </w:rPr>
        </w:r>
        <w:r>
          <w:rPr>
            <w:noProof/>
            <w:webHidden/>
          </w:rPr>
          <w:fldChar w:fldCharType="separate"/>
        </w:r>
        <w:r>
          <w:rPr>
            <w:noProof/>
            <w:webHidden/>
          </w:rPr>
          <w:t>16</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6" w:history="1">
        <w:r w:rsidRPr="00CC7510">
          <w:rPr>
            <w:rStyle w:val="Hyperlink"/>
            <w:noProof/>
          </w:rPr>
          <w:t>18. Case before the General Court of the European Union = Case T-6/12 Godrej Industries Limited and VVT Limited against the Council of the European Union</w:t>
        </w:r>
        <w:r>
          <w:rPr>
            <w:noProof/>
            <w:webHidden/>
          </w:rPr>
          <w:tab/>
        </w:r>
        <w:r>
          <w:rPr>
            <w:noProof/>
            <w:webHidden/>
          </w:rPr>
          <w:fldChar w:fldCharType="begin"/>
        </w:r>
        <w:r>
          <w:rPr>
            <w:noProof/>
            <w:webHidden/>
          </w:rPr>
          <w:instrText xml:space="preserve"> PAGEREF _Toc317161506 \h </w:instrText>
        </w:r>
        <w:r>
          <w:rPr>
            <w:noProof/>
            <w:webHidden/>
          </w:rPr>
        </w:r>
        <w:r>
          <w:rPr>
            <w:noProof/>
            <w:webHidden/>
          </w:rPr>
          <w:fldChar w:fldCharType="separate"/>
        </w:r>
        <w:r>
          <w:rPr>
            <w:noProof/>
            <w:webHidden/>
          </w:rPr>
          <w:t>16</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7" w:history="1">
        <w:r w:rsidRPr="00CC7510">
          <w:rPr>
            <w:rStyle w:val="Hyperlink"/>
            <w:noProof/>
          </w:rPr>
          <w:t>19. Case before the Court of Justice of the European Union = Case C-10/12 P Transnational Company "Kazchrome" AO and ENRC Marketing AG against the Council of the European Union</w:t>
        </w:r>
        <w:r>
          <w:rPr>
            <w:noProof/>
            <w:webHidden/>
          </w:rPr>
          <w:tab/>
        </w:r>
        <w:r>
          <w:rPr>
            <w:noProof/>
            <w:webHidden/>
          </w:rPr>
          <w:fldChar w:fldCharType="begin"/>
        </w:r>
        <w:r>
          <w:rPr>
            <w:noProof/>
            <w:webHidden/>
          </w:rPr>
          <w:instrText xml:space="preserve"> PAGEREF _Toc317161507 \h </w:instrText>
        </w:r>
        <w:r>
          <w:rPr>
            <w:noProof/>
            <w:webHidden/>
          </w:rPr>
        </w:r>
        <w:r>
          <w:rPr>
            <w:noProof/>
            <w:webHidden/>
          </w:rPr>
          <w:fldChar w:fldCharType="separate"/>
        </w:r>
        <w:r>
          <w:rPr>
            <w:noProof/>
            <w:webHidden/>
          </w:rPr>
          <w:t>17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8" w:history="1">
        <w:r w:rsidRPr="00CC7510">
          <w:rPr>
            <w:rStyle w:val="Hyperlink"/>
            <w:noProof/>
          </w:rPr>
          <w:t>20. Transparency - Public access to documents = Confirmatory application No 25/c/01/11</w:t>
        </w:r>
        <w:r>
          <w:rPr>
            <w:noProof/>
            <w:webHidden/>
          </w:rPr>
          <w:tab/>
        </w:r>
        <w:r>
          <w:rPr>
            <w:noProof/>
            <w:webHidden/>
          </w:rPr>
          <w:fldChar w:fldCharType="begin"/>
        </w:r>
        <w:r>
          <w:rPr>
            <w:noProof/>
            <w:webHidden/>
          </w:rPr>
          <w:instrText xml:space="preserve"> PAGEREF _Toc317161508 \h </w:instrText>
        </w:r>
        <w:r>
          <w:rPr>
            <w:noProof/>
            <w:webHidden/>
          </w:rPr>
        </w:r>
        <w:r>
          <w:rPr>
            <w:noProof/>
            <w:webHidden/>
          </w:rPr>
          <w:fldChar w:fldCharType="separate"/>
        </w:r>
        <w:r>
          <w:rPr>
            <w:noProof/>
            <w:webHidden/>
          </w:rPr>
          <w:t>17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09" w:history="1">
        <w:r w:rsidRPr="00CC7510">
          <w:rPr>
            <w:rStyle w:val="Hyperlink"/>
            <w:noProof/>
          </w:rPr>
          <w:t>21. Proposal for a Regulation of the European Parliament and of the Council on Short Selling and certain aspects of Credit Default Swaps (first reading) (LA+S) = Adoption of the legislative act PE-CONS</w:t>
        </w:r>
        <w:r>
          <w:rPr>
            <w:noProof/>
            <w:webHidden/>
          </w:rPr>
          <w:tab/>
        </w:r>
        <w:r>
          <w:rPr>
            <w:noProof/>
            <w:webHidden/>
          </w:rPr>
          <w:fldChar w:fldCharType="begin"/>
        </w:r>
        <w:r>
          <w:rPr>
            <w:noProof/>
            <w:webHidden/>
          </w:rPr>
          <w:instrText xml:space="preserve"> PAGEREF _Toc317161509 \h </w:instrText>
        </w:r>
        <w:r>
          <w:rPr>
            <w:noProof/>
            <w:webHidden/>
          </w:rPr>
        </w:r>
        <w:r>
          <w:rPr>
            <w:noProof/>
            <w:webHidden/>
          </w:rPr>
          <w:fldChar w:fldCharType="separate"/>
        </w:r>
        <w:r>
          <w:rPr>
            <w:noProof/>
            <w:webHidden/>
          </w:rPr>
          <w:t>17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0" w:history="1">
        <w:r w:rsidRPr="00CC7510">
          <w:rPr>
            <w:rStyle w:val="Hyperlink"/>
            <w:noProof/>
          </w:rPr>
          <w:t>22. Proposal for a Regulation of the European Parliament and of the Council amending Regulation (EC) No 428/2009 setting up a Community regime for the control of exports, transfer, brokering and transit of dual use items (first reading) (LA)a) adoption of the position of the Council in first readingb) adoption of the statement of the Council reasons</w:t>
        </w:r>
        <w:r>
          <w:rPr>
            <w:noProof/>
            <w:webHidden/>
          </w:rPr>
          <w:tab/>
        </w:r>
        <w:r>
          <w:rPr>
            <w:noProof/>
            <w:webHidden/>
          </w:rPr>
          <w:fldChar w:fldCharType="begin"/>
        </w:r>
        <w:r>
          <w:rPr>
            <w:noProof/>
            <w:webHidden/>
          </w:rPr>
          <w:instrText xml:space="preserve"> PAGEREF _Toc317161510 \h </w:instrText>
        </w:r>
        <w:r>
          <w:rPr>
            <w:noProof/>
            <w:webHidden/>
          </w:rPr>
        </w:r>
        <w:r>
          <w:rPr>
            <w:noProof/>
            <w:webHidden/>
          </w:rPr>
          <w:fldChar w:fldCharType="separate"/>
        </w:r>
        <w:r>
          <w:rPr>
            <w:noProof/>
            <w:webHidden/>
          </w:rPr>
          <w:t>18</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1" w:history="1">
        <w:r w:rsidRPr="00CC7510">
          <w:rPr>
            <w:rStyle w:val="Hyperlink"/>
            <w:noProof/>
          </w:rPr>
          <w:t>23. Draft Council conclusions: Climate finance - follow-up to the Durban Conference</w:t>
        </w:r>
        <w:r>
          <w:rPr>
            <w:noProof/>
            <w:webHidden/>
          </w:rPr>
          <w:tab/>
        </w:r>
        <w:r>
          <w:rPr>
            <w:noProof/>
            <w:webHidden/>
          </w:rPr>
          <w:fldChar w:fldCharType="begin"/>
        </w:r>
        <w:r>
          <w:rPr>
            <w:noProof/>
            <w:webHidden/>
          </w:rPr>
          <w:instrText xml:space="preserve"> PAGEREF _Toc317161511 \h </w:instrText>
        </w:r>
        <w:r>
          <w:rPr>
            <w:noProof/>
            <w:webHidden/>
          </w:rPr>
        </w:r>
        <w:r>
          <w:rPr>
            <w:noProof/>
            <w:webHidden/>
          </w:rPr>
          <w:fldChar w:fldCharType="separate"/>
        </w:r>
        <w:r>
          <w:rPr>
            <w:noProof/>
            <w:webHidden/>
          </w:rPr>
          <w:t>19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2" w:history="1">
        <w:r w:rsidRPr="00CC7510">
          <w:rPr>
            <w:rStyle w:val="Hyperlink"/>
            <w:noProof/>
          </w:rPr>
          <w:t>24. Draft Council conclusions: Economic aspects of the roadmap to a resource-efficient Europe</w:t>
        </w:r>
        <w:r>
          <w:rPr>
            <w:noProof/>
            <w:webHidden/>
          </w:rPr>
          <w:tab/>
        </w:r>
        <w:r>
          <w:rPr>
            <w:noProof/>
            <w:webHidden/>
          </w:rPr>
          <w:fldChar w:fldCharType="begin"/>
        </w:r>
        <w:r>
          <w:rPr>
            <w:noProof/>
            <w:webHidden/>
          </w:rPr>
          <w:instrText xml:space="preserve"> PAGEREF _Toc317161512 \h </w:instrText>
        </w:r>
        <w:r>
          <w:rPr>
            <w:noProof/>
            <w:webHidden/>
          </w:rPr>
        </w:r>
        <w:r>
          <w:rPr>
            <w:noProof/>
            <w:webHidden/>
          </w:rPr>
          <w:fldChar w:fldCharType="separate"/>
        </w:r>
        <w:r>
          <w:rPr>
            <w:noProof/>
            <w:webHidden/>
          </w:rPr>
          <w:t>19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3" w:history="1">
        <w:r w:rsidRPr="00CC7510">
          <w:rPr>
            <w:rStyle w:val="Hyperlink"/>
            <w:noProof/>
          </w:rPr>
          <w:t>25. Legal act in the excessive deficit procedure for Hungary- adoption of texts in languages not available at the time of adoption of the legal act by the Council: Council Decision establishing whether effective action has been taken by Hungary in response to the Council Recommendation of 7 July 2009</w:t>
        </w:r>
        <w:r>
          <w:rPr>
            <w:noProof/>
            <w:webHidden/>
          </w:rPr>
          <w:tab/>
        </w:r>
        <w:r>
          <w:rPr>
            <w:noProof/>
            <w:webHidden/>
          </w:rPr>
          <w:fldChar w:fldCharType="begin"/>
        </w:r>
        <w:r>
          <w:rPr>
            <w:noProof/>
            <w:webHidden/>
          </w:rPr>
          <w:instrText xml:space="preserve"> PAGEREF _Toc317161513 \h </w:instrText>
        </w:r>
        <w:r>
          <w:rPr>
            <w:noProof/>
            <w:webHidden/>
          </w:rPr>
        </w:r>
        <w:r>
          <w:rPr>
            <w:noProof/>
            <w:webHidden/>
          </w:rPr>
          <w:fldChar w:fldCharType="separate"/>
        </w:r>
        <w:r>
          <w:rPr>
            <w:noProof/>
            <w:webHidden/>
          </w:rPr>
          <w:t>20</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4" w:history="1">
        <w:r w:rsidRPr="00CC7510">
          <w:rPr>
            <w:rStyle w:val="Hyperlink"/>
            <w:noProof/>
          </w:rPr>
          <w:t>26. Proposal for a Regulation of the European Parliament and of the Council on the issuance of euro coins</w:t>
        </w:r>
        <w:r>
          <w:rPr>
            <w:noProof/>
            <w:webHidden/>
          </w:rPr>
          <w:tab/>
        </w:r>
        <w:r>
          <w:rPr>
            <w:noProof/>
            <w:webHidden/>
          </w:rPr>
          <w:fldChar w:fldCharType="begin"/>
        </w:r>
        <w:r>
          <w:rPr>
            <w:noProof/>
            <w:webHidden/>
          </w:rPr>
          <w:instrText xml:space="preserve"> PAGEREF _Toc317161514 \h </w:instrText>
        </w:r>
        <w:r>
          <w:rPr>
            <w:noProof/>
            <w:webHidden/>
          </w:rPr>
        </w:r>
        <w:r>
          <w:rPr>
            <w:noProof/>
            <w:webHidden/>
          </w:rPr>
          <w:fldChar w:fldCharType="separate"/>
        </w:r>
        <w:r>
          <w:rPr>
            <w:noProof/>
            <w:webHidden/>
          </w:rPr>
          <w:t>21</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5" w:history="1">
        <w:r w:rsidRPr="00CC7510">
          <w:rPr>
            <w:rStyle w:val="Hyperlink"/>
            <w:noProof/>
          </w:rPr>
          <w:t>27. Proposal for a Council Regulation amending Regulation (EC) No 975/98 of 3 May 1998 on denominations and technical specifications of euro coins intended for circulation</w:t>
        </w:r>
        <w:r>
          <w:rPr>
            <w:noProof/>
            <w:webHidden/>
          </w:rPr>
          <w:tab/>
        </w:r>
        <w:r>
          <w:rPr>
            <w:noProof/>
            <w:webHidden/>
          </w:rPr>
          <w:fldChar w:fldCharType="begin"/>
        </w:r>
        <w:r>
          <w:rPr>
            <w:noProof/>
            <w:webHidden/>
          </w:rPr>
          <w:instrText xml:space="preserve"> PAGEREF _Toc317161515 \h </w:instrText>
        </w:r>
        <w:r>
          <w:rPr>
            <w:noProof/>
            <w:webHidden/>
          </w:rPr>
        </w:r>
        <w:r>
          <w:rPr>
            <w:noProof/>
            <w:webHidden/>
          </w:rPr>
          <w:fldChar w:fldCharType="separate"/>
        </w:r>
        <w:r>
          <w:rPr>
            <w:noProof/>
            <w:webHidden/>
          </w:rPr>
          <w:t>22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6" w:history="1">
        <w:r w:rsidRPr="00CC7510">
          <w:rPr>
            <w:rStyle w:val="Hyperlink"/>
            <w:noProof/>
          </w:rPr>
          <w:t>28. Proposal for transfer of appropriations No DEC01/2012 within Section III - Commission - of the general budget for 2012</w:t>
        </w:r>
        <w:r>
          <w:rPr>
            <w:noProof/>
            <w:webHidden/>
          </w:rPr>
          <w:tab/>
        </w:r>
        <w:r>
          <w:rPr>
            <w:noProof/>
            <w:webHidden/>
          </w:rPr>
          <w:fldChar w:fldCharType="begin"/>
        </w:r>
        <w:r>
          <w:rPr>
            <w:noProof/>
            <w:webHidden/>
          </w:rPr>
          <w:instrText xml:space="preserve"> PAGEREF _Toc317161516 \h </w:instrText>
        </w:r>
        <w:r>
          <w:rPr>
            <w:noProof/>
            <w:webHidden/>
          </w:rPr>
        </w:r>
        <w:r>
          <w:rPr>
            <w:noProof/>
            <w:webHidden/>
          </w:rPr>
          <w:fldChar w:fldCharType="separate"/>
        </w:r>
        <w:r>
          <w:rPr>
            <w:noProof/>
            <w:webHidden/>
          </w:rPr>
          <w:t>22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7" w:history="1">
        <w:r w:rsidRPr="00CC7510">
          <w:rPr>
            <w:rStyle w:val="Hyperlink"/>
            <w:noProof/>
          </w:rPr>
          <w:t>29. Draft Council conclusions on the budget guidelines for 2013</w:t>
        </w:r>
        <w:r>
          <w:rPr>
            <w:noProof/>
            <w:webHidden/>
          </w:rPr>
          <w:tab/>
        </w:r>
        <w:r>
          <w:rPr>
            <w:noProof/>
            <w:webHidden/>
          </w:rPr>
          <w:fldChar w:fldCharType="begin"/>
        </w:r>
        <w:r>
          <w:rPr>
            <w:noProof/>
            <w:webHidden/>
          </w:rPr>
          <w:instrText xml:space="preserve"> PAGEREF _Toc317161517 \h </w:instrText>
        </w:r>
        <w:r>
          <w:rPr>
            <w:noProof/>
            <w:webHidden/>
          </w:rPr>
        </w:r>
        <w:r>
          <w:rPr>
            <w:noProof/>
            <w:webHidden/>
          </w:rPr>
          <w:fldChar w:fldCharType="separate"/>
        </w:r>
        <w:r>
          <w:rPr>
            <w:noProof/>
            <w:webHidden/>
          </w:rPr>
          <w:t>22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8" w:history="1">
        <w:r w:rsidRPr="00CC7510">
          <w:rPr>
            <w:rStyle w:val="Hyperlink"/>
            <w:noProof/>
          </w:rPr>
          <w:t>30. Discharge to be given to the bodies set up by the European Union in respect of the implementation of the budget for the financial year 2010</w:t>
        </w:r>
        <w:r>
          <w:rPr>
            <w:noProof/>
            <w:webHidden/>
          </w:rPr>
          <w:tab/>
        </w:r>
        <w:r>
          <w:rPr>
            <w:noProof/>
            <w:webHidden/>
          </w:rPr>
          <w:fldChar w:fldCharType="begin"/>
        </w:r>
        <w:r>
          <w:rPr>
            <w:noProof/>
            <w:webHidden/>
          </w:rPr>
          <w:instrText xml:space="preserve"> PAGEREF _Toc317161518 \h </w:instrText>
        </w:r>
        <w:r>
          <w:rPr>
            <w:noProof/>
            <w:webHidden/>
          </w:rPr>
        </w:r>
        <w:r>
          <w:rPr>
            <w:noProof/>
            <w:webHidden/>
          </w:rPr>
          <w:fldChar w:fldCharType="separate"/>
        </w:r>
        <w:r>
          <w:rPr>
            <w:noProof/>
            <w:webHidden/>
          </w:rPr>
          <w:t>23</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19" w:history="1">
        <w:r w:rsidRPr="00CC7510">
          <w:rPr>
            <w:rStyle w:val="Hyperlink"/>
            <w:noProof/>
          </w:rPr>
          <w:t>31. Discharge to be given to the executive agencies in respect of the implementation of the budget for the financial year 2010</w:t>
        </w:r>
        <w:r>
          <w:rPr>
            <w:noProof/>
            <w:webHidden/>
          </w:rPr>
          <w:tab/>
        </w:r>
        <w:r>
          <w:rPr>
            <w:noProof/>
            <w:webHidden/>
          </w:rPr>
          <w:fldChar w:fldCharType="begin"/>
        </w:r>
        <w:r>
          <w:rPr>
            <w:noProof/>
            <w:webHidden/>
          </w:rPr>
          <w:instrText xml:space="preserve"> PAGEREF _Toc317161519 \h </w:instrText>
        </w:r>
        <w:r>
          <w:rPr>
            <w:noProof/>
            <w:webHidden/>
          </w:rPr>
        </w:r>
        <w:r>
          <w:rPr>
            <w:noProof/>
            <w:webHidden/>
          </w:rPr>
          <w:fldChar w:fldCharType="separate"/>
        </w:r>
        <w:r>
          <w:rPr>
            <w:noProof/>
            <w:webHidden/>
          </w:rPr>
          <w:t>24</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0" w:history="1">
        <w:r w:rsidRPr="00CC7510">
          <w:rPr>
            <w:rStyle w:val="Hyperlink"/>
            <w:noProof/>
          </w:rPr>
          <w:t>32. Discharge to be given to the joint undertakings in respect of the implementation of the budget for the financial year 2010</w:t>
        </w:r>
        <w:r>
          <w:rPr>
            <w:noProof/>
            <w:webHidden/>
          </w:rPr>
          <w:tab/>
        </w:r>
        <w:r>
          <w:rPr>
            <w:noProof/>
            <w:webHidden/>
          </w:rPr>
          <w:fldChar w:fldCharType="begin"/>
        </w:r>
        <w:r>
          <w:rPr>
            <w:noProof/>
            <w:webHidden/>
          </w:rPr>
          <w:instrText xml:space="preserve"> PAGEREF _Toc317161520 \h </w:instrText>
        </w:r>
        <w:r>
          <w:rPr>
            <w:noProof/>
            <w:webHidden/>
          </w:rPr>
        </w:r>
        <w:r>
          <w:rPr>
            <w:noProof/>
            <w:webHidden/>
          </w:rPr>
          <w:fldChar w:fldCharType="separate"/>
        </w:r>
        <w:r>
          <w:rPr>
            <w:noProof/>
            <w:webHidden/>
          </w:rPr>
          <w:t>25</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1" w:history="1">
        <w:r w:rsidRPr="00CC7510">
          <w:rPr>
            <w:rStyle w:val="Hyperlink"/>
            <w:noProof/>
          </w:rPr>
          <w:t>33. Recommendation to the Council concerning the use of a cryptographic product to protect electronic links for the exercise European Endeavour 2012</w:t>
        </w:r>
        <w:r>
          <w:rPr>
            <w:noProof/>
            <w:webHidden/>
          </w:rPr>
          <w:tab/>
        </w:r>
        <w:r>
          <w:rPr>
            <w:noProof/>
            <w:webHidden/>
          </w:rPr>
          <w:fldChar w:fldCharType="begin"/>
        </w:r>
        <w:r>
          <w:rPr>
            <w:noProof/>
            <w:webHidden/>
          </w:rPr>
          <w:instrText xml:space="preserve"> PAGEREF _Toc317161521 \h </w:instrText>
        </w:r>
        <w:r>
          <w:rPr>
            <w:noProof/>
            <w:webHidden/>
          </w:rPr>
        </w:r>
        <w:r>
          <w:rPr>
            <w:noProof/>
            <w:webHidden/>
          </w:rPr>
          <w:fldChar w:fldCharType="separate"/>
        </w:r>
        <w:r>
          <w:rPr>
            <w:noProof/>
            <w:webHidden/>
          </w:rPr>
          <w:t>25</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2" w:history="1">
        <w:r w:rsidRPr="00CC7510">
          <w:rPr>
            <w:rStyle w:val="Hyperlink"/>
            <w:noProof/>
          </w:rPr>
          <w:t>34. Council Decision amending Council Decision 2010/232/CFSP concerning restrictive measures against Burma/Myanmar</w:t>
        </w:r>
        <w:r>
          <w:rPr>
            <w:noProof/>
            <w:webHidden/>
          </w:rPr>
          <w:tab/>
        </w:r>
        <w:r>
          <w:rPr>
            <w:noProof/>
            <w:webHidden/>
          </w:rPr>
          <w:fldChar w:fldCharType="begin"/>
        </w:r>
        <w:r>
          <w:rPr>
            <w:noProof/>
            <w:webHidden/>
          </w:rPr>
          <w:instrText xml:space="preserve"> PAGEREF _Toc317161522 \h </w:instrText>
        </w:r>
        <w:r>
          <w:rPr>
            <w:noProof/>
            <w:webHidden/>
          </w:rPr>
        </w:r>
        <w:r>
          <w:rPr>
            <w:noProof/>
            <w:webHidden/>
          </w:rPr>
          <w:fldChar w:fldCharType="separate"/>
        </w:r>
        <w:r>
          <w:rPr>
            <w:noProof/>
            <w:webHidden/>
          </w:rPr>
          <w:t>26</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3" w:history="1">
        <w:r w:rsidRPr="00CC7510">
          <w:rPr>
            <w:rStyle w:val="Hyperlink"/>
            <w:noProof/>
          </w:rPr>
          <w:t>35. Council Decision amending Council Decision 2011/101/CFSP concerning restrictive measures against Zimbabwe</w:t>
        </w:r>
        <w:r>
          <w:rPr>
            <w:noProof/>
            <w:webHidden/>
          </w:rPr>
          <w:tab/>
        </w:r>
        <w:r>
          <w:rPr>
            <w:noProof/>
            <w:webHidden/>
          </w:rPr>
          <w:fldChar w:fldCharType="begin"/>
        </w:r>
        <w:r>
          <w:rPr>
            <w:noProof/>
            <w:webHidden/>
          </w:rPr>
          <w:instrText xml:space="preserve"> PAGEREF _Toc317161523 \h </w:instrText>
        </w:r>
        <w:r>
          <w:rPr>
            <w:noProof/>
            <w:webHidden/>
          </w:rPr>
        </w:r>
        <w:r>
          <w:rPr>
            <w:noProof/>
            <w:webHidden/>
          </w:rPr>
          <w:fldChar w:fldCharType="separate"/>
        </w:r>
        <w:r>
          <w:rPr>
            <w:noProof/>
            <w:webHidden/>
          </w:rPr>
          <w:t>27</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4" w:history="1">
        <w:r w:rsidRPr="00CC7510">
          <w:rPr>
            <w:rStyle w:val="Hyperlink"/>
            <w:noProof/>
          </w:rPr>
          <w:t>36. Relations with the ACP States and the OCT = Council statement concerning the Statement of Assurance of the Court of Auditors relating to the activities of the 8th, 9th and 10th European Development Funds for the financial year 2010</w:t>
        </w:r>
        <w:r>
          <w:rPr>
            <w:noProof/>
            <w:webHidden/>
          </w:rPr>
          <w:tab/>
        </w:r>
        <w:r>
          <w:rPr>
            <w:noProof/>
            <w:webHidden/>
          </w:rPr>
          <w:fldChar w:fldCharType="begin"/>
        </w:r>
        <w:r>
          <w:rPr>
            <w:noProof/>
            <w:webHidden/>
          </w:rPr>
          <w:instrText xml:space="preserve"> PAGEREF _Toc317161524 \h </w:instrText>
        </w:r>
        <w:r>
          <w:rPr>
            <w:noProof/>
            <w:webHidden/>
          </w:rPr>
        </w:r>
        <w:r>
          <w:rPr>
            <w:noProof/>
            <w:webHidden/>
          </w:rPr>
          <w:fldChar w:fldCharType="separate"/>
        </w:r>
        <w:r>
          <w:rPr>
            <w:noProof/>
            <w:webHidden/>
          </w:rPr>
          <w:t>28</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5" w:history="1">
        <w:r w:rsidRPr="00CC7510">
          <w:rPr>
            <w:rStyle w:val="Hyperlink"/>
            <w:noProof/>
          </w:rPr>
          <w:t>37. Relations with the ACP States and the OCT= Discharge to be given to the Commission in respect of the financial management of the 8th, 9th and 10th European Development Funds (financial year 2010)</w:t>
        </w:r>
        <w:r>
          <w:rPr>
            <w:noProof/>
            <w:webHidden/>
          </w:rPr>
          <w:tab/>
        </w:r>
        <w:r>
          <w:rPr>
            <w:noProof/>
            <w:webHidden/>
          </w:rPr>
          <w:fldChar w:fldCharType="begin"/>
        </w:r>
        <w:r>
          <w:rPr>
            <w:noProof/>
            <w:webHidden/>
          </w:rPr>
          <w:instrText xml:space="preserve"> PAGEREF _Toc317161525 \h </w:instrText>
        </w:r>
        <w:r>
          <w:rPr>
            <w:noProof/>
            <w:webHidden/>
          </w:rPr>
        </w:r>
        <w:r>
          <w:rPr>
            <w:noProof/>
            <w:webHidden/>
          </w:rPr>
          <w:fldChar w:fldCharType="separate"/>
        </w:r>
        <w:r>
          <w:rPr>
            <w:noProof/>
            <w:webHidden/>
          </w:rPr>
          <w:t>29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6" w:history="1">
        <w:r w:rsidRPr="00CC7510">
          <w:rPr>
            <w:rStyle w:val="Hyperlink"/>
            <w:noProof/>
          </w:rPr>
          <w:t>38. Council Decision on adapting and extending the period of application of the appropriate measures first established by Decision 2002/148/EC concluding consultations with Zimbabwe under Article 96 of the ACP-EC Partnership Agreement</w:t>
        </w:r>
        <w:r>
          <w:rPr>
            <w:noProof/>
            <w:webHidden/>
          </w:rPr>
          <w:tab/>
        </w:r>
        <w:r>
          <w:rPr>
            <w:noProof/>
            <w:webHidden/>
          </w:rPr>
          <w:fldChar w:fldCharType="begin"/>
        </w:r>
        <w:r>
          <w:rPr>
            <w:noProof/>
            <w:webHidden/>
          </w:rPr>
          <w:instrText xml:space="preserve"> PAGEREF _Toc317161526 \h </w:instrText>
        </w:r>
        <w:r>
          <w:rPr>
            <w:noProof/>
            <w:webHidden/>
          </w:rPr>
        </w:r>
        <w:r>
          <w:rPr>
            <w:noProof/>
            <w:webHidden/>
          </w:rPr>
          <w:fldChar w:fldCharType="separate"/>
        </w:r>
        <w:r>
          <w:rPr>
            <w:noProof/>
            <w:webHidden/>
          </w:rPr>
          <w:t>29</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7" w:history="1">
        <w:r w:rsidRPr="00CC7510">
          <w:rPr>
            <w:rStyle w:val="Hyperlink"/>
            <w:noProof/>
          </w:rPr>
          <w:t>39. Updated Common Military List of the European Union (equipment covered by the Council Common Position 2008/944/CFSP defining common rules governing the control of exports of military technology and equipment) = Adoption</w:t>
        </w:r>
        <w:r>
          <w:rPr>
            <w:noProof/>
            <w:webHidden/>
          </w:rPr>
          <w:tab/>
        </w:r>
        <w:r>
          <w:rPr>
            <w:noProof/>
            <w:webHidden/>
          </w:rPr>
          <w:fldChar w:fldCharType="begin"/>
        </w:r>
        <w:r>
          <w:rPr>
            <w:noProof/>
            <w:webHidden/>
          </w:rPr>
          <w:instrText xml:space="preserve"> PAGEREF _Toc317161527 \h </w:instrText>
        </w:r>
        <w:r>
          <w:rPr>
            <w:noProof/>
            <w:webHidden/>
          </w:rPr>
        </w:r>
        <w:r>
          <w:rPr>
            <w:noProof/>
            <w:webHidden/>
          </w:rPr>
          <w:fldChar w:fldCharType="separate"/>
        </w:r>
        <w:r>
          <w:rPr>
            <w:noProof/>
            <w:webHidden/>
          </w:rPr>
          <w:t>30</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8" w:history="1">
        <w:r w:rsidRPr="00CC7510">
          <w:rPr>
            <w:rStyle w:val="Hyperlink"/>
            <w:noProof/>
          </w:rPr>
          <w:t>40. Twelfth Progress Report on the implementation of the EU Strategy to Combat Illicit Accumulation and Trafficking of SALW and their Ammunition (2011/II)</w:t>
        </w:r>
        <w:r>
          <w:rPr>
            <w:noProof/>
            <w:webHidden/>
          </w:rPr>
          <w:tab/>
        </w:r>
        <w:r>
          <w:rPr>
            <w:noProof/>
            <w:webHidden/>
          </w:rPr>
          <w:fldChar w:fldCharType="begin"/>
        </w:r>
        <w:r>
          <w:rPr>
            <w:noProof/>
            <w:webHidden/>
          </w:rPr>
          <w:instrText xml:space="preserve"> PAGEREF _Toc317161528 \h </w:instrText>
        </w:r>
        <w:r>
          <w:rPr>
            <w:noProof/>
            <w:webHidden/>
          </w:rPr>
        </w:r>
        <w:r>
          <w:rPr>
            <w:noProof/>
            <w:webHidden/>
          </w:rPr>
          <w:fldChar w:fldCharType="separate"/>
        </w:r>
        <w:r>
          <w:rPr>
            <w:noProof/>
            <w:webHidden/>
          </w:rPr>
          <w:t>31</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29" w:history="1">
        <w:r w:rsidRPr="00CC7510">
          <w:rPr>
            <w:rStyle w:val="Hyperlink"/>
            <w:noProof/>
          </w:rPr>
          <w:t>41. Six-monthly Progress Report on the implementation of the EU Strategy against the Proliferation of Weapons of Mass Destruction (2011/II)</w:t>
        </w:r>
        <w:r>
          <w:rPr>
            <w:noProof/>
            <w:webHidden/>
          </w:rPr>
          <w:tab/>
        </w:r>
        <w:r>
          <w:rPr>
            <w:noProof/>
            <w:webHidden/>
          </w:rPr>
          <w:fldChar w:fldCharType="begin"/>
        </w:r>
        <w:r>
          <w:rPr>
            <w:noProof/>
            <w:webHidden/>
          </w:rPr>
          <w:instrText xml:space="preserve"> PAGEREF _Toc317161529 \h </w:instrText>
        </w:r>
        <w:r>
          <w:rPr>
            <w:noProof/>
            <w:webHidden/>
          </w:rPr>
        </w:r>
        <w:r>
          <w:rPr>
            <w:noProof/>
            <w:webHidden/>
          </w:rPr>
          <w:fldChar w:fldCharType="separate"/>
        </w:r>
        <w:r>
          <w:rPr>
            <w:noProof/>
            <w:webHidden/>
          </w:rPr>
          <w:t>31</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30" w:history="1">
        <w:r w:rsidRPr="00CC7510">
          <w:rPr>
            <w:rStyle w:val="Hyperlink"/>
            <w:noProof/>
          </w:rPr>
          <w:t>42. (poss.) Enlargement = Accession negotiations with Iceland- Outcome of screening on Chapter 17: Economic and Monetary Policy</w:t>
        </w:r>
        <w:r>
          <w:rPr>
            <w:noProof/>
            <w:webHidden/>
          </w:rPr>
          <w:tab/>
        </w:r>
        <w:r>
          <w:rPr>
            <w:noProof/>
            <w:webHidden/>
          </w:rPr>
          <w:fldChar w:fldCharType="begin"/>
        </w:r>
        <w:r>
          <w:rPr>
            <w:noProof/>
            <w:webHidden/>
          </w:rPr>
          <w:instrText xml:space="preserve"> PAGEREF _Toc317161530 \h </w:instrText>
        </w:r>
        <w:r>
          <w:rPr>
            <w:noProof/>
            <w:webHidden/>
          </w:rPr>
        </w:r>
        <w:r>
          <w:rPr>
            <w:noProof/>
            <w:webHidden/>
          </w:rPr>
          <w:fldChar w:fldCharType="separate"/>
        </w:r>
        <w:r>
          <w:rPr>
            <w:noProof/>
            <w:webHidden/>
          </w:rPr>
          <w:t>32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31" w:history="1">
        <w:r w:rsidRPr="00CC7510">
          <w:rPr>
            <w:rStyle w:val="Hyperlink"/>
            <w:noProof/>
          </w:rPr>
          <w:t>43. Proposal for a Council Decision on a Union position in the Joint Committee on the implementation of Article 66 of the Euro-Mediterranean Interim Association Agreement on Trade and Co-operation between the European Community, on the one part, and the Palestine Liberation Organisation (PLO) for the benefit of the Palestinian Authority of the West Bank and the Gaza strip, on the other = Adoption</w:t>
        </w:r>
        <w:r>
          <w:rPr>
            <w:noProof/>
            <w:webHidden/>
          </w:rPr>
          <w:tab/>
        </w:r>
        <w:r>
          <w:rPr>
            <w:noProof/>
            <w:webHidden/>
          </w:rPr>
          <w:fldChar w:fldCharType="begin"/>
        </w:r>
        <w:r>
          <w:rPr>
            <w:noProof/>
            <w:webHidden/>
          </w:rPr>
          <w:instrText xml:space="preserve"> PAGEREF _Toc317161531 \h </w:instrText>
        </w:r>
        <w:r>
          <w:rPr>
            <w:noProof/>
            <w:webHidden/>
          </w:rPr>
        </w:r>
        <w:r>
          <w:rPr>
            <w:noProof/>
            <w:webHidden/>
          </w:rPr>
          <w:fldChar w:fldCharType="separate"/>
        </w:r>
        <w:r>
          <w:rPr>
            <w:noProof/>
            <w:webHidden/>
          </w:rPr>
          <w:t>32</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32" w:history="1">
        <w:r w:rsidRPr="00CC7510">
          <w:rPr>
            <w:rStyle w:val="Hyperlink"/>
            <w:noProof/>
          </w:rPr>
          <w:t>44. Application of the COMIX-procedure to the debates regarding the proposed JHA Data Protection Directive and General Data Protection Regulation</w:t>
        </w:r>
        <w:r>
          <w:rPr>
            <w:noProof/>
            <w:webHidden/>
          </w:rPr>
          <w:tab/>
        </w:r>
        <w:r>
          <w:rPr>
            <w:noProof/>
            <w:webHidden/>
          </w:rPr>
          <w:fldChar w:fldCharType="begin"/>
        </w:r>
        <w:r>
          <w:rPr>
            <w:noProof/>
            <w:webHidden/>
          </w:rPr>
          <w:instrText xml:space="preserve"> PAGEREF _Toc317161532 \h </w:instrText>
        </w:r>
        <w:r>
          <w:rPr>
            <w:noProof/>
            <w:webHidden/>
          </w:rPr>
        </w:r>
        <w:r>
          <w:rPr>
            <w:noProof/>
            <w:webHidden/>
          </w:rPr>
          <w:fldChar w:fldCharType="separate"/>
        </w:r>
        <w:r>
          <w:rPr>
            <w:noProof/>
            <w:webHidden/>
          </w:rPr>
          <w:t>33</w:t>
        </w:r>
        <w:r>
          <w:rPr>
            <w:noProof/>
            <w:webHidden/>
          </w:rPr>
          <w:fldChar w:fldCharType="end"/>
        </w:r>
      </w:hyperlink>
    </w:p>
    <w:p w:rsidR="00BB0853" w:rsidRDefault="00BB0853">
      <w:pPr>
        <w:pStyle w:val="TOC2"/>
        <w:tabs>
          <w:tab w:val="right" w:leader="dot" w:pos="7644"/>
        </w:tabs>
        <w:rPr>
          <w:rFonts w:ascii="Calibri" w:hAnsi="Calibri"/>
          <w:b w:val="0"/>
          <w:bCs w:val="0"/>
          <w:noProof/>
          <w:sz w:val="22"/>
          <w:szCs w:val="22"/>
          <w:lang w:eastAsia="sv-SE"/>
        </w:rPr>
      </w:pPr>
      <w:hyperlink w:anchor="_Toc317161533" w:history="1">
        <w:r w:rsidRPr="00CC7510">
          <w:rPr>
            <w:rStyle w:val="Hyperlink"/>
            <w:noProof/>
          </w:rPr>
          <w:t>45. Schengen evaluation of France - Draft Council conclusions on the follow-up to the Schengen evaluation conducted in 2009 and 2010</w:t>
        </w:r>
        <w:r>
          <w:rPr>
            <w:noProof/>
            <w:webHidden/>
          </w:rPr>
          <w:tab/>
        </w:r>
        <w:r>
          <w:rPr>
            <w:noProof/>
            <w:webHidden/>
          </w:rPr>
          <w:fldChar w:fldCharType="begin"/>
        </w:r>
        <w:r>
          <w:rPr>
            <w:noProof/>
            <w:webHidden/>
          </w:rPr>
          <w:instrText xml:space="preserve"> PAGEREF _Toc317161533 \h </w:instrText>
        </w:r>
        <w:r>
          <w:rPr>
            <w:noProof/>
            <w:webHidden/>
          </w:rPr>
        </w:r>
        <w:r>
          <w:rPr>
            <w:noProof/>
            <w:webHidden/>
          </w:rPr>
          <w:fldChar w:fldCharType="separate"/>
        </w:r>
        <w:r>
          <w:rPr>
            <w:noProof/>
            <w:webHidden/>
          </w:rPr>
          <w:t>34</w:t>
        </w:r>
        <w:r>
          <w:rPr>
            <w:noProof/>
            <w:webHidden/>
          </w:rPr>
          <w:fldChar w:fldCharType="end"/>
        </w:r>
      </w:hyperlink>
    </w:p>
    <w:p w:rsidR="00BB0853" w:rsidRDefault="00BB0853">
      <w:pPr>
        <w:pStyle w:val="RKnormal"/>
        <w:ind w:left="0"/>
        <w:rPr>
          <w:b/>
          <w:bCs/>
        </w:rPr>
      </w:pPr>
      <w:r>
        <w:rPr>
          <w:b/>
          <w:bCs/>
        </w:rPr>
        <w:fldChar w:fldCharType="end"/>
      </w:r>
    </w:p>
    <w:p w:rsidR="00BB0853" w:rsidRDefault="00BB0853">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716148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B0853" w:rsidRDefault="00BB0853">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B0853" w:rsidRDefault="00BB0853">
      <w:pPr>
        <w:pStyle w:val="Heading1"/>
        <w:spacing w:before="0" w:after="0"/>
      </w:pPr>
      <w:r>
        <w:t xml:space="preserve"> </w:t>
      </w:r>
      <w:bookmarkStart w:id="55" w:name="Punkt"/>
      <w:bookmarkEnd w:id="55"/>
    </w:p>
    <w:p w:rsidR="00BB0853" w:rsidRDefault="00BB0853" w:rsidP="00C9119B">
      <w:pPr>
        <w:pStyle w:val="Heading1"/>
      </w:pPr>
      <w:bookmarkStart w:id="56" w:name="_Toc317161487"/>
      <w:r>
        <w:t>Troliga A-punkter inför kommande rådsmöten som godkändes vid Coreper I 2012-02-15</w:t>
      </w:r>
      <w:bookmarkEnd w:id="56"/>
    </w:p>
    <w:p w:rsidR="00BB0853" w:rsidRDefault="00BB0853">
      <w:pPr>
        <w:pStyle w:val="RKnormal"/>
        <w:tabs>
          <w:tab w:val="clear" w:pos="1843"/>
          <w:tab w:val="left" w:pos="0"/>
        </w:tabs>
        <w:ind w:left="0"/>
      </w:pPr>
      <w:r>
        <w:t xml:space="preserve">  </w:t>
      </w:r>
    </w:p>
    <w:p w:rsidR="00BB0853" w:rsidRDefault="00BB0853" w:rsidP="0078501D">
      <w:pPr>
        <w:pStyle w:val="Heading2"/>
      </w:pPr>
      <w:bookmarkStart w:id="57" w:name="_Toc317161488"/>
      <w:r>
        <w:t>1. Replies to written questions put to the Council by Members of the European Parliament (+)</w:t>
      </w:r>
      <w:bookmarkEnd w:id="57"/>
    </w:p>
    <w:p w:rsidR="00BB0853" w:rsidRPr="0078501D" w:rsidRDefault="00BB0853" w:rsidP="00C9119B">
      <w:r>
        <w:t>(a) n° E-010937/2011 put by Diogo Feio "Two-speed eurozone" (b) n° E-011121/2011 put by Jirí Maštálka "Sites of Community Importance"(c) n° E-012187/2011 put by Sonia Alfano "EP resolution on organised crime and European Parliament involvement in EU policy cycle"(d) n° E-012299/2011 put by Gerard Batten "European Arrest Warrant - competent judicial authorities" (e) n° E-012328/2011 put by Barbara Lochbihler "Visa-free regime with countries from the Western Balkans - recent developments"</w:t>
      </w:r>
    </w:p>
    <w:p w:rsidR="00BB0853" w:rsidRDefault="00BB0853">
      <w:pPr>
        <w:pStyle w:val="RKnormal"/>
        <w:tabs>
          <w:tab w:val="clear" w:pos="1843"/>
          <w:tab w:val="left" w:pos="0"/>
        </w:tabs>
        <w:ind w:left="0"/>
      </w:pPr>
    </w:p>
    <w:p w:rsidR="00BB0853" w:rsidRPr="0078501D" w:rsidRDefault="00BB0853" w:rsidP="0078501D">
      <w:r>
        <w:t>6248/12, 6231/12, 5564/12, 5550/12, 5644/12</w:t>
      </w:r>
    </w:p>
    <w:p w:rsidR="00BB0853" w:rsidRDefault="00BB0853">
      <w:pPr>
        <w:pStyle w:val="RKnormal"/>
        <w:tabs>
          <w:tab w:val="clear" w:pos="1843"/>
          <w:tab w:val="left" w:pos="0"/>
        </w:tabs>
        <w:ind w:left="0"/>
      </w:pPr>
    </w:p>
    <w:p w:rsidR="00BB0853" w:rsidRPr="0078501D" w:rsidRDefault="00BB0853" w:rsidP="0078501D">
      <w:r>
        <w:t>Ansvarigt departement: Statsrådsberedningen</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Pr="0078501D" w:rsidRDefault="00BB0853" w:rsidP="0078501D">
      <w:r>
        <w:t>Föranleder ingen annotering.</w:t>
      </w:r>
    </w:p>
    <w:p w:rsidR="00BB0853" w:rsidRDefault="00BB0853">
      <w:pPr>
        <w:pStyle w:val="RKnormal"/>
        <w:tabs>
          <w:tab w:val="clear" w:pos="1843"/>
          <w:tab w:val="left" w:pos="0"/>
        </w:tabs>
        <w:ind w:left="0"/>
      </w:pPr>
      <w:r>
        <w:t xml:space="preserve"> </w:t>
      </w:r>
    </w:p>
    <w:p w:rsidR="00BB0853" w:rsidRPr="0078501D" w:rsidRDefault="00BB0853" w:rsidP="0078501D">
      <w:pPr>
        <w:pStyle w:val="Heading2"/>
      </w:pPr>
      <w:r>
        <w:br w:type="page"/>
      </w:r>
      <w:bookmarkStart w:id="58" w:name="_Toc317161489"/>
      <w:r>
        <w:t>2. Case before the Court of Justice Case C-619/11 (Dumont de Chassart) Validity of Article 79.1 of Regulation (EEC) No 1408/71 of 14 June 1971 = Information note for the Permanent Representatives Committee (Part 1)</w:t>
      </w:r>
      <w:bookmarkEnd w:id="58"/>
    </w:p>
    <w:p w:rsidR="00BB0853" w:rsidRPr="0078501D" w:rsidRDefault="00BB0853" w:rsidP="0078501D">
      <w:r>
        <w:t>6167/12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59" w:name="_Toc317161490"/>
      <w:r>
        <w:t>3. Case before the Court of Justice of the European Union Case C-28/12 (European Commission against Council of the European Union) = Information note for the Permanent Representatives Committee (Part 1)</w:t>
      </w:r>
      <w:bookmarkEnd w:id="59"/>
    </w:p>
    <w:p w:rsidR="00BB0853" w:rsidRPr="0078501D" w:rsidRDefault="00BB0853" w:rsidP="0078501D">
      <w:r>
        <w:t>6200/12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0" w:name="_Toc317161491"/>
      <w:r>
        <w:t>4. Consumption of EAGF appropriations for the period from 16 October 2011 to 30 November 2011 = Information note for the Permanent Representatives Committee (Part 1)</w:t>
      </w:r>
      <w:bookmarkEnd w:id="60"/>
    </w:p>
    <w:p w:rsidR="00BB0853" w:rsidRPr="0078501D" w:rsidRDefault="00BB0853" w:rsidP="0078501D">
      <w:r>
        <w:t>6321/12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Informationsnot om genomförandet av budgeten för Europeiska garantifonden för jordbruket för perioden</w:t>
      </w:r>
    </w:p>
    <w:p w:rsidR="00BB0853" w:rsidRPr="0078501D" w:rsidRDefault="00BB0853" w:rsidP="0078501D">
      <w:r>
        <w:t>16 oktober 2011 till 30 november 2011.</w:t>
      </w:r>
    </w:p>
    <w:p w:rsidR="00BB0853" w:rsidRDefault="00BB0853">
      <w:pPr>
        <w:pStyle w:val="RKnormal"/>
        <w:tabs>
          <w:tab w:val="clear" w:pos="1843"/>
          <w:tab w:val="left" w:pos="0"/>
        </w:tabs>
        <w:ind w:left="0"/>
      </w:pPr>
      <w:r>
        <w:t xml:space="preserve"> </w:t>
      </w:r>
    </w:p>
    <w:p w:rsidR="00BB0853" w:rsidRPr="0078501D" w:rsidRDefault="00BB0853" w:rsidP="0078501D">
      <w:pPr>
        <w:pStyle w:val="Heading2"/>
      </w:pPr>
      <w:bookmarkStart w:id="61" w:name="_Toc317161492"/>
      <w:r>
        <w:t>5. Governing Board of the European Agency for Safety and Health at Work Appointment of Mr Jan BATEN, Belgian member, in place of Mr Willy IMBRECHTS, who has resigned = Adoption</w:t>
      </w:r>
      <w:bookmarkEnd w:id="61"/>
    </w:p>
    <w:p w:rsidR="00BB0853" w:rsidRPr="0078501D" w:rsidRDefault="00BB0853" w:rsidP="0078501D">
      <w:r>
        <w:t>6020/12</w:t>
      </w:r>
    </w:p>
    <w:p w:rsidR="00BB0853" w:rsidRDefault="00BB0853">
      <w:pPr>
        <w:pStyle w:val="RKnormal"/>
        <w:tabs>
          <w:tab w:val="clear" w:pos="1843"/>
          <w:tab w:val="left" w:pos="0"/>
        </w:tabs>
        <w:ind w:left="0"/>
      </w:pPr>
    </w:p>
    <w:p w:rsidR="00BB0853" w:rsidRPr="0078501D" w:rsidRDefault="00BB0853" w:rsidP="0078501D">
      <w:r>
        <w:t>Ansvarigt departement: Arbetsmarknadsdepartementet</w:t>
      </w:r>
    </w:p>
    <w:p w:rsidR="00BB0853" w:rsidRDefault="00BB0853">
      <w:pPr>
        <w:pStyle w:val="RKnormal"/>
        <w:tabs>
          <w:tab w:val="clear" w:pos="1843"/>
          <w:tab w:val="left" w:pos="0"/>
        </w:tabs>
        <w:ind w:left="0"/>
      </w:pPr>
    </w:p>
    <w:p w:rsidR="00BB0853" w:rsidRPr="0078501D" w:rsidRDefault="00BB0853" w:rsidP="0078501D">
      <w:r>
        <w:t>Ansvarigt statsråd: Hillevi Engström</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2" w:name="_Toc317161493"/>
      <w:r>
        <w:t>6. Governing Board of the European Agency for Safety and Health at Work Appointment of Ms Véronique CRUTZEN, Belgian alternate member, in place of Mr Christian DENEVE, who has resigned = Adoption</w:t>
      </w:r>
      <w:bookmarkEnd w:id="62"/>
    </w:p>
    <w:p w:rsidR="00BB0853" w:rsidRPr="0078501D" w:rsidRDefault="00BB0853" w:rsidP="0078501D">
      <w:r>
        <w:t>6021/12</w:t>
      </w:r>
    </w:p>
    <w:p w:rsidR="00BB0853" w:rsidRDefault="00BB0853">
      <w:pPr>
        <w:pStyle w:val="RKnormal"/>
        <w:tabs>
          <w:tab w:val="clear" w:pos="1843"/>
          <w:tab w:val="left" w:pos="0"/>
        </w:tabs>
        <w:ind w:left="0"/>
      </w:pPr>
    </w:p>
    <w:p w:rsidR="00BB0853" w:rsidRPr="0078501D" w:rsidRDefault="00BB0853" w:rsidP="0078501D">
      <w:r>
        <w:t>Ansvarigt departement: Arbetsmarknadsdepartementet</w:t>
      </w:r>
    </w:p>
    <w:p w:rsidR="00BB0853" w:rsidRDefault="00BB0853">
      <w:pPr>
        <w:pStyle w:val="RKnormal"/>
        <w:tabs>
          <w:tab w:val="clear" w:pos="1843"/>
          <w:tab w:val="left" w:pos="0"/>
        </w:tabs>
        <w:ind w:left="0"/>
      </w:pPr>
    </w:p>
    <w:p w:rsidR="00BB0853" w:rsidRPr="0078501D" w:rsidRDefault="00BB0853" w:rsidP="0078501D">
      <w:r>
        <w:t>Ansvarigt statsråd: Hillevi Engström</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3" w:name="_Toc317161494"/>
      <w:r>
        <w:t>7. Advisory Committee on Safety and Health at Work Appointment of Mr Jan BATEN, Belgian alternate member, in place of Mr Willy IMBRECHTS, who has resigned = Adoption</w:t>
      </w:r>
      <w:bookmarkEnd w:id="63"/>
    </w:p>
    <w:p w:rsidR="00BB0853" w:rsidRPr="0078501D" w:rsidRDefault="00BB0853" w:rsidP="0078501D">
      <w:r>
        <w:t>6022/12</w:t>
      </w:r>
    </w:p>
    <w:p w:rsidR="00BB0853" w:rsidRDefault="00BB0853">
      <w:pPr>
        <w:pStyle w:val="RKnormal"/>
        <w:tabs>
          <w:tab w:val="clear" w:pos="1843"/>
          <w:tab w:val="left" w:pos="0"/>
        </w:tabs>
        <w:ind w:left="0"/>
      </w:pPr>
    </w:p>
    <w:p w:rsidR="00BB0853" w:rsidRPr="0078501D" w:rsidRDefault="00BB0853" w:rsidP="0078501D">
      <w:r>
        <w:t>Ansvarigt departement: Arbetsmarknadsdepartementet</w:t>
      </w:r>
    </w:p>
    <w:p w:rsidR="00BB0853" w:rsidRDefault="00BB0853">
      <w:pPr>
        <w:pStyle w:val="RKnormal"/>
        <w:tabs>
          <w:tab w:val="clear" w:pos="1843"/>
          <w:tab w:val="left" w:pos="0"/>
        </w:tabs>
        <w:ind w:left="0"/>
      </w:pPr>
    </w:p>
    <w:p w:rsidR="00BB0853" w:rsidRPr="0078501D" w:rsidRDefault="00BB0853" w:rsidP="0078501D">
      <w:r>
        <w:t>Ansvarigt statsråd: Hillevi Engström</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4" w:name="_Toc317161495"/>
      <w:r>
        <w:t>8. Governing Board of the European Foundation for the Improvement of Living and Working Conditions Appointment of Mr Alain PIETTE, Belgian alternate member, in place of Mr Jan BATEN, who has resigned = Adoption</w:t>
      </w:r>
      <w:bookmarkEnd w:id="64"/>
    </w:p>
    <w:p w:rsidR="00BB0853" w:rsidRPr="0078501D" w:rsidRDefault="00BB0853" w:rsidP="0078501D">
      <w:r>
        <w:t>6023/12</w:t>
      </w:r>
    </w:p>
    <w:p w:rsidR="00BB0853" w:rsidRDefault="00BB0853">
      <w:pPr>
        <w:pStyle w:val="RKnormal"/>
        <w:tabs>
          <w:tab w:val="clear" w:pos="1843"/>
          <w:tab w:val="left" w:pos="0"/>
        </w:tabs>
        <w:ind w:left="0"/>
      </w:pPr>
    </w:p>
    <w:p w:rsidR="00BB0853" w:rsidRPr="0078501D" w:rsidRDefault="00BB0853" w:rsidP="0078501D">
      <w:r>
        <w:t>Ansvarigt departement: Arbetsmarknadsdepartementet</w:t>
      </w:r>
    </w:p>
    <w:p w:rsidR="00BB0853" w:rsidRDefault="00BB0853">
      <w:pPr>
        <w:pStyle w:val="RKnormal"/>
        <w:tabs>
          <w:tab w:val="clear" w:pos="1843"/>
          <w:tab w:val="left" w:pos="0"/>
        </w:tabs>
        <w:ind w:left="0"/>
      </w:pPr>
    </w:p>
    <w:p w:rsidR="00BB0853" w:rsidRPr="0078501D" w:rsidRDefault="00BB0853" w:rsidP="0078501D">
      <w:r>
        <w:t>Ansvarigt statsråd: Hillevi Engström</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5" w:name="_Toc317161496"/>
      <w:r>
        <w:t>9. Advisory Committee on Freedom of Movement for Workers Appointment of Ms Jenni KARJALAINEN, Finnish alternate member, in place of Ms Liisa FOLKERSMA, who has resigned = Adoption</w:t>
      </w:r>
      <w:bookmarkEnd w:id="65"/>
    </w:p>
    <w:p w:rsidR="00BB0853" w:rsidRPr="0078501D" w:rsidRDefault="00BB0853" w:rsidP="0078501D">
      <w:r>
        <w:t>6045/12</w:t>
      </w:r>
    </w:p>
    <w:p w:rsidR="00BB0853" w:rsidRDefault="00BB0853">
      <w:pPr>
        <w:pStyle w:val="RKnormal"/>
        <w:tabs>
          <w:tab w:val="clear" w:pos="1843"/>
          <w:tab w:val="left" w:pos="0"/>
        </w:tabs>
        <w:ind w:left="0"/>
      </w:pPr>
    </w:p>
    <w:p w:rsidR="00BB0853" w:rsidRPr="0078501D" w:rsidRDefault="00BB0853" w:rsidP="0078501D">
      <w:r>
        <w:t>Ansvarigt departement: Arbetsmarknadsdepartementet</w:t>
      </w:r>
    </w:p>
    <w:p w:rsidR="00BB0853" w:rsidRDefault="00BB0853">
      <w:pPr>
        <w:pStyle w:val="RKnormal"/>
        <w:tabs>
          <w:tab w:val="clear" w:pos="1843"/>
          <w:tab w:val="left" w:pos="0"/>
        </w:tabs>
        <w:ind w:left="0"/>
      </w:pPr>
    </w:p>
    <w:p w:rsidR="00BB0853" w:rsidRPr="0078501D" w:rsidRDefault="00BB0853" w:rsidP="0078501D">
      <w:r>
        <w:t>Ansvarigt statsråd: Hillevi Engström</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66" w:name="_Toc317161497"/>
      <w:r>
        <w:t>10. Proposal for a Council Decision on the conclusion of a Voluntary Partnership Agreement between the European Union and the Central African Republic on forest law enforcement, governance and trade in timber and derived products to the European Union (FLEGT) = Request by the Council for the consent of the European Parliament</w:t>
      </w:r>
      <w:bookmarkEnd w:id="66"/>
    </w:p>
    <w:p w:rsidR="00BB0853" w:rsidRPr="0078501D" w:rsidRDefault="00BB0853" w:rsidP="0078501D">
      <w:r>
        <w:t>6357/12</w:t>
      </w:r>
    </w:p>
    <w:p w:rsidR="00BB0853" w:rsidRDefault="00BB0853">
      <w:pPr>
        <w:pStyle w:val="RKnormal"/>
        <w:tabs>
          <w:tab w:val="clear" w:pos="1843"/>
          <w:tab w:val="left" w:pos="0"/>
        </w:tabs>
        <w:ind w:left="0"/>
      </w:pPr>
    </w:p>
    <w:p w:rsidR="00BB0853" w:rsidRPr="0078501D" w:rsidRDefault="00BB0853" w:rsidP="0078501D">
      <w:r>
        <w:t>Ansvarigt departement: Landsbygdsdepartementet</w:t>
      </w:r>
    </w:p>
    <w:p w:rsidR="00BB0853" w:rsidRDefault="00BB0853">
      <w:pPr>
        <w:pStyle w:val="RKnormal"/>
        <w:tabs>
          <w:tab w:val="clear" w:pos="1843"/>
          <w:tab w:val="left" w:pos="0"/>
        </w:tabs>
        <w:ind w:left="0"/>
      </w:pPr>
    </w:p>
    <w:p w:rsidR="00BB0853" w:rsidRPr="0078501D" w:rsidRDefault="00BB0853" w:rsidP="0078501D">
      <w:r>
        <w:t>Ansvarigt statsråd: Eskil Erlandsson</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 xml:space="preserve">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BB0853" w:rsidRDefault="00BB0853" w:rsidP="0078501D"/>
    <w:p w:rsidR="00BB0853" w:rsidRDefault="00BB0853" w:rsidP="0078501D">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gemenskapen från sådana partnerländerna. Avtalet med Centralafrikanska republiken är det femte partnerskapsavtalet. Förhandlingarna förs alltjämt med ett antal andra utvecklingsländer. </w:t>
      </w:r>
    </w:p>
    <w:p w:rsidR="00BB0853" w:rsidRDefault="00BB0853" w:rsidP="0078501D"/>
    <w:p w:rsidR="00BB0853" w:rsidRDefault="00BB0853" w:rsidP="0078501D">
      <w:r>
        <w:t>De frivilliga partnerskapsavtalen beslutas sedan ikraftträdandet av EUF av rådet i två steg, varav det första handlar om parternas undertecknande. Avtalet undertecknades 28 november 2011 och nu begär rådet Europaparlamentets godkännande för att ingå avtalet.</w:t>
      </w:r>
    </w:p>
    <w:p w:rsidR="00BB0853" w:rsidRDefault="00BB0853" w:rsidP="0078501D"/>
    <w:p w:rsidR="00BB0853" w:rsidRDefault="00BB0853" w:rsidP="00267A54">
      <w:r>
        <w:t xml:space="preserve">SE stöder att rådet översänder utkastet till beslut om ingående av frivilligt partnerskapsavtal med Centralafrikanska republiken till Europaparlamentet för dess samtycke, i enlighet med dok. 14034/11. </w:t>
      </w:r>
    </w:p>
    <w:p w:rsidR="00BB0853" w:rsidRPr="0078501D" w:rsidRDefault="00BB0853" w:rsidP="0078501D">
      <w:pPr>
        <w:pStyle w:val="Heading2"/>
      </w:pPr>
      <w:bookmarkStart w:id="67" w:name="_Toc317161498"/>
      <w:r>
        <w:t>11. European Heritage Label Appointment by the Council of four members of the European panel for the European Union action for the European Heritage Label = Adoption</w:t>
      </w:r>
      <w:bookmarkEnd w:id="67"/>
    </w:p>
    <w:p w:rsidR="00BB0853" w:rsidRPr="0078501D" w:rsidRDefault="00BB0853" w:rsidP="0078501D">
      <w:r>
        <w:t>6274/12</w:t>
      </w:r>
    </w:p>
    <w:p w:rsidR="00BB0853" w:rsidRDefault="00BB0853">
      <w:pPr>
        <w:pStyle w:val="RKnormal"/>
        <w:tabs>
          <w:tab w:val="clear" w:pos="1843"/>
          <w:tab w:val="left" w:pos="0"/>
        </w:tabs>
        <w:ind w:left="0"/>
      </w:pPr>
    </w:p>
    <w:p w:rsidR="00BB0853" w:rsidRPr="0078501D" w:rsidRDefault="00BB0853" w:rsidP="0078501D">
      <w:r>
        <w:t>Ansvarigt departement: Kulturdepartementet</w:t>
      </w:r>
    </w:p>
    <w:p w:rsidR="00BB0853" w:rsidRDefault="00BB0853">
      <w:pPr>
        <w:pStyle w:val="RKnormal"/>
        <w:tabs>
          <w:tab w:val="clear" w:pos="1843"/>
          <w:tab w:val="left" w:pos="0"/>
        </w:tabs>
        <w:ind w:left="0"/>
      </w:pPr>
    </w:p>
    <w:p w:rsidR="00BB0853" w:rsidRPr="0078501D" w:rsidRDefault="00BB0853" w:rsidP="0078501D">
      <w:r>
        <w:t>Ansvarigt statsråd: Lena Adelsohn Liljeroth</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267A54">
      <w:r>
        <w:t xml:space="preserve">Enligt artikel 8 i Europaparlamentets och rådets beslut nr 1194/2011/EU om inrättandet av Europeiska unionens insats för det europeiska kulturarvsmärket ska en europeisk jury anordnas, där fyra av dess ledamöter ska utses av rådet. Enligt rådets nr beslut 2011/831/EU ska experterna i juryn väljas genom en lottdragning som anordnas av kulturkommittén. Vid kulturkommitténs möte den 7 februari 2012 anordnades en sådan lottdragning  är följande kandidater valdes:  Francisco Prado-Vilar (Spanien), Csilla Hegedüs (Rumänien), Irma Grigaitiené (Litauen), Michel Thomas-Penette (Luxemburg). Ledamöterna ska sitta i juryn fram till 2015. SE har inga invändningar mot förslaget.  </w:t>
      </w:r>
    </w:p>
    <w:p w:rsidR="00BB0853" w:rsidRPr="0078501D" w:rsidRDefault="00BB0853" w:rsidP="0078501D">
      <w:pPr>
        <w:pStyle w:val="Heading2"/>
      </w:pPr>
      <w:bookmarkStart w:id="68" w:name="_Toc317161499"/>
      <w:r>
        <w:t>12. Commission Regulation (EU) No .../.. of XXX amending Regulation (EC) No 62/2006 concerning the technical specification for interoperability relating to the telematic applications for freight subsystem of the trans-European conventional rail system = Decision not to oppose the adoption</w:t>
      </w:r>
      <w:bookmarkEnd w:id="68"/>
    </w:p>
    <w:p w:rsidR="00BB0853" w:rsidRPr="0078501D" w:rsidRDefault="00BB0853" w:rsidP="0078501D">
      <w:r>
        <w:t>5184/12, 6173/12</w:t>
      </w:r>
    </w:p>
    <w:p w:rsidR="00BB0853" w:rsidRDefault="00BB0853">
      <w:pPr>
        <w:pStyle w:val="RKnormal"/>
        <w:tabs>
          <w:tab w:val="clear" w:pos="1843"/>
          <w:tab w:val="left" w:pos="0"/>
        </w:tabs>
        <w:ind w:left="0"/>
      </w:pPr>
    </w:p>
    <w:p w:rsidR="00BB0853" w:rsidRPr="0078501D" w:rsidRDefault="00BB0853" w:rsidP="0078501D">
      <w:r>
        <w:t>Ansvarigt departement: Näringsdepartementet</w:t>
      </w:r>
    </w:p>
    <w:p w:rsidR="00BB0853" w:rsidRDefault="00BB0853">
      <w:pPr>
        <w:pStyle w:val="RKnormal"/>
        <w:tabs>
          <w:tab w:val="clear" w:pos="1843"/>
          <w:tab w:val="left" w:pos="0"/>
        </w:tabs>
        <w:ind w:left="0"/>
      </w:pPr>
    </w:p>
    <w:p w:rsidR="00BB0853" w:rsidRPr="0078501D" w:rsidRDefault="00BB0853" w:rsidP="0078501D">
      <w:r>
        <w:t>Ansvarigt statsråd: Catharina Elmsäter Svärd</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Kommissionen har beslutat anta förordningen om ändring av förordning (EG) nr 62/2006 om teknisk specifikation för driftskompatibilitet (TSD) avseende delsystemet Telematikapplikationer för godstrafik i det transeuropeiska järnvägssystemet för konventionella tåg. Beslutet har föregåtts av behandling i den s.k. driftskompatibilitets- och säkerhetskommittén, som i november 2011 enhälligt röstade för att kommissionen skulle besluta att anta förslaget. Den rättsliga grunden är artikel 6.1 i direktiv 2008/57/EG om driftskompatibiliteten hos järnvägssystemet inom gemenskapen och förordningen har baserats på en rekommendation från den Europeiska järnvägsbyrån.</w:t>
      </w:r>
    </w:p>
    <w:p w:rsidR="00BB0853" w:rsidRDefault="00BB0853" w:rsidP="0078501D"/>
    <w:p w:rsidR="00BB0853" w:rsidRDefault="00BB0853" w:rsidP="0078501D">
      <w:r>
        <w:t xml:space="preserve">Syftet med förslaget är tvåfaldigt. För det första att ändra ett antal delspecifikationer i TSD telematikapplikationer för godstrafik i det transeuropeiska järnvägssystemet för konventionella tåg (TSD TAF), som avser krav på struktur och tekniska gränssnitt för de datasystem järnvägssektorns aktörer använder inom ramen för sin verksamhet. Under det hittills genomförda implementeringsarbetet har ett flertal av dessa delspecifikationer visat sig vara bristfälliga. För det andra syftar förslaget till att försöka få fart på det hittills tröga genomförandet av TSD TAF. Genomförandearbetet för de berörda enskilda marknadsaktörerna har hittills vilat på frivillighetens grund och förslaget innehåller ingen ändring i denna del. </w:t>
      </w:r>
    </w:p>
    <w:p w:rsidR="00BB0853" w:rsidRDefault="00BB0853" w:rsidP="0078501D"/>
    <w:p w:rsidR="00BB0853" w:rsidRDefault="00BB0853" w:rsidP="00267A54">
      <w:r>
        <w:t xml:space="preserve">Det sistnämnda syftet har motiverat de delar i förslaget som specificerar ny struktur och nya tidsramar för den branschbaserade genomförandeorganisation som ansvarar för att järnvägssektorns aktörer successivt och samordnat anpassar sina datasystem till TSD TAF. Strukturen ska bl a. kompletteras med av medlemsstaterna utsedda s.k. nationella kontaktpunkter. Dessa ska följa upp genomförandearbetet och från de enskilda berörda aktörerna motta uppgifter om när och på vilket sätt de avser att ändra sina datasystem, så att dessa uppfyller TSD TAF. Kontaktpunkten ska sedan vidarebefordra dessa uppgifter till den särskilda styrkommitté som ansvarar för att upprätta en gemensam europeisk genomförandeplan. När väl en sådan upprättats, eller om genomförandearbetet fortsätter att gå trögt, är det i dagsläget en öppen fråga huruvida kommissionen avser att återkomma med förslag om ytterligare förändringar av TSD TAF i syfte att göra uppfyllandet av dess krav och specifikationer obligatoriskt för de enskilda marknadsaktörerna.   </w:t>
      </w:r>
    </w:p>
    <w:p w:rsidR="00BB0853" w:rsidRPr="0078501D" w:rsidRDefault="00BB0853" w:rsidP="0078501D">
      <w:pPr>
        <w:pStyle w:val="Heading2"/>
      </w:pPr>
      <w:bookmarkStart w:id="69" w:name="_Toc317161500"/>
      <w:r>
        <w:t>13. Commission Decision of XXX on the second set of common safety targets as regards the rail system= Decision not to oppose the adoption</w:t>
      </w:r>
      <w:bookmarkEnd w:id="69"/>
    </w:p>
    <w:p w:rsidR="00BB0853" w:rsidRPr="0078501D" w:rsidRDefault="00BB0853" w:rsidP="0078501D">
      <w:r>
        <w:t>5313/12, 6177/12</w:t>
      </w:r>
    </w:p>
    <w:p w:rsidR="00BB0853" w:rsidRDefault="00BB0853">
      <w:pPr>
        <w:pStyle w:val="RKnormal"/>
        <w:tabs>
          <w:tab w:val="clear" w:pos="1843"/>
          <w:tab w:val="left" w:pos="0"/>
        </w:tabs>
        <w:ind w:left="0"/>
      </w:pPr>
    </w:p>
    <w:p w:rsidR="00BB0853" w:rsidRPr="0078501D" w:rsidRDefault="00BB0853" w:rsidP="0078501D">
      <w:r>
        <w:t>Ansvarigt departement: Näringsdepartementet</w:t>
      </w:r>
    </w:p>
    <w:p w:rsidR="00BB0853" w:rsidRDefault="00BB0853">
      <w:pPr>
        <w:pStyle w:val="RKnormal"/>
        <w:tabs>
          <w:tab w:val="clear" w:pos="1843"/>
          <w:tab w:val="left" w:pos="0"/>
        </w:tabs>
        <w:ind w:left="0"/>
      </w:pPr>
    </w:p>
    <w:p w:rsidR="00BB0853" w:rsidRPr="0078501D" w:rsidRDefault="00BB0853" w:rsidP="0078501D">
      <w:r>
        <w:t>Ansvarigt statsråd: Catharina Elmsäter Svärd</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Kommissionen har antagit ett beslut om den andra uppsättningen gemensamma säkerhetsmål för järnvägssystemet. Beslutet har föregåtts av behandling i den s.k. driftskompatibilitets- och säkerhetskommittén, som i november 2011 enhälligt röstade för att kommissionen skulle besluta att anta förslaget. Den rättsliga grunden för beslutet är artikel 7.3 i det s.k. järnvägssäkerhetsdirektivet (2004/49/EG) och det har baserats på en rekommendation från den Europeiska järnvägsbyrån.</w:t>
      </w:r>
    </w:p>
    <w:p w:rsidR="00BB0853" w:rsidRDefault="00BB0853" w:rsidP="0078501D"/>
    <w:p w:rsidR="00BB0853" w:rsidRDefault="00BB0853" w:rsidP="0078501D">
      <w:r>
        <w:t xml:space="preserve">Innebörden av förslaget är att ett antal nya gemensamma säkerhetsmål fastställs. Dessa kommer att ersätta de nu gällande. Syftet bakom de gemensamma säkerhetsmålen är liksom tidigare att ange de högsta tolerabla risknivåer avseende sex s.k. järnvägsriskkategorier som varje medlemsstat måste hålla sig under. Järnvägsriskkategorierna avser t ex. antal årligen dödade och skadade passagerare per miljoner tåg- respektive passagerarkilometer. För andra kategorier beräknas risknivån på andra sätt, t ex antalet dödade och skadade järnvägsanställda per miljoner tågkilometer, antal dödade och skadade plankorsningstrafikanter varje år per milliarder tågkilometer gånger antal plankorsningar etc. </w:t>
      </w:r>
    </w:p>
    <w:p w:rsidR="00BB0853" w:rsidRDefault="00BB0853" w:rsidP="0078501D"/>
    <w:p w:rsidR="00BB0853" w:rsidRDefault="00BB0853" w:rsidP="0078501D">
      <w:r>
        <w:t xml:space="preserve">De gemensamma säkerhetsmålen har liksom tidigare beräknats med utgångspunkt från särskilda s.k. nationella referensvärden och uttrycker ett slags vägt genomsnitt av dessa. Dessa nationella referensvärden är också nya och har beräknats på grundval av den olycksstatistik medlemsstaterna rapporterat in mellan 2004 och 2009. De uttrycker dock de tolererbara riskerna för de olika järnvägsriskkategorierna i en annan skala avseende tåg- och passagerarkilometer (miljarder istället för miljoner) än den som används i de gemensamma säkerhetsmålen. Jämförelser av de i bilagan till beslutet angivna nationella referensvärdena med de gemensamma säkerhetsmålen kräver därför viss omräkning. </w:t>
      </w:r>
    </w:p>
    <w:p w:rsidR="00BB0853" w:rsidRDefault="00BB0853" w:rsidP="0078501D"/>
    <w:p w:rsidR="00BB0853" w:rsidRDefault="00BB0853" w:rsidP="00267A54">
      <w:r>
        <w:t xml:space="preserve">Medlemsstater vars nationella referensvärden för en eller flera av de sex järnvägsriskkategorierna överstiger motsvarande kategori i de gemensamma säkerhetsmålen är skyldigt att vidta åtgärder för att sänka det nationella referensvärdet till en nivå som understiger det gemensamma säkerhetsmålet ifråga. Enligt Transportstyrelsen, som deltagit i den Europeiska järnvägsbyråns beredningsarbete och som jämfört de svenska nationella referensvärdena med de gemensamma säkerhetsmålen, får beslutet inga praktiska konsekvenser för Sverige. Skälet är att de fastställda svenska nationella referensvärdena ligger långt under de risknivåer som uttrycks i de gemensamma säkerhetsmålen.  </w:t>
      </w:r>
    </w:p>
    <w:p w:rsidR="00BB0853" w:rsidRPr="0078501D" w:rsidRDefault="00BB0853" w:rsidP="0078501D">
      <w:pPr>
        <w:pStyle w:val="Heading2"/>
      </w:pPr>
      <w:bookmarkStart w:id="70" w:name="_Toc317161501"/>
      <w:r>
        <w:t>14. Council Decision on the position to be taken by the European Union concerning the adoption of a Decision by the Joint Committee of the Convention of 20 May 1987 on a common transit procedure and a Decision by the Joint Committee of the Convention of 20 May 1987 on the simplification of formalities in trade of goods concerning an invitation to Croatia and Turkey to accede to these Conventions = Adoption</w:t>
      </w:r>
      <w:bookmarkEnd w:id="70"/>
    </w:p>
    <w:p w:rsidR="00BB0853" w:rsidRPr="0078501D" w:rsidRDefault="00BB0853" w:rsidP="0078501D">
      <w:r>
        <w:t>5483/12, 5484/12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Ewa Björling</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 xml:space="preserve">Konventionerna om gemensamma transitprocedurer samt konventionen om förenkling av for-maliteter vid handel med varor syftar till förenklingar av den gränsöverskridande handeln. Kon-ventionerna beslutades redan år 1987 och omfattar nu EU samt Norge, Schweiz och Island. Då den gränsöverskridande handeln har ökat i betydelse finns behov av att ytterligare länder med betydenade handel med de nu fördragsslutande parterna omfattas av konventionerna. Analyser har gjorts inom EU och det har konstaterats, att Kroatien och Turkiet uppfyller de krav som ställs i konventionerna, bl.a. att kunna anpassa IT-lösningar till de system som används i kontakterna mellan de fördragsslutande parterna. </w:t>
      </w:r>
    </w:p>
    <w:p w:rsidR="00BB0853" w:rsidRDefault="00BB0853" w:rsidP="00267A54"/>
    <w:p w:rsidR="00BB0853" w:rsidRDefault="00BB0853" w:rsidP="00267A54">
      <w:r>
        <w:t xml:space="preserve">Mot denna bakgrund lämnar SE ett starkt stöd till att Kroatien och Turkiet kan godkännas att ingå i konventionerna. SE stödjer därför att rådsbeslut tas för att rättsligt besluta detta, enligt den gällande proceduren mellan parterna.  </w:t>
      </w:r>
    </w:p>
    <w:p w:rsidR="00BB0853" w:rsidRPr="0078501D" w:rsidRDefault="00BB0853" w:rsidP="0078501D">
      <w:pPr>
        <w:pStyle w:val="Heading2"/>
      </w:pPr>
      <w:bookmarkStart w:id="71" w:name="_Toc317161502"/>
      <w:r>
        <w:t>15. Proposal for a Directive of the European Parliament and of the Council amending Council Directive 78/660/EEC on the annual accounts of certain types of companies as regards micro-entities (Council second reading) (Legislative deliberation + Statement) = Approval of the European Parliament's amendments</w:t>
      </w:r>
      <w:bookmarkEnd w:id="71"/>
    </w:p>
    <w:p w:rsidR="00BB0853" w:rsidRPr="0078501D" w:rsidRDefault="00BB0853" w:rsidP="0078501D">
      <w:r>
        <w:t>79/11, 6202/12</w:t>
      </w:r>
    </w:p>
    <w:p w:rsidR="00BB0853" w:rsidRDefault="00BB0853">
      <w:pPr>
        <w:pStyle w:val="RKnormal"/>
        <w:tabs>
          <w:tab w:val="clear" w:pos="1843"/>
          <w:tab w:val="left" w:pos="0"/>
        </w:tabs>
        <w:ind w:left="0"/>
      </w:pPr>
    </w:p>
    <w:p w:rsidR="00BB0853" w:rsidRPr="0078501D" w:rsidRDefault="00BB0853" w:rsidP="0078501D">
      <w:r>
        <w:t>Ansvarigt departement: Justitiedepartementet</w:t>
      </w:r>
    </w:p>
    <w:p w:rsidR="00BB0853" w:rsidRDefault="00BB0853">
      <w:pPr>
        <w:pStyle w:val="RKnormal"/>
        <w:tabs>
          <w:tab w:val="clear" w:pos="1843"/>
          <w:tab w:val="left" w:pos="0"/>
        </w:tabs>
        <w:ind w:left="0"/>
      </w:pPr>
    </w:p>
    <w:p w:rsidR="00BB0853" w:rsidRPr="0078501D" w:rsidRDefault="00BB0853" w:rsidP="0078501D">
      <w:r>
        <w:t>Ansvarigt statsråd: Beatrice Ask</w:t>
      </w:r>
    </w:p>
    <w:p w:rsidR="00BB0853" w:rsidRDefault="00BB0853">
      <w:pPr>
        <w:pStyle w:val="RKnormal"/>
        <w:tabs>
          <w:tab w:val="clear" w:pos="1843"/>
          <w:tab w:val="left" w:pos="0"/>
        </w:tabs>
        <w:ind w:left="0"/>
      </w:pPr>
    </w:p>
    <w:p w:rsidR="00BB0853" w:rsidRPr="0078501D" w:rsidRDefault="00BB0853" w:rsidP="0078501D">
      <w:r>
        <w:t>Tidigare behandling vid rådsmöte: Rättsliga och inrikes frågor</w:t>
      </w:r>
    </w:p>
    <w:p w:rsidR="00BB0853" w:rsidRDefault="00BB0853">
      <w:pPr>
        <w:pStyle w:val="RKnormal"/>
        <w:tabs>
          <w:tab w:val="clear" w:pos="1843"/>
          <w:tab w:val="left" w:pos="0"/>
        </w:tabs>
        <w:ind w:left="0"/>
      </w:pPr>
    </w:p>
    <w:p w:rsidR="00BB0853" w:rsidRPr="0078501D" w:rsidRDefault="00BB0853" w:rsidP="0078501D">
      <w:r>
        <w:t>Godkänd av Coreper I den 15 februari 2012</w:t>
      </w:r>
    </w:p>
    <w:p w:rsidR="00BB0853" w:rsidRDefault="00BB0853">
      <w:pPr>
        <w:pStyle w:val="RKnormal"/>
        <w:tabs>
          <w:tab w:val="clear" w:pos="1843"/>
          <w:tab w:val="left" w:pos="0"/>
        </w:tabs>
        <w:ind w:left="0"/>
      </w:pPr>
    </w:p>
    <w:p w:rsidR="00BB0853" w:rsidRDefault="00BB0853" w:rsidP="0078501D">
      <w:r>
        <w:t xml:space="preserve">KOM överlämnade sitt förslag den 26 februari 2009 med möjlighet att undanta mikroföretag från nationella regler som grundar sig på det fjärde bolagsrättsliga direktivet och därmed upphäva eller ändra deras skyldighet att upprätta och offentliggöra årsredovisning i enlighet med de krav som direktivet ställer upp. EP behandlade förslaget i första läsningen den 10 mars 2010 och rådet fattade beslut om politisk överenskommelse den 30 maj 2011. Rådet antog sin ståndpunkt den 12 september 2011 varefter trilaterala diskussioner har förts med KOM och EP. Den 13 december antog parlamentet, i andra läsningen, ett antal ändringsförslag som återspeglar den kompromiss som uppnåtts mellan intuitionerna. KOM har yttrat sig över parlamentets ändringar den 11 januari 2012. </w:t>
      </w:r>
    </w:p>
    <w:p w:rsidR="00BB0853" w:rsidRDefault="00BB0853" w:rsidP="0078501D"/>
    <w:p w:rsidR="00BB0853" w:rsidRDefault="00BB0853" w:rsidP="0078501D">
      <w:r>
        <w:t>I förhållande till KOM förslag innebär den nu föreliggande kompromissen ett större mått av bibehållen harmonisering.</w:t>
      </w:r>
    </w:p>
    <w:p w:rsidR="00BB0853" w:rsidRPr="0078501D" w:rsidRDefault="00BB0853" w:rsidP="0078501D"/>
    <w:p w:rsidR="00BB0853" w:rsidRDefault="00BB0853" w:rsidP="00C9119B">
      <w:pPr>
        <w:pStyle w:val="UDrubrik"/>
        <w:tabs>
          <w:tab w:val="left" w:pos="1701"/>
          <w:tab w:val="left" w:pos="1985"/>
        </w:tabs>
        <w:rPr>
          <w:rFonts w:cs="Arial"/>
          <w:sz w:val="28"/>
        </w:rPr>
      </w:pPr>
    </w:p>
    <w:p w:rsidR="00BB0853" w:rsidRDefault="00BB0853" w:rsidP="00C9119B">
      <w:pPr>
        <w:pStyle w:val="Heading1"/>
      </w:pPr>
      <w:bookmarkStart w:id="72" w:name="_Toc317161503"/>
      <w:r>
        <w:t>Troliga A-punkter inför kommande rådsmöten som förväntas godkännas vid Coreper II 2012-02-16</w:t>
      </w:r>
      <w:bookmarkEnd w:id="72"/>
    </w:p>
    <w:p w:rsidR="00BB0853" w:rsidRDefault="00BB0853">
      <w:pPr>
        <w:pStyle w:val="RKnormal"/>
        <w:tabs>
          <w:tab w:val="clear" w:pos="1843"/>
          <w:tab w:val="left" w:pos="0"/>
        </w:tabs>
        <w:ind w:left="0"/>
      </w:pPr>
      <w:r>
        <w:t xml:space="preserve"> </w:t>
      </w:r>
    </w:p>
    <w:p w:rsidR="00BB0853" w:rsidRPr="0078501D" w:rsidRDefault="00BB0853" w:rsidP="0078501D">
      <w:pPr>
        <w:pStyle w:val="Heading2"/>
      </w:pPr>
      <w:bookmarkStart w:id="73" w:name="_Toc317161504"/>
      <w:r>
        <w:t>16. Case T-531/11 before the General Court = HAMAS v. Council of the European Union</w:t>
      </w:r>
      <w:bookmarkEnd w:id="73"/>
    </w:p>
    <w:p w:rsidR="00BB0853" w:rsidRPr="0078501D" w:rsidRDefault="00BB0853" w:rsidP="0078501D">
      <w:r>
        <w:t>6316/12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74" w:name="_Toc317161505"/>
      <w:r>
        <w:t>17. Case before the General Court of the European Union = Case T-633/11 Guangdong Kito Ceramics Co Ltd against the Council of the European Union</w:t>
      </w:r>
      <w:bookmarkEnd w:id="74"/>
    </w:p>
    <w:p w:rsidR="00BB0853" w:rsidRPr="0078501D" w:rsidRDefault="00BB0853" w:rsidP="0078501D">
      <w:r>
        <w:t>6193/12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267A54">
      <w:r>
        <w:t xml:space="preserve">Föranleder ingen annotering </w:t>
      </w:r>
    </w:p>
    <w:p w:rsidR="00BB0853" w:rsidRPr="0078501D" w:rsidRDefault="00BB0853" w:rsidP="0078501D">
      <w:pPr>
        <w:pStyle w:val="Heading2"/>
      </w:pPr>
      <w:bookmarkStart w:id="75" w:name="_Toc317161506"/>
      <w:r>
        <w:t>18. Case before the General Court of the European Union = Case T-6/12 Godrej Industries Limited and VVT Limited against the Council of the European Union</w:t>
      </w:r>
      <w:bookmarkEnd w:id="75"/>
    </w:p>
    <w:p w:rsidR="00BB0853" w:rsidRPr="0078501D" w:rsidRDefault="00BB0853" w:rsidP="0078501D">
      <w:r>
        <w:t>6194/12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Pr="0078501D" w:rsidRDefault="00BB0853" w:rsidP="0078501D">
      <w:r>
        <w:t>Föranleder ingen annotering</w:t>
      </w:r>
    </w:p>
    <w:p w:rsidR="00BB0853" w:rsidRDefault="00BB0853">
      <w:pPr>
        <w:pStyle w:val="RKnormal"/>
        <w:tabs>
          <w:tab w:val="clear" w:pos="1843"/>
          <w:tab w:val="left" w:pos="0"/>
        </w:tabs>
        <w:ind w:left="0"/>
      </w:pPr>
      <w:r>
        <w:t xml:space="preserve"> </w:t>
      </w:r>
    </w:p>
    <w:p w:rsidR="00BB0853" w:rsidRPr="0078501D" w:rsidRDefault="00BB0853" w:rsidP="0078501D">
      <w:pPr>
        <w:pStyle w:val="Heading2"/>
      </w:pPr>
      <w:bookmarkStart w:id="76" w:name="_Toc317161507"/>
      <w:r>
        <w:t>19. Case before the Court of Justice of the European Union = Case C-10/12 P Transnational Company "Kazchrome" AO and ENRC Marketing AG against the Council of the European Union</w:t>
      </w:r>
      <w:bookmarkEnd w:id="76"/>
    </w:p>
    <w:p w:rsidR="00BB0853" w:rsidRPr="0078501D" w:rsidRDefault="00BB0853" w:rsidP="0078501D">
      <w:r>
        <w:t>6197/12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Birgitta Ohlsson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Föranleder ingen annotering</w:t>
      </w:r>
    </w:p>
    <w:p w:rsidR="00BB0853" w:rsidRPr="0078501D" w:rsidRDefault="00BB0853" w:rsidP="0078501D">
      <w:pPr>
        <w:pStyle w:val="Heading2"/>
      </w:pPr>
      <w:bookmarkStart w:id="77" w:name="_Toc317161508"/>
      <w:r>
        <w:t>20. Transparency - Public access to documents = Confirmatory application No 25/c/01/11</w:t>
      </w:r>
      <w:bookmarkEnd w:id="77"/>
    </w:p>
    <w:p w:rsidR="00BB0853" w:rsidRPr="0078501D" w:rsidRDefault="00BB0853" w:rsidP="0078501D">
      <w:r>
        <w:t>18214/11</w:t>
      </w:r>
    </w:p>
    <w:p w:rsidR="00BB0853" w:rsidRDefault="00BB0853">
      <w:pPr>
        <w:pStyle w:val="RKnormal"/>
        <w:tabs>
          <w:tab w:val="clear" w:pos="1843"/>
          <w:tab w:val="left" w:pos="0"/>
        </w:tabs>
        <w:ind w:left="0"/>
      </w:pPr>
    </w:p>
    <w:p w:rsidR="00BB0853" w:rsidRPr="0078501D" w:rsidRDefault="00BB0853" w:rsidP="0078501D">
      <w:r>
        <w:t>Ansvarigt departement: Justitiedepartementet</w:t>
      </w:r>
    </w:p>
    <w:p w:rsidR="00BB0853" w:rsidRDefault="00BB0853">
      <w:pPr>
        <w:pStyle w:val="RKnormal"/>
        <w:tabs>
          <w:tab w:val="clear" w:pos="1843"/>
          <w:tab w:val="left" w:pos="0"/>
        </w:tabs>
        <w:ind w:left="0"/>
      </w:pPr>
    </w:p>
    <w:p w:rsidR="00BB0853" w:rsidRPr="0078501D" w:rsidRDefault="00BB0853" w:rsidP="0078501D">
      <w:r>
        <w:t>Ansvarigt statsråd: Beatrice Ask</w:t>
      </w:r>
    </w:p>
    <w:p w:rsidR="00BB0853" w:rsidRDefault="00BB0853">
      <w:pPr>
        <w:pStyle w:val="RKnormal"/>
        <w:tabs>
          <w:tab w:val="clear" w:pos="1843"/>
          <w:tab w:val="left" w:pos="0"/>
        </w:tabs>
        <w:ind w:left="0"/>
      </w:pPr>
    </w:p>
    <w:p w:rsidR="00BB0853" w:rsidRPr="0078501D" w:rsidRDefault="00BB0853" w:rsidP="0078501D">
      <w:r>
        <w:t>Tidigare behandling vid rådsmöte: Rättsliga och inrikes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Föranleder ingen annotering. </w:t>
      </w:r>
    </w:p>
    <w:p w:rsidR="00BB0853" w:rsidRPr="0078501D" w:rsidRDefault="00BB0853" w:rsidP="0078501D">
      <w:pPr>
        <w:pStyle w:val="Heading2"/>
      </w:pPr>
      <w:bookmarkStart w:id="78" w:name="_Toc317161509"/>
      <w:r>
        <w:t>21. Proposal for a Regulation of the European Parliament and of the Council on Short Selling and certain aspects of Credit Default Swaps (first reading) (LA+S) = Adoption of the legislative act PE-CONS</w:t>
      </w:r>
      <w:bookmarkEnd w:id="78"/>
    </w:p>
    <w:p w:rsidR="00BB0853" w:rsidRPr="0078501D" w:rsidRDefault="00BB0853" w:rsidP="0078501D">
      <w:r>
        <w:t>68/11, 6216/12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Peter Norman</w:t>
      </w:r>
    </w:p>
    <w:p w:rsidR="00BB0853" w:rsidRDefault="00BB0853">
      <w:pPr>
        <w:pStyle w:val="RKnormal"/>
        <w:tabs>
          <w:tab w:val="clear" w:pos="1843"/>
          <w:tab w:val="left" w:pos="0"/>
        </w:tabs>
        <w:ind w:left="0"/>
      </w:pPr>
    </w:p>
    <w:p w:rsidR="00BB0853" w:rsidRPr="0078501D" w:rsidRDefault="00BB0853" w:rsidP="0078501D">
      <w:r>
        <w:t>Tidigare behandling i EU -nämnden: 2011-05-13</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Kommissionen lade den 15 september 2010 fram förslag till en förordning om blankning och vissa aspekter av kreditswappar (CDS:er). Avsikten med förordningen är att utvidga regelverket som är tillämpligt på blankning samt öka harmoniseringen och samordningen på området. Efter genomförd trilog godkände Coreper i november 2011 ett slutligt kompromissförslag inför omröstning i EP. Översättningsarbetet är avslutat och rådet ska nu anta förordningen. </w:t>
      </w:r>
    </w:p>
    <w:p w:rsidR="00BB0853" w:rsidRDefault="00BB0853" w:rsidP="0078501D"/>
    <w:p w:rsidR="00BB0853" w:rsidRDefault="00BB0853" w:rsidP="0078501D">
      <w:r>
        <w:t xml:space="preserve">Förordningen innehåller framför allt möjlighet för tillsynsmyndigheter att förbjuda blankning i krisliknande situationer och en skyldighet för myndigheterna att samråda med varandra och med den Europeiska värdepappers- och marknadsmyndigheten (ESMA) inför sådana beslut. Även ESMA kan i vissa fall besluta om förbud mot blankning eller blankningsliknande transaktioner, att gälla över hela EU. Efter förhandlingar med Europaparlamentet innehåller förordningen även ett generellt förbud mot s.k. nakna positioner i kreditswappar som avser statspapper, där dock ”naken position” definieras snävt så att olika hedging-strategier tillåts. </w:t>
      </w:r>
    </w:p>
    <w:p w:rsidR="00BB0853" w:rsidRDefault="00BB0853" w:rsidP="0078501D"/>
    <w:p w:rsidR="00BB0853" w:rsidRDefault="00BB0853" w:rsidP="00F7789C">
      <w:r>
        <w:t xml:space="preserve">Några reservationer från andra MS tycks inte vara aktuella. UK har dock inkommit med ett uttalande om att man är orolig över att de befogenheter som ges till ESMA strider mot fördraget. </w:t>
      </w:r>
    </w:p>
    <w:p w:rsidR="00BB0853" w:rsidRPr="0078501D" w:rsidRDefault="00BB0853" w:rsidP="0078501D">
      <w:pPr>
        <w:pStyle w:val="Heading2"/>
      </w:pPr>
      <w:bookmarkStart w:id="79" w:name="_Toc317161510"/>
      <w:r>
        <w:t>22. Proposal for a Regulation of the European Parliament and of the Council amending Regulation (EC) No 428/2009 setting up a Community regime for the control of exports, transfer, brokering and transit of dual use items (first reading) (LA)a) adoption of the position of the Council in first readingb) adoption of the statement of the Council reasons</w:t>
      </w:r>
      <w:bookmarkEnd w:id="79"/>
    </w:p>
    <w:p w:rsidR="00BB0853" w:rsidRPr="0078501D" w:rsidRDefault="00BB0853" w:rsidP="0078501D">
      <w:r>
        <w:t>18144/11, 6212/12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Ewa Björling</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Pr="0078501D" w:rsidRDefault="00BB0853" w:rsidP="0078501D">
      <w:r>
        <w:t>Förslaget rör en uppdatering av bilaga I i rådets förordning 428/2009 (PDA-förordningen) i enlighet med de åtaganden EU-MS gjort i de multilaterala exportkontrollregimerna. Uppdateringarna görs kontinuerligt. Uppdateringarna har behandlats och antagits i Working Party on Dual Use Goods (WPDU). SE kan anta förslaget.</w:t>
      </w:r>
    </w:p>
    <w:p w:rsidR="00BB0853" w:rsidRDefault="00BB0853">
      <w:pPr>
        <w:pStyle w:val="RKnormal"/>
        <w:tabs>
          <w:tab w:val="clear" w:pos="1843"/>
          <w:tab w:val="left" w:pos="0"/>
        </w:tabs>
        <w:ind w:left="0"/>
      </w:pPr>
      <w:r>
        <w:t xml:space="preserve"> </w:t>
      </w:r>
    </w:p>
    <w:p w:rsidR="00BB0853" w:rsidRPr="0078501D" w:rsidRDefault="00BB0853" w:rsidP="0078501D">
      <w:pPr>
        <w:pStyle w:val="Heading2"/>
      </w:pPr>
      <w:bookmarkStart w:id="80" w:name="_Toc317161511"/>
      <w:r>
        <w:t>23. Draft Council conclusions: Climate finance - follow-up to the Durban Conference</w:t>
      </w:r>
      <w:bookmarkEnd w:id="80"/>
    </w:p>
    <w:p w:rsidR="00BB0853" w:rsidRPr="0078501D" w:rsidRDefault="00BB0853" w:rsidP="0078501D">
      <w:r>
        <w:t>6342/12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Ekofinrådet förväntas anta rådsslutsatser om internationell klimatfinansiering, med fokus på utfallet vid det internationella klimatmötet COP-17 i Durban i december 2011. </w:t>
      </w:r>
    </w:p>
    <w:p w:rsidR="00BB0853" w:rsidRDefault="00BB0853" w:rsidP="0078501D"/>
    <w:p w:rsidR="00BB0853" w:rsidRDefault="00BB0853" w:rsidP="0078501D">
      <w:r>
        <w:t>Slutsatserna välkomnar de framsteg som gjordes i Durban för att skapa en grön klimatfond som ska finansiera projekt som syftar till dels utsläppsminskningar, dels anpassning till ett förändrat klimat. Slutsatserna uppmärksammar att fonden ska katalysera både privat och offentlig klimatfinansiering. För att nå det gemensamma målet att från 2020 varje år mobilisera 100 miljarder dollar kommer ett antal möjligheter att analyseras, inklusive så kallade innovativ finansiering. Behovet av en rättvis bördefördelning bland bidragande länder betonas, liksom behovet av budgetkonsolidering i många EU-medlemsstater.</w:t>
      </w:r>
    </w:p>
    <w:p w:rsidR="00BB0853" w:rsidRDefault="00BB0853" w:rsidP="0078501D"/>
    <w:p w:rsidR="00BB0853" w:rsidRDefault="00BB0853" w:rsidP="0078501D">
      <w:r>
        <w:t>Prissättning av koldioxidutsläpp från internationell luft- och sjöfart nämns som en möjlig och betydande källa till finansiering. Kommissionen inbjuds att till juni förbereda ett papper som reflekterar kring denna fråga. Vad gäller frågan om hur intäkterna skulle kunna tas omhand understryks behovet av hänsyn till nationella budgetregler.</w:t>
      </w:r>
    </w:p>
    <w:p w:rsidR="00BB0853" w:rsidRDefault="00BB0853" w:rsidP="0078501D"/>
    <w:p w:rsidR="00BB0853" w:rsidRDefault="00BB0853" w:rsidP="00F7789C">
      <w:r>
        <w:t xml:space="preserve">Regeringen kan ställa sig bakom utkastet till slutsatser.  </w:t>
      </w:r>
    </w:p>
    <w:p w:rsidR="00BB0853" w:rsidRPr="0078501D" w:rsidRDefault="00BB0853" w:rsidP="0078501D">
      <w:pPr>
        <w:pStyle w:val="Heading2"/>
      </w:pPr>
      <w:bookmarkStart w:id="81" w:name="_Toc317161512"/>
      <w:r>
        <w:t>24. Draft Council conclusions: Economic aspects of the roadmap to a resource-efficient Europe</w:t>
      </w:r>
      <w:bookmarkEnd w:id="81"/>
    </w:p>
    <w:p w:rsidR="00BB0853" w:rsidRPr="0078501D" w:rsidRDefault="00BB0853" w:rsidP="0078501D">
      <w:r>
        <w:t>6343/12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2011-12-16</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Färdplanen är ett brett policydokument som behandlar det ömsesidiga beroendet mellan ekonomi, välfärd och naturkapital. Färdplanen betonar de ekonomiska och miljömässiga fördelar som resurseffektivitet kan ge genom att ta itu med marknadsmisslyckanden. I färdplanen anges vidare en vision för de strukturella och tekniska förändringar som behövs för att Europa på ett hållbart sätt ska växa ekonomiskt och stärka sin konkurrenskraft fram till 2050, med indikativa milstolpar för år 2020. Den lägger också fram omedelbara åtgärder - för kommissionen och medlemsstaterna - att starta processen. </w:t>
      </w:r>
    </w:p>
    <w:p w:rsidR="00BB0853" w:rsidRDefault="00BB0853" w:rsidP="0078501D"/>
    <w:p w:rsidR="00BB0853" w:rsidRDefault="00BB0853" w:rsidP="0078501D">
      <w:r>
        <w:t>Rådslutsatserna välkomnar färdplanen och dess vision om ett resurseffektivt Europa. Slutsatserna lyfter fram att åtgärder för en ökad resurseffektivitet måste vara ekonomiskt motiverade och kostnadseffektiva samt främja ekonomisk stabilitet och finansiell konsolidering. Ekonomiska styrmedel och utfasning av miljöskadliga subventioner bedöms som centrala i styrningen mot en ökad resurseffektivitet. Ekonomiska styrmedel skapar förutsättningar för att de åtgärder som vidtas av hushåll och företag är de minst kostsamma.</w:t>
      </w:r>
    </w:p>
    <w:p w:rsidR="00BB0853" w:rsidRDefault="00BB0853" w:rsidP="0078501D"/>
    <w:p w:rsidR="00BB0853" w:rsidRDefault="00BB0853" w:rsidP="0078501D">
      <w:r>
        <w:t xml:space="preserve">Inga konsekvensanalyser har gjorts för de åtgärder och milstenar som föreslås i färdplanen. I slutsatserna efterfrågas utförliga konsekvensanalyser där effekterna på hela samhällsekonomin beaktas. Kommissionen uppmanas också att integrera resurseffektivitet i konsekvensanalyser av alla relevanta politiska förslag. </w:t>
      </w:r>
    </w:p>
    <w:p w:rsidR="00BB0853" w:rsidRDefault="00BB0853" w:rsidP="0078501D"/>
    <w:p w:rsidR="00BB0853" w:rsidRDefault="00BB0853" w:rsidP="00F7789C">
      <w:r>
        <w:t xml:space="preserve">Sverige stödjer slutsatserna. </w:t>
      </w:r>
    </w:p>
    <w:p w:rsidR="00BB0853" w:rsidRPr="0078501D" w:rsidRDefault="00BB0853" w:rsidP="0078501D">
      <w:pPr>
        <w:pStyle w:val="Heading2"/>
      </w:pPr>
      <w:bookmarkStart w:id="82" w:name="_Toc317161513"/>
      <w:r>
        <w:t>25. Legal act in the excessive deficit procedure for Hungary- adoption of texts in languages not available at the time of adoption of the legal act by the Council: Council Decision establishing whether effective action has been taken by Hungary in response to the Council Recommendation of 7 July 2009</w:t>
      </w:r>
      <w:bookmarkEnd w:id="82"/>
    </w:p>
    <w:p w:rsidR="00BB0853" w:rsidRPr="0078501D" w:rsidRDefault="00BB0853" w:rsidP="0078501D">
      <w:r>
        <w:t>6101/12, 5353/12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2012-01-20</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2004 togs beslut om att Ungern befinner sig i EDP. En plan sattes upp för korrigerande till under 3 % år 2008. 2009 uppmanade rådet återigen Ungern att få situationen med ett allt för stort underskott att upphöra senast 2011. I samband med kommissionens höstprognos (2011) bedömdes dock Ungern ligga i farozonen för att inte fullgöra sina åtaganden enligt förfarandet vid alltför stora underskott. Kommissionär Olli Rehn sände ett brev till Ungerns finansminister med uppmaning att åtgärda avvikelsen från stabilitets- och tillväxtpaktens krav senast i mitten av december 2011. </w:t>
      </w:r>
    </w:p>
    <w:p w:rsidR="00BB0853" w:rsidRDefault="00BB0853" w:rsidP="0078501D"/>
    <w:p w:rsidR="00BB0853" w:rsidRDefault="00BB0853" w:rsidP="0078501D">
      <w:r>
        <w:t>Ekofin beslutade på det senaste mötet (24 januari) att Ungern inte vidtagit tillräckliga åtgärder för att komma tillrätta med sitt alltför stora underskott, eftersom de ungerska åtgärderna är av engångskaraktär och därmed inte åtgärdar det underliggande underskottet. Men då Ungern inte har euron som valuta kan sanktioner ej utdömas. För Ungern skulle ett beslut om upptrappning av underskottsförfarandet innebära att de rekommendationer man fått från rådet görs offentliga. Sverige stödjer att underskottsförfarandet trappas upp för Ungern.</w:t>
      </w:r>
    </w:p>
    <w:p w:rsidR="00BB0853" w:rsidRDefault="00BB0853" w:rsidP="0078501D"/>
    <w:p w:rsidR="00BB0853" w:rsidRDefault="00BB0853" w:rsidP="00F7789C">
      <w:r>
        <w:t xml:space="preserve">På senaste Ekofin antog rådet en ofullständig uppsättning av språkversioner rörande ett rådsbeslut om Ungern vidtagit tillräckliga åtgärder med anledning av 2009 års rekommendationer. Uppsättningen har sedan dess färdigställts med övriga officiella EU-språk och bör antas av rådet under nästa Ekofin möte den 21 februari.  </w:t>
      </w:r>
    </w:p>
    <w:p w:rsidR="00BB0853" w:rsidRPr="0078501D" w:rsidRDefault="00BB0853" w:rsidP="0078501D">
      <w:pPr>
        <w:pStyle w:val="Heading2"/>
      </w:pPr>
      <w:bookmarkStart w:id="83" w:name="_Toc317161514"/>
      <w:r>
        <w:t>26. Proposal for a Regulation of the European Parliament and of the Council on the issuance of euro coins</w:t>
      </w:r>
      <w:bookmarkEnd w:id="83"/>
    </w:p>
    <w:p w:rsidR="00BB0853" w:rsidRPr="0078501D" w:rsidRDefault="00BB0853" w:rsidP="0078501D">
      <w:r>
        <w:t>6225/12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Föranleder ingen annotering. </w:t>
      </w:r>
    </w:p>
    <w:p w:rsidR="00BB0853" w:rsidRPr="0078501D" w:rsidRDefault="00BB0853" w:rsidP="0078501D">
      <w:pPr>
        <w:pStyle w:val="Heading2"/>
      </w:pPr>
      <w:bookmarkStart w:id="84" w:name="_Toc317161515"/>
      <w:r>
        <w:t>27. Proposal for a Council Regulation amending Regulation (EC) No 975/98 of 3 May 1998 on denominations and technical specifications of euro coins intended for circulation</w:t>
      </w:r>
      <w:bookmarkEnd w:id="84"/>
    </w:p>
    <w:p w:rsidR="00BB0853" w:rsidRPr="0078501D" w:rsidRDefault="00BB0853" w:rsidP="0078501D">
      <w:r>
        <w:t>6226/12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Föranleder ingen annotering. </w:t>
      </w:r>
    </w:p>
    <w:p w:rsidR="00BB0853" w:rsidRPr="0078501D" w:rsidRDefault="00BB0853" w:rsidP="0078501D">
      <w:pPr>
        <w:pStyle w:val="Heading2"/>
      </w:pPr>
      <w:bookmarkStart w:id="85" w:name="_Toc317161516"/>
      <w:r>
        <w:t>28. Proposal for transfer of appropriations No DEC01/2012 within Section III - Commission - of the general budget for 2012</w:t>
      </w:r>
      <w:bookmarkEnd w:id="85"/>
    </w:p>
    <w:p w:rsidR="00BB0853" w:rsidRPr="0078501D" w:rsidRDefault="00BB0853" w:rsidP="0078501D">
      <w:r>
        <w:t>6046/12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Överföring av åtagandeanslag om 1,2 meuro respektive betalningsanslag om 600 000 euro från anslaget för Forum for the EU Atlantic Strategy till anslaget för Integrerad havspolitik i syfte att bättre integrera föregående</w:t>
      </w:r>
    </w:p>
    <w:p w:rsidR="00BB0853" w:rsidRDefault="00BB0853" w:rsidP="00F7789C">
      <w:r>
        <w:t xml:space="preserve">åtgärd i det senare politikområdet. </w:t>
      </w:r>
    </w:p>
    <w:p w:rsidR="00BB0853" w:rsidRPr="0078501D" w:rsidRDefault="00BB0853" w:rsidP="0078501D">
      <w:pPr>
        <w:pStyle w:val="Heading2"/>
      </w:pPr>
      <w:bookmarkStart w:id="86" w:name="_Toc317161517"/>
      <w:r>
        <w:t>29. Draft Council conclusions on the budget guidelines for 2013</w:t>
      </w:r>
      <w:bookmarkEnd w:id="86"/>
    </w:p>
    <w:p w:rsidR="00BB0853" w:rsidRPr="0078501D" w:rsidRDefault="00BB0853" w:rsidP="0078501D">
      <w:r>
        <w:t>6260/12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2012-02-17</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Rådet ska anta slutsatser om vilka prioriteringar som man vill se i kommissionens förslag till EU-budget för 2013. </w:t>
      </w:r>
    </w:p>
    <w:p w:rsidR="00BB0853" w:rsidRDefault="00BB0853" w:rsidP="0078501D"/>
    <w:p w:rsidR="00BB0853" w:rsidRDefault="00BB0853" w:rsidP="0078501D">
      <w:r>
        <w:t xml:space="preserve">I budgetriktlinjerna uppmanas kommissionen bl.a. att respektera de finansiella ramarna 2007-2013, budgetera med tillräckliga marginaler för att möjliggöra hantering av oförutsedda händelser, göra mer realistiska prognoser samt återkommande redovisa genomförandet av budgeten. Rådet lyfter även fram mängden utestående åtaganden (RAL – reste à liquider)som en central fråga som kommissionen i årsbudgetprocessen uppmanas bevaka och beakta i sitt budgetförslag. Rådet pekar dessutom på nödvändigheten av att vid upprättandet av EU-budgeten för 2013 ta hänsyn till de budgetära begränsningar som återfinns på nationell nivå i medlemsstaterna och behovet av att bevara budgetdisciplin på alla nivåer. </w:t>
      </w:r>
    </w:p>
    <w:p w:rsidR="00BB0853" w:rsidRDefault="00BB0853" w:rsidP="0078501D"/>
    <w:p w:rsidR="00BB0853" w:rsidRDefault="00BB0853" w:rsidP="0078501D">
      <w:r>
        <w:t>Kommissionen uppmanas att fortsätta arbetet med att dels utveckla transparens och tydlighet i dokumenten som biläggs budgetförslaget, dels förbättra resultatinforma¬tionen i verksamhetsförklaringarna samt förbättra budgeteringen för myndigheterna. Rådet erinrar också om sin preferens att kvarvarande finansiering för den experimentella fusionsreaktor¬anläggningen ITER för 2013 bör finansieras genom omprioritering.</w:t>
      </w:r>
    </w:p>
    <w:p w:rsidR="00BB0853" w:rsidRDefault="00BB0853" w:rsidP="0078501D"/>
    <w:p w:rsidR="00BB0853" w:rsidRDefault="00BB0853" w:rsidP="00F7789C">
      <w:r>
        <w:t xml:space="preserve">Utkast till rådsslutsatser behandlades och godkändes vid budgetkommitténs möte den 7 februari. </w:t>
      </w:r>
    </w:p>
    <w:p w:rsidR="00BB0853" w:rsidRPr="0078501D" w:rsidRDefault="00BB0853" w:rsidP="0078501D">
      <w:pPr>
        <w:pStyle w:val="Heading2"/>
      </w:pPr>
      <w:bookmarkStart w:id="87" w:name="_Toc317161518"/>
      <w:r>
        <w:t>30. Discharge to be given to the bodies set up by the European Union in respect of the implementation of the budget for the financial year 2010</w:t>
      </w:r>
      <w:bookmarkEnd w:id="87"/>
    </w:p>
    <w:p w:rsidR="00BB0853" w:rsidRPr="0078501D" w:rsidRDefault="00BB0853" w:rsidP="0078501D">
      <w:r>
        <w:t>6083/12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2011-11-25</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Ekofinrådet ska årligen anta en rekommendation till Europaparlamentet huruvida de organ som har inrättats av Europeiska unionen bör beviljas ansvarsfrihet för genomförandet av budgeten för aktuellt budgetår. Till förslaget om rekommendation om ansvarsfrihet lämnas rådets slutsatser, bland annat om vilka åtgärder som rådet anser bör vidtas med anledning av revisionsrättens iakttagelser. Ordförandeskapets förslag är att rådet ska rekommendera Europaparlamentet att bevilja de organ som har inrättats av Europeiska unionen ansvarsfrihet för budgetåret 2010. </w:t>
      </w:r>
    </w:p>
    <w:p w:rsidR="00BB0853" w:rsidRDefault="00BB0853" w:rsidP="0078501D"/>
    <w:p w:rsidR="00BB0853" w:rsidRDefault="00BB0853" w:rsidP="0078501D">
      <w:r>
        <w:t xml:space="preserve">Regeringen kan stödja utkastet till rådsslutsatser med anledning av revisionsrättens årsrapport för budgetåret 2010. </w:t>
      </w:r>
    </w:p>
    <w:p w:rsidR="00BB0853" w:rsidRDefault="00BB0853" w:rsidP="0078501D"/>
    <w:p w:rsidR="00BB0853" w:rsidRDefault="00BB0853" w:rsidP="00F7789C">
      <w:r>
        <w:t xml:space="preserve">Punkten kräver inget inlägg från svensk sida.  </w:t>
      </w:r>
    </w:p>
    <w:p w:rsidR="00BB0853" w:rsidRPr="0078501D" w:rsidRDefault="00BB0853" w:rsidP="0078501D">
      <w:pPr>
        <w:pStyle w:val="Heading2"/>
      </w:pPr>
      <w:bookmarkStart w:id="88" w:name="_Toc317161519"/>
      <w:r>
        <w:t>31. Discharge to be given to the executive agencies in respect of the implementation of the budget for the financial year 2010</w:t>
      </w:r>
      <w:bookmarkEnd w:id="88"/>
    </w:p>
    <w:p w:rsidR="00BB0853" w:rsidRPr="0078501D" w:rsidRDefault="00BB0853" w:rsidP="0078501D">
      <w:r>
        <w:t>6084/12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2011-11-25</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Ekofinrådet ska årligen anta en rekommendation till Europaparlamentet huruvida de exekutiva byråerna bör beviljas ansvarsfrihet för genomförandet av budgeten för aktuellt budgetår. Till förslaget om rekommendation om ansvarsfrihet lämnas rådets slutsatser, bland annat om vilka åtgärder som rådet anser bör vidtas med anledning av revisionsrättens iakttagelser. Ordförandeskapets förslag är att rådet ska rekommendera Europaparlamentet att bevilja de exekutiva byråerna ansvarsfrihet för budgetåret 2010. </w:t>
      </w:r>
    </w:p>
    <w:p w:rsidR="00BB0853" w:rsidRDefault="00BB0853" w:rsidP="0078501D"/>
    <w:p w:rsidR="00BB0853" w:rsidRDefault="00BB0853" w:rsidP="0078501D">
      <w:r>
        <w:t xml:space="preserve">Regeringen kan stödja utkastet till rådsslutsatser med anledning av revisionsrättens årsrapport för budgetåret 2010. </w:t>
      </w:r>
    </w:p>
    <w:p w:rsidR="00BB0853" w:rsidRDefault="00BB0853" w:rsidP="0078501D"/>
    <w:p w:rsidR="00BB0853" w:rsidRDefault="00BB0853" w:rsidP="00F7789C">
      <w:r>
        <w:t xml:space="preserve">Punkten kräver inget inlägg från svensk sida.  </w:t>
      </w:r>
    </w:p>
    <w:p w:rsidR="00BB0853" w:rsidRPr="0078501D" w:rsidRDefault="00BB0853" w:rsidP="0078501D">
      <w:pPr>
        <w:pStyle w:val="Heading2"/>
      </w:pPr>
      <w:r>
        <w:br w:type="page"/>
      </w:r>
      <w:bookmarkStart w:id="89" w:name="_Toc317161520"/>
      <w:r>
        <w:t>32. Discharge to be given to the joint undertakings in respect of the implementation of the budget for the financial year 2010</w:t>
      </w:r>
      <w:bookmarkEnd w:id="89"/>
    </w:p>
    <w:p w:rsidR="00BB0853" w:rsidRPr="0078501D" w:rsidRDefault="00BB0853" w:rsidP="0078501D">
      <w:r>
        <w:t>6086/12</w:t>
      </w:r>
    </w:p>
    <w:p w:rsidR="00BB0853" w:rsidRDefault="00BB0853">
      <w:pPr>
        <w:pStyle w:val="RKnormal"/>
        <w:tabs>
          <w:tab w:val="clear" w:pos="1843"/>
          <w:tab w:val="left" w:pos="0"/>
        </w:tabs>
        <w:ind w:left="0"/>
      </w:pPr>
    </w:p>
    <w:p w:rsidR="00BB0853" w:rsidRPr="0078501D" w:rsidRDefault="00BB0853" w:rsidP="0078501D">
      <w:r>
        <w:t>Ansvarigt departement: Finansdepartementet</w:t>
      </w:r>
    </w:p>
    <w:p w:rsidR="00BB0853" w:rsidRDefault="00BB0853">
      <w:pPr>
        <w:pStyle w:val="RKnormal"/>
        <w:tabs>
          <w:tab w:val="clear" w:pos="1843"/>
          <w:tab w:val="left" w:pos="0"/>
        </w:tabs>
        <w:ind w:left="0"/>
      </w:pPr>
    </w:p>
    <w:p w:rsidR="00BB0853" w:rsidRPr="0078501D" w:rsidRDefault="00BB0853" w:rsidP="0078501D">
      <w:r>
        <w:t>Ansvarigt statsråd: Anders Borg</w:t>
      </w:r>
    </w:p>
    <w:p w:rsidR="00BB0853" w:rsidRDefault="00BB0853">
      <w:pPr>
        <w:pStyle w:val="RKnormal"/>
        <w:tabs>
          <w:tab w:val="clear" w:pos="1843"/>
          <w:tab w:val="left" w:pos="0"/>
        </w:tabs>
        <w:ind w:left="0"/>
      </w:pPr>
    </w:p>
    <w:p w:rsidR="00BB0853" w:rsidRPr="0078501D" w:rsidRDefault="00BB0853" w:rsidP="0078501D">
      <w:r>
        <w:t>Tidigare behandling i EU -nämnden: 2011-11-25</w:t>
      </w:r>
    </w:p>
    <w:p w:rsidR="00BB0853" w:rsidRDefault="00BB0853">
      <w:pPr>
        <w:pStyle w:val="RKnormal"/>
        <w:tabs>
          <w:tab w:val="clear" w:pos="1843"/>
          <w:tab w:val="left" w:pos="0"/>
        </w:tabs>
        <w:ind w:left="0"/>
      </w:pPr>
    </w:p>
    <w:p w:rsidR="00BB0853" w:rsidRPr="0078501D" w:rsidRDefault="00BB0853" w:rsidP="0078501D">
      <w:r>
        <w:t>Tidigare behandling vid rådsmöte: Ekonomiska och finansiella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Ekofinrådet ska årligen anta en rekommendation till Europaparlamentet huruvida de gemensamma företagen bör beviljas ansvarsfrihet för genomförandet av budgeten för aktuellt budgetår. Till förslaget om rekommendation om ansvarsfrihet lämnas rådets slutsatser, bland annat om vilka åtgärder som rådet anser bör vidtas med anledning av revisionsrättens iakttagelser. Ordförandeskapets förslag är att rekommendera Europaparlamentet att bevilja de gemensamma företagen ansvarsfrihet för budgetåret 2010. </w:t>
      </w:r>
    </w:p>
    <w:p w:rsidR="00BB0853" w:rsidRDefault="00BB0853" w:rsidP="0078501D"/>
    <w:p w:rsidR="00BB0853" w:rsidRDefault="00BB0853" w:rsidP="0078501D">
      <w:r>
        <w:t xml:space="preserve">Regeringen kan stödja utkastet till rådsslutsatser med anledning av revisionsrättens årsrapport för budgetåret 2010. </w:t>
      </w:r>
    </w:p>
    <w:p w:rsidR="00BB0853" w:rsidRDefault="00BB0853" w:rsidP="0078501D"/>
    <w:p w:rsidR="00BB0853" w:rsidRDefault="00BB0853" w:rsidP="00F7789C">
      <w:r>
        <w:t xml:space="preserve">Punkten kräver inget inlägg från svensk sida.  </w:t>
      </w:r>
    </w:p>
    <w:p w:rsidR="00BB0853" w:rsidRPr="0078501D" w:rsidRDefault="00BB0853" w:rsidP="0078501D">
      <w:pPr>
        <w:pStyle w:val="Heading2"/>
      </w:pPr>
      <w:bookmarkStart w:id="90" w:name="_Toc317161521"/>
      <w:r>
        <w:t>33. Recommendation to the Council concerning the use of a cryptographic product to protect electronic links for the exercise European Endeavour 2012</w:t>
      </w:r>
      <w:bookmarkEnd w:id="90"/>
    </w:p>
    <w:p w:rsidR="00BB0853" w:rsidRPr="0078501D" w:rsidRDefault="00BB0853" w:rsidP="0078501D">
      <w:r>
        <w:t>6013/12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För informationsflödet under övningen European Endevour 2012 behöver de elektroniska förbindelserna ett säkerhetsskydd upp t.o.m. SECRET UE/EU SECRET.</w:t>
      </w:r>
    </w:p>
    <w:p w:rsidR="00BB0853" w:rsidRDefault="00BB0853" w:rsidP="0078501D"/>
    <w:p w:rsidR="00BB0853" w:rsidRDefault="00BB0853" w:rsidP="0078501D">
      <w:r>
        <w:t>I rådets säkerhetsbestämmelser uppges att om de säkerhetsskyddsklassificerade EU-uppgifterna skyddas med hjälp av kryptoprodukter, ska sådana produkter godkännas.</w:t>
      </w:r>
    </w:p>
    <w:p w:rsidR="00BB0853" w:rsidRDefault="00BB0853" w:rsidP="0078501D"/>
    <w:p w:rsidR="00BB0853" w:rsidRDefault="00BB0853" w:rsidP="0078501D">
      <w:r>
        <w:t>Konfidentialiteten för uppgifter på säkerhetsskyddsklassificeringsnivån SECRET UE/EU SECRET och högre ska skyddas genom kryptoprodukter som har godkänts av rådet i egenskap av kryptogodkännande myndighet på rekommendation av dess säkerhetskommitté.</w:t>
      </w:r>
    </w:p>
    <w:p w:rsidR="00BB0853" w:rsidRDefault="00BB0853" w:rsidP="0078501D"/>
    <w:p w:rsidR="00BB0853" w:rsidRDefault="00BB0853" w:rsidP="0078501D">
      <w:r>
        <w:t>Säkerhetskommittén har bekräftat att de nödvändiga förutsättningarna för ett sådant godkännande i enlighet med punkt 26 i bilaga IV till rådets säkerhetsbestämmelser uppfylls av den tyska kryptografiska radioutrustningen SEM 93.</w:t>
      </w:r>
    </w:p>
    <w:p w:rsidR="00BB0853" w:rsidRDefault="00BB0853" w:rsidP="0078501D"/>
    <w:p w:rsidR="00BB0853" w:rsidRDefault="00BB0853" w:rsidP="00F7789C">
      <w:r>
        <w:t xml:space="preserve">I ljuset av ovanstående rekommenderas rådet, med förbehåll för bekräftelse från Coreper, godkänna användningen av den tyska kryptoprodukten SEM 93 för att skydda säkerhetsskyddsklassificerade EU-uppgifter på en säkerhetsskyddsklassificeringsnivå som inte är högre än SECRET UE/EU SECRET. </w:t>
      </w:r>
    </w:p>
    <w:p w:rsidR="00BB0853" w:rsidRPr="0078501D" w:rsidRDefault="00BB0853" w:rsidP="0078501D">
      <w:pPr>
        <w:pStyle w:val="Heading2"/>
      </w:pPr>
      <w:bookmarkStart w:id="91" w:name="_Toc317161522"/>
      <w:r>
        <w:t>34. Council Decision amending Council Decision 2010/232/CFSP concerning restrictive measures against Burma/Myanmar</w:t>
      </w:r>
      <w:bookmarkEnd w:id="91"/>
    </w:p>
    <w:p w:rsidR="00BB0853" w:rsidRPr="0078501D" w:rsidRDefault="00BB0853" w:rsidP="0078501D">
      <w:r>
        <w:t>6296/12, 6284/12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Tidigare behandling i EU -nämnden: 2012-01-20</w:t>
      </w:r>
    </w:p>
    <w:p w:rsidR="00BB0853" w:rsidRDefault="00BB0853">
      <w:pPr>
        <w:pStyle w:val="RKnormal"/>
        <w:tabs>
          <w:tab w:val="clear" w:pos="1843"/>
          <w:tab w:val="left" w:pos="0"/>
        </w:tabs>
        <w:ind w:left="0"/>
      </w:pPr>
    </w:p>
    <w:p w:rsidR="00BB0853" w:rsidRPr="0078501D" w:rsidRDefault="00BB0853" w:rsidP="0078501D">
      <w:r>
        <w:t>Tidigare behandling vid rådsmöte: Rådet för utrikesfrågor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I Burma har reella förändringar skett den senaste tiden i den reformprocess som inleddes under 2011. Regeringen har inlett en dialog med Aung San Suu Kyi, släppt ett stort antal politiska fångar och också reformerat vissa kritiserade lagar. Det kvarstår dock bland annat att återstående politiska fångar friges ovillkorligen, att mänskliga rättigheter respekteras, etniska konflikterna får en lösning och att fyllnadsvalen som kommer att äga rum den 1 april hålls på ett fritt och rättvist sätt. </w:t>
      </w:r>
    </w:p>
    <w:p w:rsidR="00BB0853" w:rsidRDefault="00BB0853" w:rsidP="0078501D"/>
    <w:p w:rsidR="00BB0853" w:rsidRDefault="00BB0853" w:rsidP="0078501D">
      <w:r>
        <w:t xml:space="preserve">Mot bakgrund av den positiva utvecklingen i Burma fattade FAC den 23 januari med rådsslutsatser beslut om att suspendera den del av EU:s sanktioner som rör reserestriktioner för Burmas president, vice-presidenterna, samtliga regeringsmedlemmar och talmännen för de två kamrarna. Detta steg innebär när det nu ska genomföras ett partiellt lättande av sanktionerna, men där framför allt följande sanktioner kvarstår: förbud mot export av krigsmateriel, förbud mot investering i och finansiella tjänster till ett antal statskontrollerade företag, frysning av tillgångar och reserestriktioner (delar av reserestriktionerna suspenderas emellertid genom FAC-beslutet) för personer i eller nära regimen samt restriktioner beträffande utvecklingssamarbetet. Det finns även ett partiellt handels- och handelsfinansieringsembargo riktat mot näringarna timmer, metaller och ädla stenar i Burma. </w:t>
      </w:r>
    </w:p>
    <w:p w:rsidR="00BB0853" w:rsidRDefault="00BB0853" w:rsidP="0078501D"/>
    <w:p w:rsidR="00BB0853" w:rsidRDefault="00BB0853" w:rsidP="00F7789C">
      <w:r>
        <w:t xml:space="preserve">I den uppföljande diskussionen i rådsstrukturerna om den rättsakt som ska genomföra rådslutsatserna har det nåtts enighet om att suspenderingen av reserestriktioner också ska avse viceministrar och familjemedlemmar till samtliga berörda. </w:t>
      </w:r>
    </w:p>
    <w:p w:rsidR="00BB0853" w:rsidRPr="0078501D" w:rsidRDefault="00BB0853" w:rsidP="0078501D">
      <w:pPr>
        <w:pStyle w:val="Heading2"/>
      </w:pPr>
      <w:bookmarkStart w:id="92" w:name="_Toc317161523"/>
      <w:r>
        <w:t>35. Council Decision amending Council Decision 2011/101/CFSP concerning restrictive measures against Zimbabwe</w:t>
      </w:r>
      <w:bookmarkEnd w:id="92"/>
    </w:p>
    <w:p w:rsidR="00BB0853" w:rsidRPr="0078501D" w:rsidRDefault="00BB0853" w:rsidP="0078501D">
      <w:r>
        <w:t>6362/12, 6261/12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EU beslutade 2002 att införa restriktiva åtgärder mot Zimbabwe med motiveringen att landet allvarligt kränkte de mänskliga rättigheterna, inbegripet mötesfrihet, yttrandefrihet och föreningsfrihet. Åtgärderna innefattar ett vapenembargo, samt reserestriktioner och frysningar av tillgångar för ett begränsat antal personer som hålls ansvariga för allvarliga kränkningar av mänskliga rättigheter. De restriktiva åtgärderna har förlängts vid flera tillfällen och har även utökats till att omfatta personer och enheter med koppling till Zimbabwes regering vilkas verksamhet allvarligt undergräver, förutom respekt för de mänskliga rättigheterna, demokrati och rättsstatens principer. Den senaste förlängningen skedde i februari 2011 och åtgärderna gäller i dagsläget t.o.m. den 20 februari 2012, samt regleras i rådsbeslut 2011/101/GUSP och genomförs operativt genom förordning (EG) nr 314/2004. Den nuvarande listan omfattar 163 enskilda personer samt 31 företag. </w:t>
      </w:r>
    </w:p>
    <w:p w:rsidR="00BB0853" w:rsidRDefault="00BB0853" w:rsidP="0078501D"/>
    <w:p w:rsidR="00BB0853" w:rsidRDefault="00BB0853" w:rsidP="0078501D">
      <w:r>
        <w:t>I utkastet till rådsbeslut föreslås en förlängning av de restriktiva åtgärderna till den 20 februari 2013, samt en uppdatering av listan genom att 51 namn och 20 företag avförs. Vid sidan om två avlidna personer rör det sig om personer som inte längre bedöms vara aktuella för de restriktiva åtgärderna. Vidare föreslås en suspendering av reserestriktionerna för de två ministrar från Zanu-PF som ingår i regeringens s.k. re-engagement team för dialog med internationella samfundet, syftandes till att stärka reformsträvandena i landet.</w:t>
      </w:r>
    </w:p>
    <w:p w:rsidR="00BB0853" w:rsidRDefault="00BB0853" w:rsidP="0078501D"/>
    <w:p w:rsidR="00BB0853" w:rsidRDefault="00BB0853" w:rsidP="0078501D">
      <w:r>
        <w:t xml:space="preserve">Regeringen avser rösta för ett antagande av rådsbeslutet. </w:t>
      </w:r>
    </w:p>
    <w:p w:rsidR="00BB0853" w:rsidRDefault="00BB0853" w:rsidP="0078501D"/>
    <w:p w:rsidR="00BB0853" w:rsidRDefault="00BB0853" w:rsidP="0078501D">
      <w:r>
        <w:t>Tidigare behandling i EU-nämnden: februari 2011</w:t>
      </w:r>
    </w:p>
    <w:p w:rsidR="00BB0853" w:rsidRDefault="00BB0853" w:rsidP="0078501D"/>
    <w:p w:rsidR="00BB0853" w:rsidRDefault="00BB0853" w:rsidP="0078501D">
      <w:r>
        <w:t>Tidigare behandling vid rådsmöte: februari 2011</w:t>
      </w:r>
    </w:p>
    <w:p w:rsidR="00BB0853" w:rsidRPr="0078501D" w:rsidRDefault="00BB0853" w:rsidP="0078501D">
      <w:pPr>
        <w:pStyle w:val="Heading2"/>
      </w:pPr>
      <w:bookmarkStart w:id="93" w:name="_Toc317161524"/>
      <w:r>
        <w:t>36. Relations with the ACP States and the OCT = Council statement concerning the Statement of Assurance of the Court of Auditors relating to the activities of the 8th, 9th and 10th European Development Funds for the financial year 2010</w:t>
      </w:r>
      <w:bookmarkEnd w:id="93"/>
    </w:p>
    <w:p w:rsidR="00BB0853" w:rsidRPr="0078501D" w:rsidRDefault="00BB0853" w:rsidP="0078501D">
      <w:r>
        <w:t>5980/12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Gunilla Carlsson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Den Europeiska utvecklingsfonden (EUF) finansierar EU:s utvecklingssamarbete med länder i Afrika, Västindien och Stilla Havet (AVS-länderna) inom ramen för det så kallade Cotonou-avtalet. Varje år presenterar Revisionsrätten en rapport som granskar EU-kommissionen i egenskap av förvaltare av EUF. Rapporten innehåller en revisionsförklaring ad beträffar räkenskapernas tillförlitlighet samt de underliggande transaktionernas laglighet och korrekthet. På basis av Revisionsrättens rapport utfärdar rådet en rekommendation till Europaparlamentet (EP), som i sin tur har till uppgift att besluta om ansvarsfrihet för EU-kommissionen. Nu är det återigen dags för denna årliga procedur avseende budgetåret 2010. Revisionsrättens rapport har diskuterats i AVS-arbetsgruppen, varefter ett utkast på rekommendation sammanställts. Enligt detta utkast rekommenderas EP bevilja kommissionen ansvarsfrihet. </w:t>
      </w:r>
    </w:p>
    <w:p w:rsidR="00BB0853" w:rsidRDefault="00BB0853" w:rsidP="0078501D"/>
    <w:p w:rsidR="00BB0853" w:rsidRDefault="00BB0853" w:rsidP="00F7789C">
      <w:r>
        <w:t xml:space="preserve">Förslaget till rådsbeslut innebär att rådet rekommenderar EP att besluta om ansvarsfrihet för kommissionen i egenskap av förvaltare av EUF. Regeringen bedömer att rådets rekommendation ligger i linje med Revisionsrättens iakttagelser och stödjer förslaget. </w:t>
      </w:r>
    </w:p>
    <w:p w:rsidR="00BB0853" w:rsidRPr="0078501D" w:rsidRDefault="00BB0853" w:rsidP="0078501D">
      <w:pPr>
        <w:pStyle w:val="Heading2"/>
      </w:pPr>
      <w:bookmarkStart w:id="94" w:name="_Toc317161525"/>
      <w:r>
        <w:t>37. Relations with the ACP States and the OCT= Discharge to be given to the Commission in respect of the financial management of the 8th, 9th and 10th European Development Funds (financial year 2010)</w:t>
      </w:r>
      <w:bookmarkEnd w:id="94"/>
    </w:p>
    <w:p w:rsidR="00BB0853" w:rsidRPr="0078501D" w:rsidRDefault="00BB0853" w:rsidP="0078501D">
      <w:r>
        <w:t>5978/12, 5458/12, 5459/12, 5460/12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Gunilla Carlsson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Denna dagordningspunkt är knuten till föregående (52). I anslutning till att en rådsrekommendation utarbetats i AVS-arbetsgruppen har även en redogörelse av ansvarsfrihetsprocessen, inklusive kommentarer på Revisionsrättens rapport, framtagits för Coreper. AVS-gruppens kommentarer återspeglar innehållet i Revisionsrättens rapport och uppmanar kommissionen att genomföra Revisionsrättens rekommendationer. AVS-arbetsgruppens sammanfattning tjänar främst till att informera Coreper om ansvarsfrihetsprocessen och delges ej Europaparlamentet. Förslaget innebär att AVS-arbetsgruppens kommentarer godkänns av Coreper. Regeringen kan stödja förslaget. </w:t>
      </w:r>
    </w:p>
    <w:p w:rsidR="00BB0853" w:rsidRPr="0078501D" w:rsidRDefault="00BB0853" w:rsidP="0078501D">
      <w:pPr>
        <w:pStyle w:val="Heading2"/>
      </w:pPr>
      <w:bookmarkStart w:id="95" w:name="_Toc317161526"/>
      <w:r>
        <w:t>38. Council Decision on adapting and extending the period of application of the appropriate measures first established by Decision 2002/148/EC concluding consultations with Zimbabwe under Article 96 of the ACP-EC Partnership Agreement</w:t>
      </w:r>
      <w:bookmarkEnd w:id="95"/>
    </w:p>
    <w:p w:rsidR="00BB0853" w:rsidRPr="0078501D" w:rsidRDefault="00BB0853" w:rsidP="0078501D">
      <w:r>
        <w:t>6147/12, 6146/12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Gunilla Carlsson</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EU beslutade år 2002 att vidta ”lämpliga åtgärder” mot Zimbabwe enligt artikel 96 i AVS–EG-partnerskapsavtalet. Orsaken var att landet allvarligt kränkte de mänskliga rättigheterna, inbegripet kränkningar av mötesfrihet, yttrandefrihet och föreningsfrihet. Åtgärderna innebär bl. a. att inget budgetstöd ges och att EDF 9-undertecknande mellan EU och Zimbabwe frystes. Humanitärt bistånd och stöd direkt till befolkningen är undantagna. Åtgärderna har sedan 2002 förlängts med 12 månader i taget. Den senaste förlängningen skedde i februari 2011 och åtgärderna gäller i dagsläget t.o.m. den 20 februari 2012.</w:t>
      </w:r>
    </w:p>
    <w:p w:rsidR="00BB0853" w:rsidRDefault="00BB0853" w:rsidP="0078501D"/>
    <w:p w:rsidR="00BB0853" w:rsidRDefault="00BB0853" w:rsidP="0078501D">
      <w:r>
        <w:t>I utkastet till rådsbeslut föreslås en förlängning av åtgärderna med sex månader (istället för som i normalfallet 12 månader) för att markera beredskap att svara på framsteg i reformprocessen. Rådet ska därmed återkomma till frågan senast den 20 augusti 2012.</w:t>
      </w:r>
    </w:p>
    <w:p w:rsidR="00BB0853" w:rsidRDefault="00BB0853" w:rsidP="0078501D"/>
    <w:p w:rsidR="00BB0853" w:rsidRDefault="00BB0853" w:rsidP="0078501D">
      <w:r>
        <w:t>Regeringen kan ställa sig bakom utkastet till rådsbeslut.</w:t>
      </w:r>
    </w:p>
    <w:p w:rsidR="00BB0853" w:rsidRDefault="00BB0853" w:rsidP="0078501D"/>
    <w:p w:rsidR="00BB0853" w:rsidRDefault="00BB0853" w:rsidP="0078501D">
      <w:r>
        <w:t>Tidigare behandling i EU-nämnden: februari 2011</w:t>
      </w:r>
    </w:p>
    <w:p w:rsidR="00BB0853" w:rsidRDefault="00BB0853" w:rsidP="00F7789C">
      <w:r>
        <w:t xml:space="preserve">Tidigare behandling vid rådsmöte: februari 2011 </w:t>
      </w:r>
    </w:p>
    <w:p w:rsidR="00BB0853" w:rsidRPr="0078501D" w:rsidRDefault="00BB0853" w:rsidP="0078501D">
      <w:pPr>
        <w:pStyle w:val="Heading2"/>
      </w:pPr>
      <w:bookmarkStart w:id="96" w:name="_Toc317161527"/>
      <w:r>
        <w:t>39. Updated Common Military List of the European Union (equipment covered by the Council Common Position 2008/944/CFSP defining common rules governing the control of exports of military technology and equipment) = Adoption</w:t>
      </w:r>
      <w:bookmarkEnd w:id="96"/>
    </w:p>
    <w:p w:rsidR="00BB0853" w:rsidRPr="0078501D" w:rsidRDefault="00BB0853" w:rsidP="0078501D">
      <w:r>
        <w:t>6005/12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Ewa Björling</w:t>
      </w:r>
    </w:p>
    <w:p w:rsidR="00BB0853" w:rsidRDefault="00BB0853">
      <w:pPr>
        <w:pStyle w:val="RKnormal"/>
        <w:tabs>
          <w:tab w:val="clear" w:pos="1843"/>
          <w:tab w:val="left" w:pos="0"/>
        </w:tabs>
        <w:ind w:left="0"/>
      </w:pPr>
    </w:p>
    <w:p w:rsidR="00BB0853" w:rsidRDefault="00BB0853" w:rsidP="00F7789C">
      <w:r w:rsidRPr="00E66F0C">
        <w:t>Förväntas godkännas av Coreper II den 16 februari 2012</w:t>
      </w:r>
      <w:r>
        <w:t xml:space="preserve"> </w:t>
      </w:r>
    </w:p>
    <w:p w:rsidR="00BB0853" w:rsidRDefault="00BB0853" w:rsidP="00F7789C"/>
    <w:p w:rsidR="00BB0853" w:rsidRDefault="00BB0853" w:rsidP="00E66F0C">
      <w:r>
        <w:t>SE kan anta förslaget. Frågan behandlar den formella och årliga uppdateringen av EUs militära lista, som är knuten till EUs gemensamma ståndpunkt om vapenexport.</w:t>
      </w:r>
    </w:p>
    <w:p w:rsidR="00BB0853" w:rsidRDefault="00BB0853" w:rsidP="00E66F0C"/>
    <w:p w:rsidR="00BB0853" w:rsidRDefault="00BB0853" w:rsidP="00E66F0C">
      <w:r>
        <w:t>EUs militära lista och den svenska krigsmaterielförteckningen överensstämmer på många sätt och omfattar i allt väsentligt samma materiel. EUs militära lista bygger på, och är identisk med- den kontrollista som finns inom exportkontrollregimen Wassenaararrangemanget (WA), där Sverige också är medlem. Löpande under året enas experter från WAs medlemsländer om nödvändiga justeringar i kontrollistan. En gång per år införlivar EU dessa ändringar.</w:t>
      </w:r>
    </w:p>
    <w:p w:rsidR="00BB0853" w:rsidRPr="0078501D" w:rsidRDefault="00BB0853" w:rsidP="0078501D">
      <w:pPr>
        <w:pStyle w:val="Heading2"/>
      </w:pPr>
      <w:bookmarkStart w:id="97" w:name="_Toc317161528"/>
      <w:r>
        <w:t>40. Twelfth Progress Report on the implementation of the EU Strategy to Combat Illicit Accumulation and Trafficking of SALW and their Ammunition (2011/II)</w:t>
      </w:r>
      <w:bookmarkEnd w:id="97"/>
    </w:p>
    <w:p w:rsidR="00BB0853" w:rsidRPr="0078501D" w:rsidRDefault="00BB0853" w:rsidP="0078501D">
      <w:r>
        <w:t>6251/12, 5849/12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EU:s strategi mot illegal spridning av små och lätta vapen – ”EU Strategy to Combat Illicit Accumulation and Trafficking of SALW and their Ammunition” – antogs av Europeiska rådet 2005. Var sjätte månad sammanställs en framstegsrapport med de åtgärder som EU vidtagit på området. Det handlar bland annat om stödet till FN:s handlingsplan på samma tema, om EU:s politiska dialoger med tredje land och om EU:s stöd till projekt för att komma till rätta med problematiken kring SALW. Sverige stödjer den rapport som sammanställts för det senaste halvåret och att rådet godkänner den. </w:t>
      </w:r>
    </w:p>
    <w:p w:rsidR="00BB0853" w:rsidRPr="0078501D" w:rsidRDefault="00BB0853" w:rsidP="0078501D">
      <w:pPr>
        <w:pStyle w:val="Heading2"/>
      </w:pPr>
      <w:bookmarkStart w:id="98" w:name="_Toc317161529"/>
      <w:r>
        <w:t>41. Six-monthly Progress Report on the implementation of the EU Strategy against the Proliferation of Weapons of Mass Destruction (2011/II)</w:t>
      </w:r>
      <w:bookmarkEnd w:id="98"/>
    </w:p>
    <w:p w:rsidR="00BB0853" w:rsidRPr="0078501D" w:rsidRDefault="00BB0853" w:rsidP="0078501D">
      <w:r>
        <w:t>6254/12, 5072/12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 xml:space="preserve">EU:s strategi mot massförstörelsevapen – ”EU Strategy against proliferation of Weapons of Mass Destruction” – antogs av Europeiska rådet 2003. Strategin syftar till att ange EU:s ansats gällande icke-spridning men framhåller även vikten av nedrustning. </w:t>
      </w:r>
    </w:p>
    <w:p w:rsidR="00BB0853" w:rsidRDefault="00BB0853" w:rsidP="0078501D"/>
    <w:p w:rsidR="00BB0853" w:rsidRDefault="00BB0853" w:rsidP="0078501D">
      <w:r>
        <w:t>I strategin sägs bl.a. att massförstörelsevapen utgör ett hot mot internationell fred och säkerhet och att EU måste agera beslutsamt mot detta hot. Målsättningen är att förebygga och stoppa spridning av massförstörelsevapen.</w:t>
      </w:r>
    </w:p>
    <w:p w:rsidR="00BB0853" w:rsidRDefault="00BB0853" w:rsidP="0078501D"/>
    <w:p w:rsidR="00BB0853" w:rsidRDefault="00BB0853" w:rsidP="00F7789C">
      <w:r>
        <w:t xml:space="preserve">Var sjätte månad sammanställs en framstegsrapport med de åtgärder som EU vidtagit på området. Sverige stödjer den rapport som sammanställts för det senaste halvåret och att rådet godkänner den. </w:t>
      </w:r>
    </w:p>
    <w:p w:rsidR="00BB0853" w:rsidRPr="0078501D" w:rsidRDefault="00BB0853" w:rsidP="0078501D">
      <w:pPr>
        <w:pStyle w:val="Heading2"/>
      </w:pPr>
      <w:bookmarkStart w:id="99" w:name="_Toc317161530"/>
      <w:r>
        <w:t>42. (poss.) Enlargement = Accession negotiations with Iceland- Outcome of screening on Chapter 17: Economic and Monetary Policy</w:t>
      </w:r>
      <w:bookmarkEnd w:id="99"/>
    </w:p>
    <w:p w:rsidR="00BB0853" w:rsidRPr="0078501D" w:rsidRDefault="00BB0853" w:rsidP="0078501D">
      <w:r>
        <w:t>6220/12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Carl Bildt</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78501D">
      <w:r>
        <w:t>Inom ramen för Islands anslutningsförhandlingar med EU ska Coreper godkänna EU-kommissionens screeningrapport gällande förhandlingskapitel 17 om ekonomisk och monetär politik.</w:t>
      </w:r>
    </w:p>
    <w:p w:rsidR="00BB0853" w:rsidRDefault="00BB0853" w:rsidP="0078501D"/>
    <w:p w:rsidR="00BB0853" w:rsidRDefault="00BB0853" w:rsidP="0078501D">
      <w:r>
        <w:t>Kapitel 17 innehåller regler angående den oberoende centralbanken i medlemsstaten. Medlemsstaten förväntas samordna sin ekonomiska politik och delta i stabilitets- och tillväxtpakten. Medlemsstaten ska också iaktta de regler som finns i fördraget för att senare kunna införa euron.</w:t>
      </w:r>
    </w:p>
    <w:p w:rsidR="00BB0853" w:rsidRDefault="00BB0853" w:rsidP="0078501D"/>
    <w:p w:rsidR="00BB0853" w:rsidRDefault="00BB0853" w:rsidP="00F7789C">
      <w:r>
        <w:t xml:space="preserve">Sverige instämmer i EU-kommissionens bedömning att Island är tillräckligt förberett för att inleda förhandlingar på området. </w:t>
      </w:r>
    </w:p>
    <w:p w:rsidR="00BB0853" w:rsidRPr="0078501D" w:rsidRDefault="00BB0853" w:rsidP="0078501D">
      <w:pPr>
        <w:pStyle w:val="Heading2"/>
      </w:pPr>
      <w:bookmarkStart w:id="100" w:name="_Toc317161531"/>
      <w:r>
        <w:t>43. Proposal for a Council Decision on a Union position in the Joint Committee on the implementation of Article 66 of the Euro-Mediterranean Interim Association Agreement on Trade and Co-operation between the European Community, on the one part, and the Palestine Liberation Organisation (PLO) for the benefit of the Palestinian Authority of the West Bank and the Gaza strip, on the other = Adoption</w:t>
      </w:r>
      <w:bookmarkEnd w:id="100"/>
    </w:p>
    <w:p w:rsidR="00BB0853" w:rsidRPr="0078501D" w:rsidRDefault="00BB0853" w:rsidP="0078501D">
      <w:r>
        <w:t>6099/12, 5998/12, 1851/12</w:t>
      </w:r>
    </w:p>
    <w:p w:rsidR="00BB0853" w:rsidRDefault="00BB0853">
      <w:pPr>
        <w:pStyle w:val="RKnormal"/>
        <w:tabs>
          <w:tab w:val="clear" w:pos="1843"/>
          <w:tab w:val="left" w:pos="0"/>
        </w:tabs>
        <w:ind w:left="0"/>
      </w:pPr>
    </w:p>
    <w:p w:rsidR="00BB0853" w:rsidRPr="0078501D" w:rsidRDefault="00BB0853" w:rsidP="0078501D">
      <w:r>
        <w:t>Ansvarigt departement: Utrikesdepartementet</w:t>
      </w:r>
    </w:p>
    <w:p w:rsidR="00BB0853" w:rsidRDefault="00BB0853">
      <w:pPr>
        <w:pStyle w:val="RKnormal"/>
        <w:tabs>
          <w:tab w:val="clear" w:pos="1843"/>
          <w:tab w:val="left" w:pos="0"/>
        </w:tabs>
        <w:ind w:left="0"/>
      </w:pPr>
    </w:p>
    <w:p w:rsidR="00BB0853" w:rsidRPr="0078501D" w:rsidRDefault="00BB0853" w:rsidP="0078501D">
      <w:r>
        <w:t>Ansvarigt statsråd: Ewa Björling</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Interimsavtalet (IAA) utgör den rättsliga basen för bilaterala relationer mellan EU och PLO/PA. Artikel 66 i avtalet reglerar tillsättandet av nödvändiga underkommittéer för avtalets implementering. Under 2008 tillsattes fyra underkommittéer för det gemensamma arbetet (ekonomi/finans, sociala frågor, energi/miljö, MR/demokratisk samhällsstyrning. År 2010 bad PLO/PA att öka antalet underkommittéer för bättre uppföljning och samarbete. Även EEAS ansåg att det fanns betydliga fördelar med att öka antalet underkommittéer från fyra till sex. Åtgärden förväntas bidra till en förbättrad och mer effektiv ENP-process. Den föreslagna ändringen följer samma struktur som underkommittéerna med övriga ENP-partners. </w:t>
      </w:r>
    </w:p>
    <w:p w:rsidR="00BB0853" w:rsidRPr="0078501D" w:rsidRDefault="00BB0853" w:rsidP="0078501D">
      <w:pPr>
        <w:pStyle w:val="Heading2"/>
      </w:pPr>
      <w:bookmarkStart w:id="101" w:name="_Toc317161532"/>
      <w:r>
        <w:t>44. Application of the COMIX-procedure to the debates regarding the proposed JHA Data Protection Directive and General Data Protection Regulation</w:t>
      </w:r>
      <w:bookmarkEnd w:id="101"/>
    </w:p>
    <w:p w:rsidR="00BB0853" w:rsidRPr="0078501D" w:rsidRDefault="00BB0853" w:rsidP="0078501D">
      <w:r>
        <w:t>5817/12</w:t>
      </w:r>
    </w:p>
    <w:p w:rsidR="00BB0853" w:rsidRDefault="00BB0853">
      <w:pPr>
        <w:pStyle w:val="RKnormal"/>
        <w:tabs>
          <w:tab w:val="clear" w:pos="1843"/>
          <w:tab w:val="left" w:pos="0"/>
        </w:tabs>
        <w:ind w:left="0"/>
      </w:pPr>
    </w:p>
    <w:p w:rsidR="00BB0853" w:rsidRPr="0078501D" w:rsidRDefault="00BB0853" w:rsidP="0078501D">
      <w:r>
        <w:t>Ansvarigt departement: Justitiedepartementet</w:t>
      </w:r>
    </w:p>
    <w:p w:rsidR="00BB0853" w:rsidRDefault="00BB0853">
      <w:pPr>
        <w:pStyle w:val="RKnormal"/>
        <w:tabs>
          <w:tab w:val="clear" w:pos="1843"/>
          <w:tab w:val="left" w:pos="0"/>
        </w:tabs>
        <w:ind w:left="0"/>
      </w:pPr>
    </w:p>
    <w:p w:rsidR="00BB0853" w:rsidRPr="0078501D" w:rsidRDefault="00BB0853" w:rsidP="0078501D">
      <w:r>
        <w:t>Ansvarigt statsråd: Beatrice Ask</w:t>
      </w:r>
    </w:p>
    <w:p w:rsidR="00BB0853" w:rsidRDefault="00BB0853">
      <w:pPr>
        <w:pStyle w:val="RKnormal"/>
        <w:tabs>
          <w:tab w:val="clear" w:pos="1843"/>
          <w:tab w:val="left" w:pos="0"/>
        </w:tabs>
        <w:ind w:left="0"/>
      </w:pPr>
    </w:p>
    <w:p w:rsidR="00BB0853" w:rsidRPr="0078501D" w:rsidRDefault="00BB0853" w:rsidP="0078501D">
      <w:r>
        <w:t>Tidigare behandling vid rådsmöte: Rättsliga och inrikes frågor</w:t>
      </w:r>
    </w:p>
    <w:p w:rsidR="00BB0853" w:rsidRDefault="00BB0853">
      <w:pPr>
        <w:pStyle w:val="RKnormal"/>
        <w:tabs>
          <w:tab w:val="clear" w:pos="1843"/>
          <w:tab w:val="left" w:pos="0"/>
        </w:tabs>
        <w:ind w:left="0"/>
      </w:pPr>
    </w:p>
    <w:p w:rsidR="00BB0853" w:rsidRPr="0078501D" w:rsidRDefault="00BB0853" w:rsidP="0078501D">
      <w:r>
        <w:t>Förväntas godkännas av Coreper II den 16 februari 2012</w:t>
      </w:r>
    </w:p>
    <w:p w:rsidR="00BB0853" w:rsidRDefault="00BB0853">
      <w:pPr>
        <w:pStyle w:val="RKnormal"/>
        <w:tabs>
          <w:tab w:val="clear" w:pos="1843"/>
          <w:tab w:val="left" w:pos="0"/>
        </w:tabs>
        <w:ind w:left="0"/>
      </w:pPr>
    </w:p>
    <w:p w:rsidR="00BB0853" w:rsidRDefault="00BB0853" w:rsidP="00F7789C">
      <w:r>
        <w:t xml:space="preserve">Den 25 januari 2012 presenterade kommissionen förslag till en reform av EU:s dataskyddsreglering. Förslaget består dels av en generell förordning som ska ersätta det s.k. dataskyddsdirektivet (direktiv 95/46/EG), dels ett särskilt direktiv för i huvudsak den brottsbekämpande sektorn som ska ersätta det s.k. dataskyddsrambeslutet (rambeslut 2008/977/JHA). Den fråga som ska behandlas vid COREPER är i vilken mån det s.k. COMIX-förfarandet ska tillämpas vid förhandlingarna om kommissionens förslag till dataskyddsreglering. COMIX-förfarandet ska tillämpas i fråga om lagstiftning som innebär en utveckling av Schengenregelverket och innebär att de associerade staterna (dvs. Island, Lichenstein, Norge och Schweiz) ska involveras i diskussionerna, dock inte i beslutsfattandet. Det danska ordförandeskapet konstaterar att Schengenregelverket har en koppling till centrala delar av tillämpningsområdet för direktivet för den brottsbekämpande sektorn. Ordförandeskapet föreslår därför att direktivet ska hanteras fullt ut enligt COMIX-proceduren, vilket innebär att de associerade länderna får delta i diskussionerna på rådsarbetsgruppsnivå samt i COREPER och rådet. Schengenregelverket bedöms emellertid endast ha en marginell koppling till den generella förordningen. Därför föreslår ordförandeskapet att förordningen ska hanteras i COMIX-form på rådsarbetsgruppsnivå, men inte i COREPER och rådet. Om en associerad stat önskar att en särskild fråga ska diskuteras enligt COMIX-förfarandet i COREPER eller i rådet kan den begära att så sker i enlighet med de regler som gäller för COMIX. </w:t>
      </w:r>
    </w:p>
    <w:p w:rsidR="00BB0853" w:rsidRDefault="00BB0853" w:rsidP="0018746F">
      <w:pPr>
        <w:pStyle w:val="Heading2"/>
      </w:pPr>
      <w:bookmarkStart w:id="102" w:name="_Toc317161533"/>
      <w:r>
        <w:t>45. Schengen evaluation of France - Draft Council conclusions on the follow-up to the Schengen evaluation conducted in 2009 and 2010</w:t>
      </w:r>
      <w:bookmarkEnd w:id="102"/>
    </w:p>
    <w:p w:rsidR="00BB0853" w:rsidRPr="0018746F" w:rsidRDefault="00BB0853" w:rsidP="0018746F">
      <w:r w:rsidRPr="0018746F">
        <w:t>6334/12, 17875/11</w:t>
      </w:r>
    </w:p>
    <w:p w:rsidR="00BB0853" w:rsidRDefault="00BB0853" w:rsidP="0078501D"/>
    <w:p w:rsidR="00BB0853" w:rsidRPr="0078501D" w:rsidRDefault="00BB0853" w:rsidP="0078501D">
      <w:r>
        <w:t>Ansvarigt departement: Justitiedepartementet</w:t>
      </w:r>
    </w:p>
    <w:p w:rsidR="00BB0853" w:rsidRDefault="00BB0853" w:rsidP="0078501D"/>
    <w:p w:rsidR="00BB0853" w:rsidRPr="0078501D" w:rsidRDefault="00BB0853" w:rsidP="0078501D">
      <w:r>
        <w:t>Ansvarigt statsråd: Beatrice Ask</w:t>
      </w:r>
    </w:p>
    <w:p w:rsidR="00BB0853" w:rsidRDefault="00BB0853" w:rsidP="0078501D"/>
    <w:p w:rsidR="00BB0853" w:rsidRPr="0078501D" w:rsidRDefault="00BB0853" w:rsidP="0078501D">
      <w:r>
        <w:t>Tidigare behandling vid rådsmöte: Rättsliga och inrikes frågor</w:t>
      </w:r>
    </w:p>
    <w:p w:rsidR="00BB0853" w:rsidRDefault="00BB0853" w:rsidP="0078501D"/>
    <w:p w:rsidR="00BB0853" w:rsidRPr="0078501D" w:rsidRDefault="00BB0853" w:rsidP="0078501D">
      <w:r>
        <w:t>Förväntas godkännas av Coreper II den 16 februari 2012</w:t>
      </w:r>
    </w:p>
    <w:p w:rsidR="00BB0853" w:rsidRDefault="00BB0853" w:rsidP="0078501D"/>
    <w:p w:rsidR="00BB0853" w:rsidRDefault="00BB0853" w:rsidP="0078501D">
      <w:r>
        <w:t xml:space="preserve">En utvärdering av att Frankrike tillämpar Schengenregelverket på ett korrekt sätt har gjorts i enlighet med det sedan tidigare antagna utvärderingsprogrammet. Rådet ska nu anta slutsatser avseende de uppföljningsåtgärder Frankrike vidtagit efter utvärderingen 2009 och 2010. </w:t>
      </w:r>
    </w:p>
    <w:p w:rsidR="00BB0853" w:rsidRDefault="00BB0853" w:rsidP="0078501D"/>
    <w:p w:rsidR="00BB0853" w:rsidRDefault="00BB0853" w:rsidP="0078501D"/>
    <w:p w:rsidR="00BB0853" w:rsidRDefault="00BB0853">
      <w:pPr>
        <w:pStyle w:val="RKnormal"/>
        <w:tabs>
          <w:tab w:val="clear" w:pos="1843"/>
          <w:tab w:val="left" w:pos="0"/>
        </w:tabs>
        <w:ind w:left="0"/>
      </w:pPr>
    </w:p>
    <w:sectPr w:rsidR="00BB0853" w:rsidSect="00E3262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853" w:rsidRDefault="00BB0853">
      <w:r>
        <w:separator/>
      </w:r>
    </w:p>
  </w:endnote>
  <w:endnote w:type="continuationSeparator" w:id="0">
    <w:p w:rsidR="00BB0853" w:rsidRDefault="00BB0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BB0853" w:rsidRDefault="00BB08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BB0853" w:rsidRDefault="00BB085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853" w:rsidRDefault="00BB0853">
      <w:r>
        <w:separator/>
      </w:r>
    </w:p>
  </w:footnote>
  <w:footnote w:type="continuationSeparator" w:id="0">
    <w:p w:rsidR="00BB0853" w:rsidRDefault="00BB0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pStyle w:val="Header"/>
      <w:framePr w:wrap="around" w:vAnchor="text" w:hAnchor="margin" w:xAlign="right" w:y="1"/>
      <w:rPr>
        <w:rStyle w:val="PageNumber"/>
      </w:rPr>
    </w:pPr>
  </w:p>
  <w:p w:rsidR="00BB0853" w:rsidRDefault="00BB0853">
    <w:pPr>
      <w:pStyle w:val="Header"/>
      <w:ind w:right="360"/>
    </w:pPr>
  </w:p>
  <w:p w:rsidR="00BB0853" w:rsidRDefault="00BB085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BB0853" w:rsidRDefault="00BB0853">
    <w:pPr>
      <w:pStyle w:val="Header"/>
    </w:pPr>
  </w:p>
  <w:p w:rsidR="00BB0853" w:rsidRDefault="00BB0853">
    <w:pPr>
      <w:pStyle w:val="Header"/>
      <w:ind w:right="360"/>
    </w:pPr>
  </w:p>
  <w:p w:rsidR="00BB0853" w:rsidRDefault="00BB085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53" w:rsidRDefault="00BB085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BB0853" w:rsidRDefault="00BB08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8E11C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8501D"/>
    <w:rsid w:val="00066082"/>
    <w:rsid w:val="0018746F"/>
    <w:rsid w:val="001D6A5B"/>
    <w:rsid w:val="00267A54"/>
    <w:rsid w:val="004A4DC7"/>
    <w:rsid w:val="00552F51"/>
    <w:rsid w:val="005A23F9"/>
    <w:rsid w:val="005C212F"/>
    <w:rsid w:val="005F1820"/>
    <w:rsid w:val="0078501D"/>
    <w:rsid w:val="00847B54"/>
    <w:rsid w:val="008B5988"/>
    <w:rsid w:val="00936272"/>
    <w:rsid w:val="00A72123"/>
    <w:rsid w:val="00AA2787"/>
    <w:rsid w:val="00AF0928"/>
    <w:rsid w:val="00BA6B91"/>
    <w:rsid w:val="00BB057A"/>
    <w:rsid w:val="00BB0853"/>
    <w:rsid w:val="00C9119B"/>
    <w:rsid w:val="00CC7510"/>
    <w:rsid w:val="00CD4603"/>
    <w:rsid w:val="00D26550"/>
    <w:rsid w:val="00E32625"/>
    <w:rsid w:val="00E66F0C"/>
    <w:rsid w:val="00EC3755"/>
    <w:rsid w:val="00EC3C7C"/>
    <w:rsid w:val="00ED5DCC"/>
    <w:rsid w:val="00F056A7"/>
    <w:rsid w:val="00F7789C"/>
    <w:rsid w:val="00FA243F"/>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2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3262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3262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32625"/>
    <w:pPr>
      <w:spacing w:after="120" w:line="240" w:lineRule="atLeast"/>
      <w:outlineLvl w:val="2"/>
    </w:pPr>
    <w:rPr>
      <w:b w:val="0"/>
    </w:rPr>
  </w:style>
  <w:style w:type="paragraph" w:styleId="Heading4">
    <w:name w:val="heading 4"/>
    <w:basedOn w:val="Heading3"/>
    <w:next w:val="RKnormal"/>
    <w:link w:val="Heading4Char"/>
    <w:uiPriority w:val="99"/>
    <w:qFormat/>
    <w:rsid w:val="00E3262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3262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017B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017B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017B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017BC"/>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E32625"/>
    <w:pPr>
      <w:tabs>
        <w:tab w:val="left" w:pos="1843"/>
        <w:tab w:val="left" w:pos="2835"/>
      </w:tabs>
      <w:spacing w:line="240" w:lineRule="atLeast"/>
      <w:ind w:left="1843"/>
    </w:pPr>
  </w:style>
  <w:style w:type="paragraph" w:customStyle="1" w:styleId="Avsndare">
    <w:name w:val="Avsändare"/>
    <w:basedOn w:val="Normal"/>
    <w:uiPriority w:val="99"/>
    <w:rsid w:val="00E3262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3262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017BC"/>
    <w:rPr>
      <w:rFonts w:ascii="OrigGarmnd BT" w:hAnsi="OrigGarmnd BT"/>
      <w:sz w:val="24"/>
      <w:szCs w:val="20"/>
      <w:lang w:eastAsia="en-US"/>
    </w:rPr>
  </w:style>
  <w:style w:type="paragraph" w:styleId="Header">
    <w:name w:val="header"/>
    <w:basedOn w:val="Normal"/>
    <w:link w:val="HeaderChar"/>
    <w:uiPriority w:val="99"/>
    <w:rsid w:val="00E32625"/>
    <w:pPr>
      <w:tabs>
        <w:tab w:val="center" w:pos="4153"/>
        <w:tab w:val="right" w:pos="8306"/>
      </w:tabs>
    </w:pPr>
  </w:style>
  <w:style w:type="character" w:customStyle="1" w:styleId="HeaderChar">
    <w:name w:val="Header Char"/>
    <w:basedOn w:val="DefaultParagraphFont"/>
    <w:link w:val="Header"/>
    <w:uiPriority w:val="99"/>
    <w:semiHidden/>
    <w:rsid w:val="000017BC"/>
    <w:rPr>
      <w:rFonts w:ascii="OrigGarmnd BT" w:hAnsi="OrigGarmnd BT"/>
      <w:sz w:val="24"/>
      <w:szCs w:val="20"/>
      <w:lang w:eastAsia="en-US"/>
    </w:rPr>
  </w:style>
  <w:style w:type="paragraph" w:customStyle="1" w:styleId="RKrubrik">
    <w:name w:val="RKrubrik"/>
    <w:basedOn w:val="RKnormal"/>
    <w:next w:val="RKnormal"/>
    <w:uiPriority w:val="99"/>
    <w:rsid w:val="00E3262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32625"/>
    <w:rPr>
      <w:rFonts w:cs="Times New Roman"/>
    </w:rPr>
  </w:style>
  <w:style w:type="paragraph" w:styleId="BodyText">
    <w:name w:val="Body Text"/>
    <w:basedOn w:val="Normal"/>
    <w:link w:val="BodyTextChar"/>
    <w:uiPriority w:val="99"/>
    <w:rsid w:val="00E3262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0017BC"/>
    <w:rPr>
      <w:rFonts w:ascii="OrigGarmnd BT" w:hAnsi="OrigGarmnd BT"/>
      <w:sz w:val="24"/>
      <w:szCs w:val="20"/>
      <w:lang w:eastAsia="en-US"/>
    </w:rPr>
  </w:style>
  <w:style w:type="paragraph" w:styleId="FootnoteText">
    <w:name w:val="footnote text"/>
    <w:basedOn w:val="Normal"/>
    <w:link w:val="FootnoteTextChar"/>
    <w:uiPriority w:val="99"/>
    <w:semiHidden/>
    <w:rsid w:val="00E3262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0017BC"/>
    <w:rPr>
      <w:rFonts w:ascii="OrigGarmnd BT" w:hAnsi="OrigGarmnd BT"/>
      <w:sz w:val="20"/>
      <w:szCs w:val="20"/>
      <w:lang w:eastAsia="en-US"/>
    </w:rPr>
  </w:style>
  <w:style w:type="paragraph" w:customStyle="1" w:styleId="UDrubrik">
    <w:name w:val="UDrubrik"/>
    <w:basedOn w:val="Normal"/>
    <w:next w:val="BodyText"/>
    <w:uiPriority w:val="99"/>
    <w:rsid w:val="00E32625"/>
    <w:pPr>
      <w:spacing w:line="320" w:lineRule="exact"/>
    </w:pPr>
    <w:rPr>
      <w:rFonts w:ascii="Arial" w:hAnsi="Arial"/>
      <w:b/>
      <w:sz w:val="22"/>
    </w:rPr>
  </w:style>
  <w:style w:type="paragraph" w:styleId="TOC1">
    <w:name w:val="toc 1"/>
    <w:basedOn w:val="Normal"/>
    <w:next w:val="Normal"/>
    <w:autoRedefine/>
    <w:uiPriority w:val="99"/>
    <w:rsid w:val="00E32625"/>
    <w:pPr>
      <w:spacing w:before="360"/>
    </w:pPr>
    <w:rPr>
      <w:rFonts w:ascii="Arial" w:hAnsi="Arial"/>
      <w:b/>
      <w:bCs/>
      <w:caps/>
      <w:szCs w:val="28"/>
    </w:rPr>
  </w:style>
  <w:style w:type="paragraph" w:styleId="TOC2">
    <w:name w:val="toc 2"/>
    <w:basedOn w:val="Normal"/>
    <w:next w:val="Normal"/>
    <w:autoRedefine/>
    <w:uiPriority w:val="99"/>
    <w:rsid w:val="00E32625"/>
    <w:pPr>
      <w:spacing w:before="240"/>
    </w:pPr>
    <w:rPr>
      <w:rFonts w:ascii="Times New Roman" w:hAnsi="Times New Roman"/>
      <w:b/>
      <w:bCs/>
      <w:szCs w:val="24"/>
    </w:rPr>
  </w:style>
  <w:style w:type="paragraph" w:styleId="TOC3">
    <w:name w:val="toc 3"/>
    <w:basedOn w:val="Normal"/>
    <w:next w:val="Normal"/>
    <w:autoRedefine/>
    <w:uiPriority w:val="99"/>
    <w:semiHidden/>
    <w:rsid w:val="00E32625"/>
    <w:pPr>
      <w:ind w:left="240"/>
    </w:pPr>
    <w:rPr>
      <w:rFonts w:ascii="Times New Roman" w:hAnsi="Times New Roman"/>
      <w:szCs w:val="24"/>
    </w:rPr>
  </w:style>
  <w:style w:type="paragraph" w:styleId="TOC4">
    <w:name w:val="toc 4"/>
    <w:basedOn w:val="Normal"/>
    <w:next w:val="Normal"/>
    <w:autoRedefine/>
    <w:uiPriority w:val="99"/>
    <w:semiHidden/>
    <w:rsid w:val="00E32625"/>
    <w:pPr>
      <w:ind w:left="480"/>
    </w:pPr>
    <w:rPr>
      <w:rFonts w:ascii="Times New Roman" w:hAnsi="Times New Roman"/>
      <w:szCs w:val="24"/>
    </w:rPr>
  </w:style>
  <w:style w:type="paragraph" w:styleId="TOC5">
    <w:name w:val="toc 5"/>
    <w:basedOn w:val="Normal"/>
    <w:next w:val="Normal"/>
    <w:autoRedefine/>
    <w:uiPriority w:val="99"/>
    <w:semiHidden/>
    <w:rsid w:val="00E32625"/>
    <w:pPr>
      <w:ind w:left="720"/>
    </w:pPr>
    <w:rPr>
      <w:rFonts w:ascii="Times New Roman" w:hAnsi="Times New Roman"/>
      <w:szCs w:val="24"/>
    </w:rPr>
  </w:style>
  <w:style w:type="paragraph" w:styleId="TOC6">
    <w:name w:val="toc 6"/>
    <w:basedOn w:val="Normal"/>
    <w:next w:val="Normal"/>
    <w:autoRedefine/>
    <w:uiPriority w:val="99"/>
    <w:semiHidden/>
    <w:rsid w:val="00E32625"/>
    <w:pPr>
      <w:ind w:left="960"/>
    </w:pPr>
    <w:rPr>
      <w:rFonts w:ascii="Times New Roman" w:hAnsi="Times New Roman"/>
      <w:szCs w:val="24"/>
    </w:rPr>
  </w:style>
  <w:style w:type="paragraph" w:styleId="TOC7">
    <w:name w:val="toc 7"/>
    <w:basedOn w:val="Normal"/>
    <w:next w:val="Normal"/>
    <w:autoRedefine/>
    <w:uiPriority w:val="99"/>
    <w:semiHidden/>
    <w:rsid w:val="00E32625"/>
    <w:pPr>
      <w:ind w:left="1200"/>
    </w:pPr>
    <w:rPr>
      <w:rFonts w:ascii="Times New Roman" w:hAnsi="Times New Roman"/>
      <w:szCs w:val="24"/>
    </w:rPr>
  </w:style>
  <w:style w:type="paragraph" w:styleId="TOC8">
    <w:name w:val="toc 8"/>
    <w:basedOn w:val="Normal"/>
    <w:next w:val="Normal"/>
    <w:autoRedefine/>
    <w:uiPriority w:val="99"/>
    <w:semiHidden/>
    <w:rsid w:val="00E32625"/>
    <w:pPr>
      <w:ind w:left="1440"/>
    </w:pPr>
    <w:rPr>
      <w:rFonts w:ascii="Times New Roman" w:hAnsi="Times New Roman"/>
      <w:szCs w:val="24"/>
    </w:rPr>
  </w:style>
  <w:style w:type="paragraph" w:styleId="TOC9">
    <w:name w:val="toc 9"/>
    <w:basedOn w:val="Normal"/>
    <w:next w:val="Normal"/>
    <w:autoRedefine/>
    <w:uiPriority w:val="99"/>
    <w:semiHidden/>
    <w:rsid w:val="00E32625"/>
    <w:pPr>
      <w:ind w:left="1680"/>
    </w:pPr>
    <w:rPr>
      <w:rFonts w:ascii="Times New Roman" w:hAnsi="Times New Roman"/>
      <w:szCs w:val="24"/>
    </w:rPr>
  </w:style>
  <w:style w:type="paragraph" w:customStyle="1" w:styleId="Text1">
    <w:name w:val="Text 1"/>
    <w:basedOn w:val="Normal"/>
    <w:uiPriority w:val="99"/>
    <w:rsid w:val="00E3262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32625"/>
    <w:rPr>
      <w:rFonts w:cs="Times New Roman"/>
      <w:vertAlign w:val="superscript"/>
    </w:rPr>
  </w:style>
  <w:style w:type="paragraph" w:styleId="Index1">
    <w:name w:val="index 1"/>
    <w:basedOn w:val="Normal"/>
    <w:next w:val="Normal"/>
    <w:autoRedefine/>
    <w:uiPriority w:val="99"/>
    <w:semiHidden/>
    <w:rsid w:val="00E32625"/>
    <w:pPr>
      <w:ind w:left="240" w:hanging="240"/>
    </w:pPr>
    <w:rPr>
      <w:rFonts w:ascii="Times New Roman" w:hAnsi="Times New Roman"/>
      <w:szCs w:val="24"/>
    </w:rPr>
  </w:style>
  <w:style w:type="paragraph" w:styleId="Index2">
    <w:name w:val="index 2"/>
    <w:basedOn w:val="Normal"/>
    <w:next w:val="Normal"/>
    <w:autoRedefine/>
    <w:uiPriority w:val="99"/>
    <w:semiHidden/>
    <w:rsid w:val="00E32625"/>
    <w:pPr>
      <w:ind w:left="480" w:hanging="240"/>
    </w:pPr>
    <w:rPr>
      <w:rFonts w:ascii="Times New Roman" w:hAnsi="Times New Roman"/>
      <w:szCs w:val="24"/>
    </w:rPr>
  </w:style>
  <w:style w:type="paragraph" w:styleId="Index3">
    <w:name w:val="index 3"/>
    <w:basedOn w:val="Normal"/>
    <w:next w:val="Normal"/>
    <w:autoRedefine/>
    <w:uiPriority w:val="99"/>
    <w:semiHidden/>
    <w:rsid w:val="00E32625"/>
    <w:pPr>
      <w:ind w:left="720" w:hanging="240"/>
    </w:pPr>
    <w:rPr>
      <w:rFonts w:ascii="Times New Roman" w:hAnsi="Times New Roman"/>
      <w:szCs w:val="24"/>
    </w:rPr>
  </w:style>
  <w:style w:type="paragraph" w:styleId="Index4">
    <w:name w:val="index 4"/>
    <w:basedOn w:val="Normal"/>
    <w:next w:val="Normal"/>
    <w:autoRedefine/>
    <w:uiPriority w:val="99"/>
    <w:semiHidden/>
    <w:rsid w:val="00E32625"/>
    <w:pPr>
      <w:ind w:left="960" w:hanging="240"/>
    </w:pPr>
    <w:rPr>
      <w:rFonts w:ascii="Times New Roman" w:hAnsi="Times New Roman"/>
      <w:szCs w:val="24"/>
    </w:rPr>
  </w:style>
  <w:style w:type="paragraph" w:styleId="Index5">
    <w:name w:val="index 5"/>
    <w:basedOn w:val="Normal"/>
    <w:next w:val="Normal"/>
    <w:autoRedefine/>
    <w:uiPriority w:val="99"/>
    <w:semiHidden/>
    <w:rsid w:val="00E32625"/>
    <w:pPr>
      <w:ind w:left="1200" w:hanging="240"/>
    </w:pPr>
    <w:rPr>
      <w:rFonts w:ascii="Times New Roman" w:hAnsi="Times New Roman"/>
      <w:szCs w:val="24"/>
    </w:rPr>
  </w:style>
  <w:style w:type="paragraph" w:styleId="Index6">
    <w:name w:val="index 6"/>
    <w:basedOn w:val="Normal"/>
    <w:next w:val="Normal"/>
    <w:autoRedefine/>
    <w:uiPriority w:val="99"/>
    <w:semiHidden/>
    <w:rsid w:val="00E32625"/>
    <w:pPr>
      <w:ind w:left="1440" w:hanging="240"/>
    </w:pPr>
    <w:rPr>
      <w:rFonts w:ascii="Times New Roman" w:hAnsi="Times New Roman"/>
      <w:szCs w:val="24"/>
    </w:rPr>
  </w:style>
  <w:style w:type="paragraph" w:styleId="Index7">
    <w:name w:val="index 7"/>
    <w:basedOn w:val="Normal"/>
    <w:next w:val="Normal"/>
    <w:autoRedefine/>
    <w:uiPriority w:val="99"/>
    <w:semiHidden/>
    <w:rsid w:val="00E32625"/>
    <w:pPr>
      <w:ind w:left="1680" w:hanging="240"/>
    </w:pPr>
    <w:rPr>
      <w:rFonts w:ascii="Times New Roman" w:hAnsi="Times New Roman"/>
      <w:szCs w:val="24"/>
    </w:rPr>
  </w:style>
  <w:style w:type="paragraph" w:styleId="Index8">
    <w:name w:val="index 8"/>
    <w:basedOn w:val="Normal"/>
    <w:next w:val="Normal"/>
    <w:autoRedefine/>
    <w:uiPriority w:val="99"/>
    <w:semiHidden/>
    <w:rsid w:val="00E32625"/>
    <w:pPr>
      <w:ind w:left="1920" w:hanging="240"/>
    </w:pPr>
    <w:rPr>
      <w:rFonts w:ascii="Times New Roman" w:hAnsi="Times New Roman"/>
      <w:szCs w:val="24"/>
    </w:rPr>
  </w:style>
  <w:style w:type="paragraph" w:styleId="Index9">
    <w:name w:val="index 9"/>
    <w:basedOn w:val="Normal"/>
    <w:next w:val="Normal"/>
    <w:autoRedefine/>
    <w:uiPriority w:val="99"/>
    <w:semiHidden/>
    <w:rsid w:val="00E32625"/>
    <w:pPr>
      <w:ind w:left="2160" w:hanging="240"/>
    </w:pPr>
    <w:rPr>
      <w:rFonts w:ascii="Times New Roman" w:hAnsi="Times New Roman"/>
      <w:szCs w:val="24"/>
    </w:rPr>
  </w:style>
  <w:style w:type="paragraph" w:styleId="IndexHeading">
    <w:name w:val="index heading"/>
    <w:basedOn w:val="Normal"/>
    <w:next w:val="Index1"/>
    <w:uiPriority w:val="99"/>
    <w:semiHidden/>
    <w:rsid w:val="00E32625"/>
    <w:pPr>
      <w:spacing w:before="120" w:after="120"/>
    </w:pPr>
    <w:rPr>
      <w:rFonts w:ascii="Times New Roman" w:hAnsi="Times New Roman"/>
      <w:b/>
      <w:bCs/>
      <w:i/>
      <w:iCs/>
      <w:szCs w:val="24"/>
    </w:rPr>
  </w:style>
  <w:style w:type="paragraph" w:customStyle="1" w:styleId="EntEmet">
    <w:name w:val="EntEmet"/>
    <w:basedOn w:val="Normal"/>
    <w:uiPriority w:val="99"/>
    <w:rsid w:val="00E3262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32625"/>
    <w:pPr>
      <w:spacing w:line="240" w:lineRule="auto"/>
    </w:pPr>
    <w:rPr>
      <w:rFonts w:ascii="Arial" w:hAnsi="Arial"/>
      <w:lang w:val="en-GB"/>
    </w:rPr>
  </w:style>
  <w:style w:type="paragraph" w:customStyle="1" w:styleId="Avsndare0">
    <w:name w:val="Avsndare"/>
    <w:basedOn w:val="Normal"/>
    <w:next w:val="Normal"/>
    <w:uiPriority w:val="99"/>
    <w:rsid w:val="00E32625"/>
    <w:pPr>
      <w:spacing w:line="240" w:lineRule="auto"/>
    </w:pPr>
    <w:rPr>
      <w:rFonts w:ascii="Arial" w:hAnsi="Arial"/>
      <w:i/>
      <w:lang w:val="en-GB"/>
    </w:rPr>
  </w:style>
  <w:style w:type="character" w:styleId="Hyperlink">
    <w:name w:val="Hyperlink"/>
    <w:basedOn w:val="DefaultParagraphFont"/>
    <w:uiPriority w:val="99"/>
    <w:rsid w:val="00E32625"/>
    <w:rPr>
      <w:rFonts w:cs="Times New Roman"/>
      <w:color w:val="0000FF"/>
      <w:u w:val="single"/>
    </w:rPr>
  </w:style>
  <w:style w:type="paragraph" w:styleId="DocumentMap">
    <w:name w:val="Document Map"/>
    <w:basedOn w:val="Normal"/>
    <w:link w:val="DocumentMapChar"/>
    <w:uiPriority w:val="99"/>
    <w:semiHidden/>
    <w:rsid w:val="00E3262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017BC"/>
    <w:rPr>
      <w:sz w:val="0"/>
      <w:szCs w:val="0"/>
      <w:lang w:eastAsia="en-US"/>
    </w:rPr>
  </w:style>
  <w:style w:type="character" w:styleId="FollowedHyperlink">
    <w:name w:val="FollowedHyperlink"/>
    <w:basedOn w:val="DefaultParagraphFont"/>
    <w:uiPriority w:val="99"/>
    <w:rsid w:val="00E32625"/>
    <w:rPr>
      <w:rFonts w:cs="Times New Roman"/>
      <w:color w:val="800080"/>
      <w:u w:val="single"/>
    </w:rPr>
  </w:style>
  <w:style w:type="paragraph" w:customStyle="1" w:styleId="Par-number10">
    <w:name w:val="Par-number 1)"/>
    <w:basedOn w:val="Normal"/>
    <w:next w:val="Normal"/>
    <w:uiPriority w:val="99"/>
    <w:rsid w:val="00E3262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3262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3262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3262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3262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3262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3262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3262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3262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3262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3262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3262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0017BC"/>
    <w:rPr>
      <w:rFonts w:ascii="OrigGarmnd BT" w:hAnsi="OrigGarmnd BT"/>
      <w:sz w:val="20"/>
      <w:szCs w:val="20"/>
      <w:lang w:eastAsia="en-US"/>
    </w:rPr>
  </w:style>
  <w:style w:type="paragraph" w:customStyle="1" w:styleId="EntRefer">
    <w:name w:val="EntRefer"/>
    <w:basedOn w:val="Normal"/>
    <w:uiPriority w:val="99"/>
    <w:rsid w:val="00E3262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32625"/>
    <w:pPr>
      <w:spacing w:line="240" w:lineRule="auto"/>
    </w:pPr>
    <w:rPr>
      <w:rFonts w:ascii="Times New Roman" w:hAnsi="Times New Roman"/>
      <w:lang w:val="en-GB" w:eastAsia="fr-BE"/>
    </w:rPr>
  </w:style>
  <w:style w:type="paragraph" w:customStyle="1" w:styleId="Tiret1">
    <w:name w:val="Tiret 1"/>
    <w:basedOn w:val="Normal"/>
    <w:uiPriority w:val="99"/>
    <w:rsid w:val="00E3262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3262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32625"/>
    <w:pPr>
      <w:overflowPunct w:val="0"/>
      <w:autoSpaceDE w:val="0"/>
      <w:autoSpaceDN w:val="0"/>
      <w:adjustRightInd w:val="0"/>
      <w:ind w:left="1843"/>
      <w:textAlignment w:val="baseline"/>
    </w:pPr>
  </w:style>
  <w:style w:type="paragraph" w:customStyle="1" w:styleId="Brdtext0">
    <w:name w:val="Brˆdtext"/>
    <w:basedOn w:val="Normal"/>
    <w:uiPriority w:val="99"/>
    <w:rsid w:val="00E32625"/>
    <w:pPr>
      <w:spacing w:line="320" w:lineRule="exact"/>
    </w:pPr>
    <w:rPr>
      <w:rFonts w:ascii="Times New Roman" w:hAnsi="Times New Roman"/>
    </w:rPr>
  </w:style>
  <w:style w:type="character" w:customStyle="1" w:styleId="term">
    <w:name w:val="term"/>
    <w:basedOn w:val="DefaultParagraphFont"/>
    <w:uiPriority w:val="99"/>
    <w:rsid w:val="00E32625"/>
    <w:rPr>
      <w:rFonts w:cs="Times New Roman"/>
    </w:rPr>
  </w:style>
  <w:style w:type="paragraph" w:customStyle="1" w:styleId="Brdtexthuvud">
    <w:name w:val="Brödtext huvud"/>
    <w:basedOn w:val="Normal"/>
    <w:uiPriority w:val="99"/>
    <w:rsid w:val="00E3262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N0402\Desktop\SkapaTroligApunktslista_Vers%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SkapaTroligApunktslista_Vers 1.1</Template>
  <TotalTime>1</TotalTime>
  <Pages>34</Pages>
  <Words>8358</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Helena F Konstantinidou</cp:lastModifiedBy>
  <cp:revision>2</cp:revision>
  <cp:lastPrinted>2012-02-16T08:34:00Z</cp:lastPrinted>
  <dcterms:created xsi:type="dcterms:W3CDTF">2012-02-16T12:23:00Z</dcterms:created>
  <dcterms:modified xsi:type="dcterms:W3CDTF">2012-02-16T12:23:00Z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