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FCB" w:rsidRPr="00B361EE" w:rsidRDefault="002F3FCB" w:rsidP="005D05EE">
      <w:pPr>
        <w:pStyle w:val="Hemstlrubrik"/>
      </w:pPr>
      <w:r w:rsidRPr="00B361EE">
        <w:t>Förslag till riksdagsbeslut</w:t>
      </w:r>
    </w:p>
    <w:p w:rsidR="002F3FCB" w:rsidRPr="00B361EE" w:rsidRDefault="002F3FCB">
      <w:pPr>
        <w:pStyle w:val="Hemstlatt"/>
      </w:pPr>
      <w:r w:rsidRPr="00B361EE">
        <w:t>Riksdagen tillkännager för regeringen som sin mening vad som i moti</w:t>
      </w:r>
      <w:r w:rsidRPr="00B361EE">
        <w:t>o</w:t>
      </w:r>
      <w:r w:rsidRPr="00B361EE">
        <w:t>nen anförs om en förbättrad alkoholpolitik inom EU.</w:t>
      </w:r>
    </w:p>
    <w:p w:rsidR="002F3FCB" w:rsidRPr="00B361EE" w:rsidRDefault="002F3FCB">
      <w:pPr>
        <w:pStyle w:val="Hemstlatt"/>
      </w:pPr>
      <w:r w:rsidRPr="00B361EE">
        <w:t>Riksdagen tillkännager för regeringen som sin mening vad som i moti</w:t>
      </w:r>
      <w:r w:rsidRPr="00B361EE">
        <w:t>o</w:t>
      </w:r>
      <w:r w:rsidRPr="00B361EE">
        <w:t>nen anförs om att sänka de indikativa nivåerna för vad som är att b</w:t>
      </w:r>
      <w:r w:rsidRPr="00B361EE">
        <w:t>e</w:t>
      </w:r>
      <w:r w:rsidRPr="00B361EE">
        <w:t>trakta som personligt bruk vid införsel av alkohol.</w:t>
      </w:r>
      <w:r w:rsidRPr="00B361EE">
        <w:rPr>
          <w:vertAlign w:val="superscript"/>
        </w:rPr>
        <w:t>1</w:t>
      </w:r>
    </w:p>
    <w:p w:rsidR="002F3FCB" w:rsidRPr="00B361EE" w:rsidRDefault="002F3FCB">
      <w:pPr>
        <w:pStyle w:val="Hemstlatt"/>
      </w:pPr>
      <w:r w:rsidRPr="00B361EE">
        <w:t>Riksdagen tillkännager för regeringen som sin mening vad som i moti</w:t>
      </w:r>
      <w:r w:rsidRPr="00B361EE">
        <w:t>o</w:t>
      </w:r>
      <w:r w:rsidRPr="00B361EE">
        <w:t>nen anförs om att Sverige aktivt och kraftfullt bör driva kravet att alk</w:t>
      </w:r>
      <w:r w:rsidRPr="00B361EE">
        <w:t>o</w:t>
      </w:r>
      <w:r w:rsidRPr="00B361EE">
        <w:t>holpol</w:t>
      </w:r>
      <w:r w:rsidRPr="00B361EE">
        <w:t>i</w:t>
      </w:r>
      <w:r w:rsidRPr="00B361EE">
        <w:t>tiken får ett folkhälsoperspektiv och att alkohol inte bör betraktas som en handelsvara vilken som helst.</w:t>
      </w:r>
    </w:p>
    <w:p w:rsidR="002F3FCB" w:rsidRPr="00B361EE" w:rsidRDefault="002F3FCB" w:rsidP="002F3FCB"/>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ind w:firstLine="0"/>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5D05EE" w:rsidRPr="00B361EE" w:rsidRDefault="005D05EE" w:rsidP="005D05EE">
      <w:pPr>
        <w:pStyle w:val="Normaltindrag"/>
      </w:pPr>
    </w:p>
    <w:p w:rsidR="002F3FCB" w:rsidRPr="00B361EE" w:rsidRDefault="002F3FCB" w:rsidP="005D05EE">
      <w:pPr>
        <w:pStyle w:val="Normaltindrag"/>
        <w:ind w:firstLine="0"/>
        <w:rPr>
          <w:sz w:val="16"/>
          <w:szCs w:val="16"/>
        </w:rPr>
      </w:pPr>
      <w:r w:rsidRPr="00B361EE">
        <w:rPr>
          <w:vertAlign w:val="superscript"/>
        </w:rPr>
        <w:t>1</w:t>
      </w:r>
      <w:r w:rsidRPr="00B361EE">
        <w:rPr>
          <w:sz w:val="16"/>
          <w:szCs w:val="16"/>
        </w:rPr>
        <w:t>Yrkande 2 hänvisat till SkU</w:t>
      </w:r>
      <w:r w:rsidR="005D05EE" w:rsidRPr="00B361EE">
        <w:rPr>
          <w:sz w:val="16"/>
          <w:szCs w:val="16"/>
        </w:rPr>
        <w:t>.</w:t>
      </w:r>
    </w:p>
    <w:p w:rsidR="002F3FCB" w:rsidRPr="00B361EE" w:rsidRDefault="002F3FCB" w:rsidP="005D05EE">
      <w:pPr>
        <w:pStyle w:val="Rubrik1"/>
        <w:pageBreakBefore/>
        <w:spacing w:before="0"/>
      </w:pPr>
      <w:r w:rsidRPr="00B361EE">
        <w:lastRenderedPageBreak/>
        <w:t>Motivering</w:t>
      </w:r>
    </w:p>
    <w:p w:rsidR="002F3FCB" w:rsidRPr="00B361EE" w:rsidRDefault="002F3FCB" w:rsidP="005D05EE">
      <w:r w:rsidRPr="00B361EE">
        <w:t>Med hänvisning till kravet på den fria rörligheten av varor har den nationella svenska alkoholpolitiken beskurits i sin effektivitet. De alkoholpolitiska m</w:t>
      </w:r>
      <w:r w:rsidRPr="00B361EE">
        <w:t>o</w:t>
      </w:r>
      <w:r w:rsidRPr="00B361EE">
        <w:t>tiven för att begränsa alkoholskadorna har avvisats med hänvisning till kravet på fri rörlighet. Alkoholskadorna och alkoholkonsumtionen är stadigt på väg upp och vårt land har nu den högsta alkoholkonsumtionen på 100 år.</w:t>
      </w:r>
    </w:p>
    <w:p w:rsidR="002F3FCB" w:rsidRPr="00B361EE" w:rsidRDefault="002F3FCB">
      <w:pPr>
        <w:pStyle w:val="Normaltindrag"/>
      </w:pPr>
      <w:r w:rsidRPr="00B361EE">
        <w:t>Den viktigaste orsaken till den snabba ökningen är EU:s krav på att Sver</w:t>
      </w:r>
      <w:r w:rsidRPr="00B361EE">
        <w:t>i</w:t>
      </w:r>
      <w:r w:rsidRPr="00B361EE">
        <w:t>ge ska medge införsel av alkohol för personligt bruk, utan krav på den enski</w:t>
      </w:r>
      <w:r w:rsidRPr="00B361EE">
        <w:t>l</w:t>
      </w:r>
      <w:r w:rsidRPr="00B361EE">
        <w:t>de att skatta för alkoholen i Sverige.</w:t>
      </w:r>
    </w:p>
    <w:p w:rsidR="002F3FCB" w:rsidRPr="00B361EE" w:rsidRDefault="002F3FCB">
      <w:pPr>
        <w:pStyle w:val="Normaltindrag"/>
      </w:pPr>
      <w:r w:rsidRPr="00B361EE">
        <w:t>Samtidigt har EU i vissa andra avseenden börjat närma sig något som kan betecknas som en restriktiv alkoholpolitik. Första tecknet på detta var i början av 1990-talet då tanken på en minimiskatt på alkoholdrycker presenterades. Motivet var att man redan då förutsåg att de stora skatteskillnader som fanns mellan dåvarande medlemmar på sikt skulle skapa gränshandelsproblem. Frågan har varit föremål för behandling i kommissionen med viss regelbu</w:t>
      </w:r>
      <w:r w:rsidRPr="00B361EE">
        <w:t>n</w:t>
      </w:r>
      <w:r w:rsidRPr="00B361EE">
        <w:t>denhet sedan dess.</w:t>
      </w:r>
    </w:p>
    <w:p w:rsidR="002F3FCB" w:rsidRPr="00B361EE" w:rsidRDefault="002F3FCB">
      <w:pPr>
        <w:pStyle w:val="Normaltindrag"/>
      </w:pPr>
      <w:r w:rsidRPr="00B361EE">
        <w:t>Vidare har EU stöttat olika forskningsprojekt, bland annat ECAS, Europ</w:t>
      </w:r>
      <w:r w:rsidRPr="00B361EE">
        <w:t>e</w:t>
      </w:r>
      <w:r w:rsidRPr="00B361EE">
        <w:t>an Comparative Alcohol Studies, samt olika projekt där olika NGO:</w:t>
      </w:r>
      <w:r w:rsidR="005D05EE" w:rsidRPr="00B361EE">
        <w:t>er</w:t>
      </w:r>
      <w:r w:rsidRPr="00B361EE">
        <w:t xml:space="preserve"> varit aktörer.</w:t>
      </w:r>
    </w:p>
    <w:p w:rsidR="002F3FCB" w:rsidRPr="00B361EE" w:rsidRDefault="002F3FCB">
      <w:pPr>
        <w:pStyle w:val="Normaltindrag"/>
      </w:pPr>
      <w:r w:rsidRPr="00B361EE">
        <w:t>Många av EU:s medlemmar har också aktiverat sig inom det alkoholpol</w:t>
      </w:r>
      <w:r w:rsidRPr="00B361EE">
        <w:t>i</w:t>
      </w:r>
      <w:r w:rsidRPr="00B361EE">
        <w:t>tiska fältet. Skattehöjningar på alkoläsk i Tyskland, sänkta promillegränser i en rad länder, skarpa reklamregler i Frankrike och beslut om att fördubbla skatten på alkoläsk, Eurosport kommer att avveckla sin alkoholreklam, Es</w:t>
      </w:r>
      <w:r w:rsidRPr="00B361EE">
        <w:t>t</w:t>
      </w:r>
      <w:r w:rsidRPr="00B361EE">
        <w:t>land kommer att öka sin spritskatt. Det är exempel på att alkoholpolitiken inte längre är lika åsidosatt som den en gång var. Sverige bör stödja denna inrik</w:t>
      </w:r>
      <w:r w:rsidRPr="00B361EE">
        <w:t>t</w:t>
      </w:r>
      <w:r w:rsidRPr="00B361EE">
        <w:t>ning och öka insatserna för en förbättrad alkoholpolitik inom EU.</w:t>
      </w:r>
    </w:p>
    <w:p w:rsidR="002F3FCB" w:rsidRPr="00B361EE" w:rsidRDefault="002F3FCB">
      <w:pPr>
        <w:pStyle w:val="Normaltindrag"/>
      </w:pPr>
      <w:r w:rsidRPr="00B361EE">
        <w:t>Ett krav som bör drivas är att EU erkänner att folkhälsan är lika viktig som den fria rörligheten. Alkohol bör inte betraktas som en handelsvara vilken som helst. Istället för att som idag klassificera alkohol som livsmedel, bör alkohol klassificeras som medicin.</w:t>
      </w:r>
    </w:p>
    <w:p w:rsidR="002F3FCB" w:rsidRPr="00B361EE" w:rsidRDefault="002F3FCB">
      <w:pPr>
        <w:pStyle w:val="Normaltindrag"/>
      </w:pPr>
      <w:r w:rsidRPr="00B361EE">
        <w:t>En konkret följd av att ge folkhälsoaspekten en ökad tyngd måste vara att begränsa den mängd alkohol som obehindrat får föras över gränserna utan att betala skatt i införsellandet. Den svenska regeringen bör därför kraftfullt driva kravet att EU radikalt sänker de indikativa nivåerna för införsel av alkohol.</w:t>
      </w:r>
    </w:p>
    <w:p w:rsidR="002F3FCB" w:rsidRPr="00B361EE" w:rsidRDefault="002F3FCB">
      <w:pPr>
        <w:pStyle w:val="Normaltindrag"/>
      </w:pPr>
      <w:r w:rsidRPr="00B361EE">
        <w:t xml:space="preserve">De nivåer som idag av EU anses vara för personligt bruk och som får föras in är </w:t>
      </w:r>
      <w:smartTag w:uri="urn:schemas-microsoft-com:office:smarttags" w:element="metricconverter">
        <w:smartTagPr>
          <w:attr w:name="ProductID" w:val="10 liter"/>
        </w:smartTagPr>
        <w:r w:rsidRPr="00B361EE">
          <w:t>10 liter</w:t>
        </w:r>
      </w:smartTag>
      <w:r w:rsidRPr="00B361EE">
        <w:t xml:space="preserve"> spritdrycker, </w:t>
      </w:r>
      <w:smartTag w:uri="urn:schemas-microsoft-com:office:smarttags" w:element="metricconverter">
        <w:smartTagPr>
          <w:attr w:name="ProductID" w:val="20 liter"/>
        </w:smartTagPr>
        <w:r w:rsidRPr="00B361EE">
          <w:t>20 liter</w:t>
        </w:r>
      </w:smartTag>
      <w:r w:rsidRPr="00B361EE">
        <w:t xml:space="preserve"> mellanprodukter, </w:t>
      </w:r>
      <w:smartTag w:uri="urn:schemas-microsoft-com:office:smarttags" w:element="metricconverter">
        <w:smartTagPr>
          <w:attr w:name="ProductID" w:val="90 liter"/>
        </w:smartTagPr>
        <w:r w:rsidRPr="00B361EE">
          <w:t>90 liter</w:t>
        </w:r>
      </w:smartTag>
      <w:r w:rsidRPr="00B361EE">
        <w:t xml:space="preserve"> vin och </w:t>
      </w:r>
      <w:smartTag w:uri="urn:schemas-microsoft-com:office:smarttags" w:element="metricconverter">
        <w:smartTagPr>
          <w:attr w:name="ProductID" w:val="110 liter"/>
        </w:smartTagPr>
        <w:r w:rsidRPr="00B361EE">
          <w:t>110 liter</w:t>
        </w:r>
      </w:smartTag>
      <w:r w:rsidRPr="00B361EE">
        <w:t xml:space="preserve"> öl. Det är en mängd som motsvarar minst 2,5 års konsumtion för en norma</w:t>
      </w:r>
      <w:r w:rsidRPr="00B361EE">
        <w:t>l</w:t>
      </w:r>
      <w:r w:rsidRPr="00B361EE">
        <w:t>konsument. Om den enskilde kan göra troligt att han/hon på grund av social aktivitet har behov av ytterligare alkohol för personligt bruk får ännu större kvantiteter föras in över gränsen. De indikativa nivåerna för vad som är att betrakta som införsel för personligt bruk skiljer sig radikalt från det synsätt som tillämpas för tobak. Där går gränsen vid 800 cigaretter, motsvarande den konsumtion många rökare har under 40 dagar. Några egentliga undantag tillämpas inte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05EE" w:rsidRPr="00B361EE">
        <w:tblPrEx>
          <w:tblCellMar>
            <w:top w:w="0" w:type="dxa"/>
            <w:bottom w:w="0" w:type="dxa"/>
          </w:tblCellMar>
        </w:tblPrEx>
        <w:trPr>
          <w:cantSplit/>
        </w:trPr>
        <w:tc>
          <w:tcPr>
            <w:tcW w:w="3046" w:type="dxa"/>
          </w:tcPr>
          <w:p w:rsidR="005D05EE" w:rsidRPr="00B361EE" w:rsidRDefault="005D05EE" w:rsidP="005D05EE">
            <w:pPr>
              <w:pStyle w:val="UnderskriftDatum"/>
              <w:spacing w:before="0"/>
            </w:pPr>
            <w:r w:rsidRPr="00B361EE">
              <w:t>Stockholm den 3 oktober 2005</w:t>
            </w:r>
          </w:p>
        </w:tc>
        <w:tc>
          <w:tcPr>
            <w:tcW w:w="3047" w:type="dxa"/>
          </w:tcPr>
          <w:p w:rsidR="005D05EE" w:rsidRPr="00B361EE" w:rsidRDefault="005D05EE" w:rsidP="005D05EE">
            <w:pPr>
              <w:pStyle w:val="Underskrifter"/>
            </w:pPr>
          </w:p>
        </w:tc>
      </w:tr>
      <w:tr w:rsidR="005D05EE" w:rsidRPr="00B361EE">
        <w:tblPrEx>
          <w:tblCellMar>
            <w:top w:w="0" w:type="dxa"/>
            <w:bottom w:w="0" w:type="dxa"/>
          </w:tblCellMar>
        </w:tblPrEx>
        <w:trPr>
          <w:cantSplit/>
        </w:trPr>
        <w:tc>
          <w:tcPr>
            <w:tcW w:w="3046" w:type="dxa"/>
          </w:tcPr>
          <w:p w:rsidR="005D05EE" w:rsidRPr="00B361EE" w:rsidRDefault="005D05EE" w:rsidP="005D05EE">
            <w:pPr>
              <w:pStyle w:val="Underskrifter"/>
            </w:pPr>
            <w:r w:rsidRPr="00B361EE">
              <w:t>Nils-Erik Söderqvist (s)</w:t>
            </w:r>
          </w:p>
        </w:tc>
        <w:tc>
          <w:tcPr>
            <w:tcW w:w="3047" w:type="dxa"/>
          </w:tcPr>
          <w:p w:rsidR="005D05EE" w:rsidRPr="00B361EE" w:rsidRDefault="005D05EE" w:rsidP="005D05EE">
            <w:pPr>
              <w:pStyle w:val="Underskrifter"/>
            </w:pPr>
          </w:p>
        </w:tc>
      </w:tr>
      <w:tr w:rsidR="005D05EE" w:rsidRPr="00B361EE">
        <w:tblPrEx>
          <w:tblCellMar>
            <w:top w:w="0" w:type="dxa"/>
            <w:bottom w:w="0" w:type="dxa"/>
          </w:tblCellMar>
        </w:tblPrEx>
        <w:trPr>
          <w:cantSplit/>
        </w:trPr>
        <w:tc>
          <w:tcPr>
            <w:tcW w:w="3046" w:type="dxa"/>
          </w:tcPr>
          <w:p w:rsidR="005D05EE" w:rsidRPr="00B361EE" w:rsidRDefault="005D05EE" w:rsidP="005D05EE">
            <w:pPr>
              <w:pStyle w:val="Underskrifter"/>
            </w:pPr>
            <w:r w:rsidRPr="00B361EE">
              <w:t>Jan Björkman (s)</w:t>
            </w:r>
          </w:p>
        </w:tc>
        <w:tc>
          <w:tcPr>
            <w:tcW w:w="3047" w:type="dxa"/>
          </w:tcPr>
          <w:p w:rsidR="005D05EE" w:rsidRPr="00B361EE" w:rsidRDefault="005D05EE" w:rsidP="005D05EE">
            <w:pPr>
              <w:pStyle w:val="Underskrifter"/>
            </w:pPr>
            <w:r w:rsidRPr="00B361EE">
              <w:t>Agneta Lundberg (s)</w:t>
            </w:r>
          </w:p>
        </w:tc>
      </w:tr>
    </w:tbl>
    <w:p w:rsidR="002F3FCB" w:rsidRPr="00B361EE" w:rsidRDefault="002F3FCB" w:rsidP="005D05EE">
      <w:pPr>
        <w:pStyle w:val="Normaltindrag"/>
      </w:pPr>
    </w:p>
    <w:sectPr w:rsidR="002F3FCB" w:rsidRPr="00B361EE" w:rsidSect="005D0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AC7" w:rsidRPr="00B361EE" w:rsidRDefault="00087AC7">
      <w:r w:rsidRPr="00B361EE">
        <w:separator/>
      </w:r>
    </w:p>
  </w:endnote>
  <w:endnote w:type="continuationSeparator" w:id="0">
    <w:p w:rsidR="00087AC7" w:rsidRPr="00B361EE" w:rsidRDefault="00087AC7">
      <w:r w:rsidRPr="00B36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B361EE" w:rsidP="005D05EE">
    <w:pPr>
      <w:pStyle w:val="Sidfot"/>
    </w:pPr>
    <w:r w:rsidRPr="00B36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705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EE" w:rsidRDefault="005D05EE">
                          <w:pPr>
                            <w:pStyle w:val="NormalS5sidnrV"/>
                          </w:pPr>
                          <w:r>
                            <w:fldChar w:fldCharType="begin"/>
                          </w:r>
                          <w:r>
                            <w:instrText xml:space="preserve"> PAGE *\charformat</w:instrText>
                          </w:r>
                          <w:r>
                            <w:fldChar w:fldCharType="separate"/>
                          </w:r>
                          <w:r w:rsidR="001C26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5EE" w:rsidRDefault="005D05EE">
                    <w:pPr>
                      <w:pStyle w:val="NormalS5sidnrV"/>
                    </w:pPr>
                    <w:r>
                      <w:fldChar w:fldCharType="begin"/>
                    </w:r>
                    <w:r>
                      <w:instrText xml:space="preserve"> PAGE *\charformat</w:instrText>
                    </w:r>
                    <w:r>
                      <w:fldChar w:fldCharType="separate"/>
                    </w:r>
                    <w:r w:rsidR="001C269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B361EE" w:rsidP="005D05EE">
    <w:pPr>
      <w:pStyle w:val="Sidfot"/>
    </w:pPr>
    <w:r w:rsidRPr="00B36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303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EE" w:rsidRDefault="005D05EE">
                          <w:pPr>
                            <w:pStyle w:val="NormalS5sidnrH"/>
                            <w:ind w:right="0"/>
                          </w:pPr>
                          <w:r>
                            <w:fldChar w:fldCharType="begin"/>
                          </w:r>
                          <w:r>
                            <w:instrText xml:space="preserve"> PAGE *\charformat</w:instrText>
                          </w:r>
                          <w:r>
                            <w:fldChar w:fldCharType="separate"/>
                          </w:r>
                          <w:r w:rsidR="001C26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5EE" w:rsidRDefault="005D05EE">
                    <w:pPr>
                      <w:pStyle w:val="NormalS5sidnrH"/>
                      <w:ind w:right="0"/>
                    </w:pPr>
                    <w:r>
                      <w:fldChar w:fldCharType="begin"/>
                    </w:r>
                    <w:r>
                      <w:instrText xml:space="preserve"> PAGE *\charformat</w:instrText>
                    </w:r>
                    <w:r>
                      <w:fldChar w:fldCharType="separate"/>
                    </w:r>
                    <w:r w:rsidR="001C269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B361EE" w:rsidP="005D05EE">
    <w:pPr>
      <w:pStyle w:val="Sidfot"/>
    </w:pPr>
    <w:r w:rsidRPr="00B36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235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EE" w:rsidRDefault="005D05EE">
                          <w:pPr>
                            <w:pStyle w:val="NormalS5sidnrH"/>
                            <w:ind w:right="0"/>
                          </w:pPr>
                          <w:r>
                            <w:fldChar w:fldCharType="begin"/>
                          </w:r>
                          <w:r>
                            <w:instrText xml:space="preserve"> PAGE *\charformat</w:instrText>
                          </w:r>
                          <w:r>
                            <w:fldChar w:fldCharType="separate"/>
                          </w:r>
                          <w:r w:rsidR="001C26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5EE" w:rsidRDefault="005D05EE">
                    <w:pPr>
                      <w:pStyle w:val="NormalS5sidnrH"/>
                      <w:ind w:right="0"/>
                    </w:pPr>
                    <w:r>
                      <w:fldChar w:fldCharType="begin"/>
                    </w:r>
                    <w:r>
                      <w:instrText xml:space="preserve"> PAGE *\charformat</w:instrText>
                    </w:r>
                    <w:r>
                      <w:fldChar w:fldCharType="separate"/>
                    </w:r>
                    <w:r w:rsidR="001C269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AC7" w:rsidRPr="00B361EE" w:rsidRDefault="00087AC7">
      <w:r w:rsidRPr="00B361EE">
        <w:separator/>
      </w:r>
    </w:p>
  </w:footnote>
  <w:footnote w:type="continuationSeparator" w:id="0">
    <w:p w:rsidR="00087AC7" w:rsidRPr="00B361EE" w:rsidRDefault="00087AC7">
      <w:r w:rsidRPr="00B36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B361EE" w:rsidP="005D05EE">
    <w:pPr>
      <w:pStyle w:val="Sidhuvud"/>
    </w:pPr>
    <w:r w:rsidRPr="00B36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539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EE" w:rsidRDefault="005D05EE">
                          <w:pPr>
                            <w:pStyle w:val="KantRubrikS5V"/>
                          </w:pPr>
                          <w:r>
                            <w:fldChar w:fldCharType="begin"/>
                          </w:r>
                          <w:r>
                            <w:instrText xml:space="preserve"> DOCPROPERTY "YearUser" *\charformat </w:instrText>
                          </w:r>
                          <w:r>
                            <w:fldChar w:fldCharType="separate"/>
                          </w:r>
                          <w:r w:rsidR="001C269A">
                            <w:t>2005/06</w:t>
                          </w:r>
                          <w:r>
                            <w:fldChar w:fldCharType="end"/>
                          </w:r>
                          <w:r>
                            <w:t>:</w:t>
                          </w:r>
                          <w:r>
                            <w:fldChar w:fldCharType="begin"/>
                          </w:r>
                          <w:r>
                            <w:instrText xml:space="preserve"> DOCPROPERTY "Motionsnummer" *\charformat </w:instrText>
                          </w:r>
                          <w:r>
                            <w:fldChar w:fldCharType="separate"/>
                          </w:r>
                          <w:r w:rsidR="001C269A">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5EE" w:rsidRDefault="005D05EE">
                    <w:pPr>
                      <w:pStyle w:val="KantRubrikS5V"/>
                    </w:pPr>
                    <w:r>
                      <w:fldChar w:fldCharType="begin"/>
                    </w:r>
                    <w:r>
                      <w:instrText xml:space="preserve"> DOCPROPERTY "YearUser" *\charformat </w:instrText>
                    </w:r>
                    <w:r>
                      <w:fldChar w:fldCharType="separate"/>
                    </w:r>
                    <w:r w:rsidR="001C269A">
                      <w:t>2005/06</w:t>
                    </w:r>
                    <w:r>
                      <w:fldChar w:fldCharType="end"/>
                    </w:r>
                    <w:r>
                      <w:t>:</w:t>
                    </w:r>
                    <w:r>
                      <w:fldChar w:fldCharType="begin"/>
                    </w:r>
                    <w:r>
                      <w:instrText xml:space="preserve"> DOCPROPERTY "Motionsnummer" *\charformat </w:instrText>
                    </w:r>
                    <w:r>
                      <w:fldChar w:fldCharType="separate"/>
                    </w:r>
                    <w:r w:rsidR="001C269A">
                      <w:t>So645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B361EE" w:rsidP="005D05EE">
    <w:pPr>
      <w:pStyle w:val="Sidhuvud"/>
    </w:pPr>
    <w:r w:rsidRPr="00B36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070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5EE" w:rsidRDefault="005D05EE">
                          <w:pPr>
                            <w:pStyle w:val="KantRubrikS5H"/>
                            <w:ind w:right="0"/>
                          </w:pPr>
                          <w:r>
                            <w:fldChar w:fldCharType="begin"/>
                          </w:r>
                          <w:r>
                            <w:instrText xml:space="preserve"> DOCPROPERTY "YearUser" *\charformat </w:instrText>
                          </w:r>
                          <w:r>
                            <w:fldChar w:fldCharType="separate"/>
                          </w:r>
                          <w:r w:rsidR="001C269A">
                            <w:t>2005/06</w:t>
                          </w:r>
                          <w:r>
                            <w:fldChar w:fldCharType="end"/>
                          </w:r>
                          <w:r>
                            <w:t>:</w:t>
                          </w:r>
                          <w:r>
                            <w:fldChar w:fldCharType="begin"/>
                          </w:r>
                          <w:r>
                            <w:instrText xml:space="preserve"> DOCPROPERTY "Motionsnummer" *\charformat </w:instrText>
                          </w:r>
                          <w:r>
                            <w:fldChar w:fldCharType="separate"/>
                          </w:r>
                          <w:r w:rsidR="001C269A">
                            <w:t>So645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5EE" w:rsidRDefault="005D05EE">
                    <w:pPr>
                      <w:pStyle w:val="KantRubrikS5H"/>
                      <w:ind w:right="0"/>
                    </w:pPr>
                    <w:r>
                      <w:fldChar w:fldCharType="begin"/>
                    </w:r>
                    <w:r>
                      <w:instrText xml:space="preserve"> DOCPROPERTY "YearUser" *\charformat </w:instrText>
                    </w:r>
                    <w:r>
                      <w:fldChar w:fldCharType="separate"/>
                    </w:r>
                    <w:r w:rsidR="001C269A">
                      <w:t>2005/06</w:t>
                    </w:r>
                    <w:r>
                      <w:fldChar w:fldCharType="end"/>
                    </w:r>
                    <w:r>
                      <w:t>:</w:t>
                    </w:r>
                    <w:r>
                      <w:fldChar w:fldCharType="begin"/>
                    </w:r>
                    <w:r>
                      <w:instrText xml:space="preserve"> DOCPROPERTY "Motionsnummer" *\charformat </w:instrText>
                    </w:r>
                    <w:r>
                      <w:fldChar w:fldCharType="separate"/>
                    </w:r>
                    <w:r w:rsidR="001C269A">
                      <w:t>So645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5EE" w:rsidRPr="00B361EE" w:rsidRDefault="005D05EE">
    <w:pPr>
      <w:pStyle w:val="FSHNormal"/>
      <w:tabs>
        <w:tab w:val="right" w:pos="5840"/>
      </w:tabs>
    </w:pPr>
    <w:r w:rsidRPr="00B361EE">
      <w:br/>
    </w:r>
    <w:r w:rsidRPr="00B361EE">
      <w:fldChar w:fldCharType="begin" w:fldLock="1"/>
    </w:r>
    <w:r w:rsidRPr="00B361EE">
      <w:instrText xml:space="preserve"> DOCPROPERTY</w:instrText>
    </w:r>
    <w:r w:rsidRPr="00B361EE">
      <w:rPr>
        <w:sz w:val="18"/>
      </w:rPr>
      <w:instrText xml:space="preserve"> "YearUser" *\charformat </w:instrText>
    </w:r>
    <w:r w:rsidRPr="00B361EE">
      <w:fldChar w:fldCharType="separate"/>
    </w:r>
    <w:r w:rsidR="001C269A" w:rsidRPr="00B361EE">
      <w:t>2005/06</w:t>
    </w:r>
    <w:r w:rsidRPr="00B361EE">
      <w:fldChar w:fldCharType="end"/>
    </w:r>
    <w:r w:rsidRPr="00B361EE">
      <w:t xml:space="preserve"> </w:t>
    </w:r>
    <w:r w:rsidRPr="00B361EE">
      <w:tab/>
      <w:t xml:space="preserve">mnr: </w:t>
    </w:r>
    <w:r w:rsidRPr="00B361EE">
      <w:fldChar w:fldCharType="begin" w:fldLock="1"/>
    </w:r>
    <w:r w:rsidRPr="00B361EE">
      <w:instrText xml:space="preserve"> DOCPROPERTY</w:instrText>
    </w:r>
    <w:r w:rsidRPr="00B361EE">
      <w:rPr>
        <w:sz w:val="18"/>
      </w:rPr>
      <w:instrText xml:space="preserve"> "Motionsnummer" *\charformat </w:instrText>
    </w:r>
    <w:r w:rsidRPr="00B361EE">
      <w:fldChar w:fldCharType="separate"/>
    </w:r>
    <w:r w:rsidR="001C269A" w:rsidRPr="00B361EE">
      <w:t>So645</w:t>
    </w:r>
    <w:r w:rsidRPr="00B361EE">
      <w:fldChar w:fldCharType="end"/>
    </w:r>
    <w:r w:rsidRPr="00B361EE">
      <w:br/>
    </w:r>
    <w:r w:rsidRPr="00B361EE">
      <w:fldChar w:fldCharType="begin" w:fldLock="1"/>
    </w:r>
    <w:r w:rsidRPr="00B361EE">
      <w:instrText xml:space="preserve"> DOCPROPERTY</w:instrText>
    </w:r>
    <w:r w:rsidRPr="00B361EE">
      <w:rPr>
        <w:sz w:val="18"/>
      </w:rPr>
      <w:instrText xml:space="preserve"> "Samling" *\charformat </w:instrText>
    </w:r>
    <w:r w:rsidRPr="00B361EE">
      <w:fldChar w:fldCharType="end"/>
    </w:r>
    <w:r w:rsidRPr="00B361EE">
      <w:tab/>
      <w:t xml:space="preserve">pnr: </w:t>
    </w:r>
    <w:r w:rsidRPr="00B361EE">
      <w:fldChar w:fldCharType="begin" w:fldLock="1"/>
    </w:r>
    <w:r w:rsidRPr="00B361EE">
      <w:instrText xml:space="preserve"> DOCPROPERTY</w:instrText>
    </w:r>
    <w:r w:rsidRPr="00B361EE">
      <w:rPr>
        <w:sz w:val="18"/>
      </w:rPr>
      <w:instrText xml:space="preserve"> "Partinummer" *\charformat </w:instrText>
    </w:r>
    <w:r w:rsidRPr="00B361EE">
      <w:fldChar w:fldCharType="separate"/>
    </w:r>
    <w:r w:rsidR="001C269A" w:rsidRPr="00B361EE">
      <w:t>s12313</w:t>
    </w:r>
    <w:r w:rsidRPr="00B361EE">
      <w:fldChar w:fldCharType="end"/>
    </w:r>
  </w:p>
  <w:p w:rsidR="005D05EE" w:rsidRPr="00B361EE" w:rsidRDefault="005D05EE">
    <w:pPr>
      <w:pStyle w:val="FSHRub1"/>
    </w:pPr>
    <w:r w:rsidRPr="00B361EE">
      <w:t>Motion till riksdagen</w:t>
    </w:r>
    <w:r w:rsidRPr="00B361EE">
      <w:br/>
    </w:r>
    <w:r w:rsidRPr="00B361EE">
      <w:fldChar w:fldCharType="begin" w:fldLock="1"/>
    </w:r>
    <w:r w:rsidRPr="00B361EE">
      <w:instrText xml:space="preserve"> DOCPROPERTY "YearUser" *\charformat </w:instrText>
    </w:r>
    <w:r w:rsidRPr="00B361EE">
      <w:fldChar w:fldCharType="separate"/>
    </w:r>
    <w:r w:rsidR="001C269A" w:rsidRPr="00B361EE">
      <w:t>2005/06</w:t>
    </w:r>
    <w:r w:rsidRPr="00B361EE">
      <w:fldChar w:fldCharType="end"/>
    </w:r>
    <w:r w:rsidRPr="00B361EE">
      <w:t>:</w:t>
    </w:r>
    <w:r w:rsidRPr="00B361EE">
      <w:fldChar w:fldCharType="begin" w:fldLock="1"/>
    </w:r>
    <w:r w:rsidRPr="00B361EE">
      <w:instrText xml:space="preserve"> DOCPROPERTY "Motionsnummer" *\charformat </w:instrText>
    </w:r>
    <w:r w:rsidRPr="00B361EE">
      <w:fldChar w:fldCharType="separate"/>
    </w:r>
    <w:r w:rsidR="001C269A" w:rsidRPr="00B361EE">
      <w:t>So645</w:t>
    </w:r>
    <w:r w:rsidRPr="00B361EE">
      <w:fldChar w:fldCharType="end"/>
    </w:r>
  </w:p>
  <w:p w:rsidR="005D05EE" w:rsidRPr="00B361EE" w:rsidRDefault="005D05EE">
    <w:pPr>
      <w:pStyle w:val="FSHNormalS5"/>
    </w:pPr>
    <w:r w:rsidRPr="00B361EE">
      <w:fldChar w:fldCharType="begin" w:fldLock="1"/>
    </w:r>
    <w:r w:rsidRPr="00B361EE">
      <w:instrText xml:space="preserve"> DOCPROPERTY "MotionarText" *\charformat </w:instrText>
    </w:r>
    <w:r w:rsidRPr="00B361EE">
      <w:fldChar w:fldCharType="separate"/>
    </w:r>
    <w:r w:rsidR="001C269A" w:rsidRPr="00B361EE">
      <w:t>av Nils-Erik Söderqvist m.fl. (s)</w:t>
    </w:r>
    <w:r w:rsidRPr="00B361EE">
      <w:fldChar w:fldCharType="end"/>
    </w:r>
    <w:r w:rsidRPr="00B361EE">
      <w:br/>
    </w:r>
    <w:r w:rsidRPr="00B361EE">
      <w:fldChar w:fldCharType="begin" w:fldLock="1"/>
    </w:r>
    <w:r w:rsidRPr="00B361EE">
      <w:instrText xml:space="preserve"> DOCPROPERTY "SvarFrasKort" *\charformat </w:instrText>
    </w:r>
    <w:r w:rsidRPr="00B361EE">
      <w:fldChar w:fldCharType="end"/>
    </w:r>
  </w:p>
  <w:p w:rsidR="005D05EE" w:rsidRPr="00B361EE" w:rsidRDefault="005D05EE">
    <w:pPr>
      <w:pStyle w:val="FSHTitel"/>
    </w:pPr>
    <w:r w:rsidRPr="00B361EE">
      <w:fldChar w:fldCharType="begin" w:fldLock="1"/>
    </w:r>
    <w:r w:rsidRPr="00B361EE">
      <w:instrText xml:space="preserve"> DOCPROPERTY</w:instrText>
    </w:r>
    <w:r w:rsidRPr="00B361EE">
      <w:rPr>
        <w:sz w:val="18"/>
      </w:rPr>
      <w:instrText xml:space="preserve"> "RubrikSvar" *\charformat </w:instrText>
    </w:r>
    <w:r w:rsidRPr="00B361EE">
      <w:fldChar w:fldCharType="separate"/>
    </w:r>
    <w:r w:rsidR="001C269A" w:rsidRPr="00B361EE">
      <w:t>EU:s alkoholpolitik</w:t>
    </w:r>
    <w:r w:rsidRPr="00B361EE">
      <w:fldChar w:fldCharType="end"/>
    </w:r>
  </w:p>
  <w:p w:rsidR="005D05EE" w:rsidRPr="00B361EE" w:rsidRDefault="005D05EE" w:rsidP="005D05EE">
    <w:pPr>
      <w:pStyle w:val="Normal00"/>
      <w:rPr>
        <w:i/>
      </w:rPr>
    </w:pPr>
    <w:r w:rsidRPr="00B361E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5E44A98"/>
    <w:lvl w:ilvl="0" w:tplc="BCEE7E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17048">
    <w:abstractNumId w:val="13"/>
  </w:num>
  <w:num w:numId="2" w16cid:durableId="1322807398">
    <w:abstractNumId w:val="10"/>
  </w:num>
  <w:num w:numId="3" w16cid:durableId="951671985">
    <w:abstractNumId w:val="11"/>
  </w:num>
  <w:num w:numId="4" w16cid:durableId="1240285630">
    <w:abstractNumId w:val="12"/>
  </w:num>
  <w:num w:numId="5" w16cid:durableId="1722288228">
    <w:abstractNumId w:val="8"/>
  </w:num>
  <w:num w:numId="6" w16cid:durableId="470093750">
    <w:abstractNumId w:val="3"/>
  </w:num>
  <w:num w:numId="7" w16cid:durableId="1954091311">
    <w:abstractNumId w:val="2"/>
  </w:num>
  <w:num w:numId="8" w16cid:durableId="1934581186">
    <w:abstractNumId w:val="1"/>
  </w:num>
  <w:num w:numId="9" w16cid:durableId="788622364">
    <w:abstractNumId w:val="0"/>
  </w:num>
  <w:num w:numId="10" w16cid:durableId="1188522625">
    <w:abstractNumId w:val="9"/>
  </w:num>
  <w:num w:numId="11" w16cid:durableId="505482853">
    <w:abstractNumId w:val="7"/>
  </w:num>
  <w:num w:numId="12" w16cid:durableId="1543983300">
    <w:abstractNumId w:val="6"/>
  </w:num>
  <w:num w:numId="13" w16cid:durableId="911814086">
    <w:abstractNumId w:val="5"/>
  </w:num>
  <w:num w:numId="14" w16cid:durableId="123497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2F3FCB"/>
    <w:rsid w:val="00087AC7"/>
    <w:rsid w:val="001C269A"/>
    <w:rsid w:val="002F3FCB"/>
    <w:rsid w:val="0054605D"/>
    <w:rsid w:val="005D05EE"/>
    <w:rsid w:val="009D6A16"/>
    <w:rsid w:val="00B361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B8A760-4C38-44F3-8B9C-8C1AEA44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5D05EE"/>
    <w:pPr>
      <w:spacing w:after="250"/>
    </w:pPr>
  </w:style>
  <w:style w:type="paragraph" w:customStyle="1" w:styleId="Hemstlatt">
    <w:name w:val="Hemstl_att"/>
    <w:aliases w:val="HemstPunkt,HemstPunktFlera,HemställansPunkt,Förslagstext"/>
    <w:basedOn w:val="Normal"/>
    <w:next w:val="Normal"/>
    <w:rsid w:val="005D05EE"/>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Words>
  <Characters>3157</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So645</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So645</dc:title>
  <dc:subject>So645</dc:subject>
  <dc:creator>Riksdagen</dc:creator>
  <cp:keywords>Riksdagen</cp:keywords>
  <dc:description/>
  <cp:lastModifiedBy>Lars Brink</cp:lastModifiedBy>
  <cp:revision>2</cp:revision>
  <cp:lastPrinted>2005-12-16T13:36:00Z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EU:s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Nils-Erik Söderqvist m.fl. (s)</vt:lpwstr>
  </property>
  <property fmtid="{D5CDD505-2E9C-101B-9397-08002B2CF9AE}" pid="26" name="MotionarLista">
    <vt:lpwstr>Söderqvist, Nils-Erik (s)\Björkman, Jan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Nils-Erik Söderqvist (s), Jan Björkman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daniel.holmberg@riksdagen.se</vt:lpwstr>
  </property>
  <property fmtid="{D5CDD505-2E9C-101B-9397-08002B2CF9AE}" pid="45" name="ReservUID">
    <vt:lpwstr>birgitta lundblad</vt:lpwstr>
  </property>
  <property fmtid="{D5CDD505-2E9C-101B-9397-08002B2CF9AE}" pid="46" name="MotionID">
    <vt:lpwstr>20052006000000000115000123130069</vt:lpwstr>
  </property>
  <property fmtid="{D5CDD505-2E9C-101B-9397-08002B2CF9AE}" pid="47" name="datum">
    <vt:lpwstr>051003</vt:lpwstr>
  </property>
  <property fmtid="{D5CDD505-2E9C-101B-9397-08002B2CF9AE}" pid="48" name="avsändar-e-post">
    <vt:lpwstr>daniel.holmberg@riksdagen.se</vt:lpwstr>
  </property>
  <property fmtid="{D5CDD505-2E9C-101B-9397-08002B2CF9AE}" pid="49" name="id">
    <vt:lpwstr>20052006000000000115000123130069</vt:lpwstr>
  </property>
  <property fmtid="{D5CDD505-2E9C-101B-9397-08002B2CF9AE}" pid="50" name="nummer">
    <vt:lpwstr>645</vt:lpwstr>
  </property>
  <property fmtid="{D5CDD505-2E9C-101B-9397-08002B2CF9AE}" pid="51" name="utskottsbeteckning">
    <vt:lpwstr>So</vt:lpwstr>
  </property>
</Properties>
</file>