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46F500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D0920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71B524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4C16AC">
              <w:t>1</w:t>
            </w:r>
            <w:r w:rsidR="004D2A50">
              <w:t>-</w:t>
            </w:r>
            <w:r w:rsidR="003D1F8B">
              <w:t>1</w:t>
            </w:r>
            <w:r w:rsidR="005D0920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1B7391A" w:rsidR="00141DA2" w:rsidRPr="0012669A" w:rsidRDefault="00044F5A" w:rsidP="008C57B9">
            <w:r>
              <w:t>1</w:t>
            </w:r>
            <w:r w:rsidR="005D0920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EA5038">
              <w:t>11.45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B6378" w:rsidRPr="0012669A" w14:paraId="6266A987" w14:textId="77777777" w:rsidTr="00211F78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4EFE7573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5D0920">
              <w:t>7</w:t>
            </w:r>
            <w:r w:rsidRPr="003D5258">
              <w:t>.</w:t>
            </w:r>
            <w:r>
              <w:br/>
            </w:r>
          </w:p>
        </w:tc>
      </w:tr>
      <w:tr w:rsidR="003F6142" w:rsidRPr="0012669A" w14:paraId="44F40A48" w14:textId="77777777" w:rsidTr="00211F78">
        <w:trPr>
          <w:trHeight w:val="950"/>
        </w:trPr>
        <w:tc>
          <w:tcPr>
            <w:tcW w:w="567" w:type="dxa"/>
          </w:tcPr>
          <w:p w14:paraId="250D06BE" w14:textId="473A7AA2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16A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A8AE40D" w14:textId="0BEE8FFB" w:rsidR="003F6142" w:rsidRDefault="005D0920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Aktuella EU-frågor</w:t>
            </w:r>
            <w:r w:rsidR="004C16AC" w:rsidRPr="004C16AC">
              <w:rPr>
                <w:b/>
              </w:rPr>
              <w:t xml:space="preserve"> </w:t>
            </w:r>
            <w:r w:rsidR="004C16AC">
              <w:rPr>
                <w:b/>
              </w:rPr>
              <w:br/>
            </w:r>
          </w:p>
          <w:p w14:paraId="6DED398B" w14:textId="55814277" w:rsidR="003F6142" w:rsidRDefault="005D0920" w:rsidP="003F6142">
            <w:pPr>
              <w:tabs>
                <w:tab w:val="left" w:pos="1701"/>
              </w:tabs>
              <w:rPr>
                <w:color w:val="222222"/>
              </w:rPr>
            </w:pPr>
            <w:r>
              <w:t>Statssekreterare Mikael Kullberg</w:t>
            </w:r>
            <w:r w:rsidR="003D1F8B">
              <w:t xml:space="preserve">, </w:t>
            </w:r>
            <w:r w:rsidR="008F6BFD">
              <w:t xml:space="preserve">åtföljd av medarbetare från </w:t>
            </w:r>
            <w:r>
              <w:t>Justitiedepartementet</w:t>
            </w:r>
            <w:r w:rsidR="00EA5038">
              <w:t>,</w:t>
            </w:r>
            <w:r>
              <w:t xml:space="preserve"> l</w:t>
            </w:r>
            <w:r w:rsidR="003F6142">
              <w:rPr>
                <w:color w:val="222222"/>
              </w:rPr>
              <w:t xml:space="preserve">ämnade information och svarade på frågor om </w:t>
            </w:r>
            <w:r w:rsidR="008F6BFD">
              <w:rPr>
                <w:color w:val="222222"/>
              </w:rPr>
              <w:t xml:space="preserve">följande </w:t>
            </w:r>
            <w:r>
              <w:rPr>
                <w:color w:val="222222"/>
              </w:rPr>
              <w:t>aktuella EU-frågor</w:t>
            </w:r>
            <w:r w:rsidR="008F6BFD">
              <w:rPr>
                <w:color w:val="222222"/>
              </w:rPr>
              <w:t>:</w:t>
            </w:r>
          </w:p>
          <w:p w14:paraId="687BA3DC" w14:textId="6A4A18B8" w:rsidR="008F6BFD" w:rsidRDefault="008F6BFD" w:rsidP="003F6142">
            <w:pPr>
              <w:tabs>
                <w:tab w:val="left" w:pos="1701"/>
              </w:tabs>
              <w:rPr>
                <w:bCs/>
              </w:rPr>
            </w:pPr>
          </w:p>
          <w:p w14:paraId="37A336F7" w14:textId="4F1E79E6" w:rsidR="008F6BFD" w:rsidRPr="008F6BFD" w:rsidRDefault="008F6BFD" w:rsidP="008F6BFD">
            <w:pPr>
              <w:pStyle w:val="Liststycke"/>
              <w:numPr>
                <w:ilvl w:val="0"/>
                <w:numId w:val="47"/>
              </w:numPr>
              <w:tabs>
                <w:tab w:val="left" w:pos="1701"/>
              </w:tabs>
              <w:rPr>
                <w:bCs/>
              </w:rPr>
            </w:pPr>
            <w:r w:rsidRPr="008F6BFD">
              <w:rPr>
                <w:bCs/>
              </w:rPr>
              <w:t>förslag</w:t>
            </w:r>
            <w:r>
              <w:rPr>
                <w:bCs/>
              </w:rPr>
              <w:t>et</w:t>
            </w:r>
            <w:r w:rsidRPr="008F6BFD">
              <w:rPr>
                <w:bCs/>
              </w:rPr>
              <w:t xml:space="preserve"> till förordning om skydd för geografiska beteckningar för hantverks- och industriprodukter</w:t>
            </w:r>
            <w:r>
              <w:rPr>
                <w:bCs/>
              </w:rPr>
              <w:t>, COM(2022) 174</w:t>
            </w:r>
            <w:r w:rsidRPr="008F6BFD">
              <w:rPr>
                <w:bCs/>
              </w:rPr>
              <w:t>.</w:t>
            </w:r>
          </w:p>
          <w:p w14:paraId="681E30A5" w14:textId="77777777" w:rsidR="00502380" w:rsidRDefault="008F6BFD" w:rsidP="008F6BFD">
            <w:pPr>
              <w:pStyle w:val="Liststycke"/>
              <w:numPr>
                <w:ilvl w:val="0"/>
                <w:numId w:val="47"/>
              </w:numPr>
              <w:tabs>
                <w:tab w:val="left" w:pos="1701"/>
              </w:tabs>
              <w:rPr>
                <w:bCs/>
              </w:rPr>
            </w:pPr>
            <w:r w:rsidRPr="008F6BFD">
              <w:rPr>
                <w:bCs/>
              </w:rPr>
              <w:t>aktuella frågor på immaterialrättsområdet inför det svenska ordförandeskapet</w:t>
            </w:r>
          </w:p>
          <w:p w14:paraId="7FC85F11" w14:textId="5F3750A8" w:rsidR="008F6BFD" w:rsidRPr="008F6BFD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00D60" w:rsidRPr="0012669A" w14:paraId="49E38896" w14:textId="77777777" w:rsidTr="00211F78">
        <w:trPr>
          <w:trHeight w:val="950"/>
        </w:trPr>
        <w:tc>
          <w:tcPr>
            <w:tcW w:w="567" w:type="dxa"/>
          </w:tcPr>
          <w:p w14:paraId="76004653" w14:textId="651B3C4A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5038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6F23CE17" w14:textId="0698A036" w:rsidR="00300D60" w:rsidRDefault="005D0920" w:rsidP="00300D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förordning om förbud mot produkter som tillverkats genom tvångsarbete på unionens mark</w:t>
            </w:r>
            <w:r w:rsidR="00725833">
              <w:rPr>
                <w:b/>
              </w:rPr>
              <w:t>nad</w:t>
            </w:r>
          </w:p>
          <w:p w14:paraId="2846F895" w14:textId="45BB321D" w:rsidR="00725833" w:rsidRDefault="00725833" w:rsidP="00300D60">
            <w:pPr>
              <w:tabs>
                <w:tab w:val="left" w:pos="1701"/>
              </w:tabs>
              <w:rPr>
                <w:bCs/>
              </w:rPr>
            </w:pPr>
          </w:p>
          <w:p w14:paraId="397E4F0A" w14:textId="0EC5076A" w:rsidR="00725833" w:rsidRDefault="00725833" w:rsidP="00300D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subsidiaritetsprövningen av COM(2022) 453.</w:t>
            </w:r>
          </w:p>
          <w:p w14:paraId="37BA13F2" w14:textId="789C0BB8" w:rsidR="00725833" w:rsidRDefault="00725833" w:rsidP="00300D60">
            <w:pPr>
              <w:tabs>
                <w:tab w:val="left" w:pos="1701"/>
              </w:tabs>
              <w:rPr>
                <w:bCs/>
              </w:rPr>
            </w:pPr>
          </w:p>
          <w:p w14:paraId="157A85C3" w14:textId="4407C524" w:rsidR="00725833" w:rsidRDefault="00725833" w:rsidP="00300D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0396C3D6" w14:textId="6CA61F89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A5038" w:rsidRPr="0012669A" w14:paraId="3CFDFE83" w14:textId="77777777" w:rsidTr="00211F78">
        <w:trPr>
          <w:trHeight w:val="950"/>
        </w:trPr>
        <w:tc>
          <w:tcPr>
            <w:tcW w:w="567" w:type="dxa"/>
          </w:tcPr>
          <w:p w14:paraId="034B993D" w14:textId="1B3421C3" w:rsidR="00EA5038" w:rsidRDefault="00EA503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DB0776D" w14:textId="77777777" w:rsidR="00EA5038" w:rsidRPr="00EA5038" w:rsidRDefault="00EA5038" w:rsidP="00EA5038">
            <w:pPr>
              <w:tabs>
                <w:tab w:val="left" w:pos="1701"/>
              </w:tabs>
              <w:rPr>
                <w:b/>
              </w:rPr>
            </w:pPr>
            <w:r w:rsidRPr="00EA5038">
              <w:rPr>
                <w:b/>
              </w:rPr>
              <w:t>Fråga om överläggning med regeringen</w:t>
            </w:r>
          </w:p>
          <w:p w14:paraId="05E268F1" w14:textId="77777777" w:rsidR="00EA5038" w:rsidRPr="00EA5038" w:rsidRDefault="00EA5038" w:rsidP="00EA5038">
            <w:pPr>
              <w:tabs>
                <w:tab w:val="left" w:pos="1701"/>
              </w:tabs>
              <w:rPr>
                <w:b/>
              </w:rPr>
            </w:pPr>
          </w:p>
          <w:p w14:paraId="193E8900" w14:textId="08060FF9" w:rsidR="00EA5038" w:rsidRDefault="00EA5038" w:rsidP="00EA5038">
            <w:pPr>
              <w:tabs>
                <w:tab w:val="left" w:pos="1701"/>
              </w:tabs>
              <w:rPr>
                <w:bCs/>
              </w:rPr>
            </w:pPr>
            <w:r w:rsidRPr="00EA5038">
              <w:rPr>
                <w:bCs/>
              </w:rPr>
              <w:t>Utskottet beslutade att överlägga med regeringen om</w:t>
            </w:r>
            <w:r w:rsidR="008F6BFD">
              <w:rPr>
                <w:bCs/>
              </w:rPr>
              <w:t xml:space="preserve"> förslaget till rådsförordning </w:t>
            </w:r>
            <w:r w:rsidR="002C4C1E" w:rsidRPr="002C4C1E">
              <w:rPr>
                <w:bCs/>
              </w:rPr>
              <w:t>om fastställande av e</w:t>
            </w:r>
            <w:r w:rsidR="00D60778">
              <w:rPr>
                <w:bCs/>
              </w:rPr>
              <w:t>tt</w:t>
            </w:r>
            <w:r w:rsidR="002C4C1E" w:rsidRPr="002C4C1E">
              <w:rPr>
                <w:bCs/>
              </w:rPr>
              <w:t xml:space="preserve"> ram</w:t>
            </w:r>
            <w:r w:rsidR="00D60778">
              <w:rPr>
                <w:bCs/>
              </w:rPr>
              <w:t>verk</w:t>
            </w:r>
            <w:r w:rsidR="002C4C1E" w:rsidRPr="002C4C1E">
              <w:rPr>
                <w:bCs/>
              </w:rPr>
              <w:t xml:space="preserve"> för att påskynda utbyggnaden av förnybar energi</w:t>
            </w:r>
            <w:r w:rsidR="008F6BFD">
              <w:rPr>
                <w:bCs/>
              </w:rPr>
              <w:t>,</w:t>
            </w:r>
            <w:r w:rsidRPr="00EA5038">
              <w:rPr>
                <w:bCs/>
              </w:rPr>
              <w:t xml:space="preserve"> COM(2022) </w:t>
            </w:r>
            <w:r>
              <w:rPr>
                <w:bCs/>
              </w:rPr>
              <w:t>591.</w:t>
            </w:r>
            <w:r w:rsidRPr="00EA5038">
              <w:rPr>
                <w:bCs/>
              </w:rPr>
              <w:t xml:space="preserve"> </w:t>
            </w:r>
          </w:p>
          <w:p w14:paraId="64092E85" w14:textId="77777777" w:rsidR="00EA5038" w:rsidRPr="00EA5038" w:rsidRDefault="00EA5038" w:rsidP="00EA5038">
            <w:pPr>
              <w:tabs>
                <w:tab w:val="left" w:pos="1701"/>
              </w:tabs>
              <w:rPr>
                <w:bCs/>
              </w:rPr>
            </w:pPr>
          </w:p>
          <w:p w14:paraId="4E77B4D3" w14:textId="77777777" w:rsidR="00EA5038" w:rsidRDefault="00EA5038" w:rsidP="00EA5038">
            <w:pPr>
              <w:tabs>
                <w:tab w:val="left" w:pos="1701"/>
              </w:tabs>
              <w:rPr>
                <w:bCs/>
              </w:rPr>
            </w:pPr>
            <w:r w:rsidRPr="00EA5038">
              <w:rPr>
                <w:bCs/>
              </w:rPr>
              <w:t>Denna paragraf förklarades omedelbart justerad.</w:t>
            </w:r>
          </w:p>
          <w:p w14:paraId="06426A8B" w14:textId="7B462EA0" w:rsidR="00EA5038" w:rsidRDefault="00EA5038" w:rsidP="00EA503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6BFD" w:rsidRPr="0012669A" w14:paraId="70CD9F4A" w14:textId="77777777" w:rsidTr="00211F78">
        <w:trPr>
          <w:trHeight w:val="950"/>
        </w:trPr>
        <w:tc>
          <w:tcPr>
            <w:tcW w:w="567" w:type="dxa"/>
          </w:tcPr>
          <w:p w14:paraId="632E86AD" w14:textId="56CDF51B" w:rsidR="008F6BFD" w:rsidRDefault="008F6BFD" w:rsidP="008F6B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29978675" w14:textId="77777777" w:rsidR="005B6069" w:rsidRDefault="005B6069" w:rsidP="005B6069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 meddelande om en ny europeisk agenda för innovation</w:t>
            </w:r>
          </w:p>
          <w:p w14:paraId="42B4D613" w14:textId="77777777" w:rsidR="008F6BFD" w:rsidRDefault="008F6BFD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E8561C2" w14:textId="77777777" w:rsidR="008F6BFD" w:rsidRDefault="008F6BFD" w:rsidP="008F6BFD">
            <w:pPr>
              <w:tabs>
                <w:tab w:val="left" w:pos="1701"/>
              </w:tabs>
              <w:rPr>
                <w:bCs/>
              </w:rPr>
            </w:pPr>
            <w:r w:rsidRPr="00C2275E">
              <w:rPr>
                <w:bCs/>
              </w:rPr>
              <w:t>Utskottet överlade med stats</w:t>
            </w:r>
            <w:r>
              <w:rPr>
                <w:bCs/>
              </w:rPr>
              <w:t>sekreterare</w:t>
            </w:r>
            <w:r w:rsidRPr="00C2275E">
              <w:rPr>
                <w:bCs/>
              </w:rPr>
              <w:t xml:space="preserve"> </w:t>
            </w:r>
            <w:r>
              <w:t>Sara Modig</w:t>
            </w:r>
            <w:r>
              <w:rPr>
                <w:bCs/>
              </w:rPr>
              <w:t xml:space="preserve">, </w:t>
            </w:r>
            <w:r w:rsidRPr="00C2275E">
              <w:rPr>
                <w:bCs/>
              </w:rPr>
              <w:t xml:space="preserve">åtföljd av medarbetare från </w:t>
            </w:r>
            <w:r>
              <w:rPr>
                <w:bCs/>
              </w:rPr>
              <w:t>Näringsdepartementet</w:t>
            </w:r>
            <w:r w:rsidRPr="00C2275E">
              <w:rPr>
                <w:bCs/>
              </w:rPr>
              <w:t>.</w:t>
            </w:r>
          </w:p>
          <w:p w14:paraId="4E04148F" w14:textId="77777777" w:rsidR="008F6BFD" w:rsidRPr="00C2275E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  <w:p w14:paraId="0D959DED" w14:textId="77777777" w:rsidR="008F6BFD" w:rsidRPr="00717206" w:rsidRDefault="008F6BFD" w:rsidP="008F6BFD">
            <w:pPr>
              <w:pStyle w:val="Default"/>
            </w:pPr>
            <w:r w:rsidRPr="00C2275E">
              <w:rPr>
                <w:bCs/>
              </w:rPr>
              <w:t xml:space="preserve">Underlaget utgjordes av </w:t>
            </w:r>
            <w:bookmarkStart w:id="0" w:name="_Hlk119412521"/>
            <w:r w:rsidRPr="00C2275E">
              <w:rPr>
                <w:bCs/>
              </w:rPr>
              <w:t xml:space="preserve">kommissionens </w:t>
            </w:r>
            <w:r>
              <w:rPr>
                <w:bCs/>
              </w:rPr>
              <w:t xml:space="preserve">meddelande </w:t>
            </w:r>
            <w:r>
              <w:t>En ny europeisk agenda för innovation</w:t>
            </w:r>
            <w:r w:rsidRPr="00C2275E">
              <w:rPr>
                <w:bCs/>
              </w:rPr>
              <w:t xml:space="preserve">, COM(2022) </w:t>
            </w:r>
            <w:r>
              <w:rPr>
                <w:bCs/>
              </w:rPr>
              <w:t>332</w:t>
            </w:r>
            <w:bookmarkEnd w:id="0"/>
            <w:r w:rsidRPr="00C2275E">
              <w:rPr>
                <w:bCs/>
              </w:rPr>
              <w:t xml:space="preserve">, </w:t>
            </w:r>
            <w:r>
              <w:rPr>
                <w:bCs/>
              </w:rPr>
              <w:t xml:space="preserve">faktapromemoria </w:t>
            </w:r>
            <w:r w:rsidRPr="00717206">
              <w:rPr>
                <w:bCs/>
              </w:rPr>
              <w:lastRenderedPageBreak/>
              <w:t>2021/22:FPM116</w:t>
            </w:r>
            <w:r>
              <w:rPr>
                <w:bCs/>
              </w:rPr>
              <w:t xml:space="preserve"> </w:t>
            </w:r>
            <w:r w:rsidRPr="00C2275E">
              <w:rPr>
                <w:bCs/>
              </w:rPr>
              <w:t xml:space="preserve">och regeringens överläggningspromemoria (dnr. </w:t>
            </w:r>
            <w:r w:rsidRPr="00D333FC">
              <w:rPr>
                <w:bCs/>
              </w:rPr>
              <w:t>NU-1.8.4-901-2022/23</w:t>
            </w:r>
            <w:r w:rsidRPr="00C2275E">
              <w:rPr>
                <w:bCs/>
              </w:rPr>
              <w:t>):</w:t>
            </w:r>
          </w:p>
          <w:p w14:paraId="3FD836C2" w14:textId="77777777" w:rsidR="008F6BFD" w:rsidRPr="00C2275E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  <w:p w14:paraId="64B98A04" w14:textId="14D15374" w:rsidR="008F6BFD" w:rsidRDefault="005848C6" w:rsidP="008F6BF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Statssekreteraren</w:t>
            </w:r>
            <w:r w:rsidR="008F6BFD" w:rsidRPr="00C2275E">
              <w:rPr>
                <w:bCs/>
              </w:rPr>
              <w:t xml:space="preserve"> redogjorde för regeringens ståndpunkt i enlighet med </w:t>
            </w:r>
            <w:r w:rsidR="008F6BFD">
              <w:rPr>
                <w:bCs/>
              </w:rPr>
              <w:t>överläggnings</w:t>
            </w:r>
            <w:r w:rsidR="008F6BFD" w:rsidRPr="00C2275E">
              <w:rPr>
                <w:bCs/>
              </w:rPr>
              <w:t>promemorian:</w:t>
            </w:r>
          </w:p>
          <w:p w14:paraId="3CF0979E" w14:textId="77777777" w:rsidR="008F6BFD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  <w:p w14:paraId="74F54BE8" w14:textId="77777777" w:rsidR="008F6BFD" w:rsidRDefault="008F6BFD" w:rsidP="008F6BFD">
            <w:pPr>
              <w:tabs>
                <w:tab w:val="left" w:pos="1701"/>
              </w:tabs>
              <w:ind w:left="579"/>
              <w:rPr>
                <w:bCs/>
              </w:rPr>
            </w:pPr>
            <w:r w:rsidRPr="00717206">
              <w:rPr>
                <w:bCs/>
              </w:rPr>
              <w:t>Regeringen delar kommissionens syn på utmaningsområden för innovation i Europa, som exempelvis den internationella konkurrensen om kompetens, underdimensionerad finansiering för snabbväxande innovativa företag och de stora geografiska skillnaderna i innovationsförmåga i Europa. Regeringen välkomnar därför att meddelandet tar ett samlat grepp om teknikintensiv innovation (s.k. deep tech). Tillgång till spetsteknik är en förutsättning för den gröna och digitala omställningen och EU:s nyindustrialisering.</w:t>
            </w:r>
          </w:p>
          <w:p w14:paraId="016DF660" w14:textId="77777777" w:rsidR="008F6BFD" w:rsidRPr="00717206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  <w:p w14:paraId="72917459" w14:textId="77777777" w:rsidR="008F6BFD" w:rsidRDefault="008F6BFD" w:rsidP="008F6BFD">
            <w:pPr>
              <w:tabs>
                <w:tab w:val="left" w:pos="1701"/>
              </w:tabs>
              <w:ind w:left="579"/>
              <w:rPr>
                <w:bCs/>
              </w:rPr>
            </w:pPr>
            <w:r w:rsidRPr="00717206">
              <w:rPr>
                <w:bCs/>
              </w:rPr>
              <w:t>Regeringen delar kommissionens syn på vikten av att förbättra förutsättningarna för entreprenörer från underrepresenterade grupper, i synnerhet kvinnor, och välkomnar åtgärder från kommissionen i syfte att sammanställa bättre statistik på området. Regeringen bedömer att test- och experimentmiljöer, inklusive regulatoriska sandlådor, kan vara viktiga verktyg för att snabba på utveckling och införande av teknik-intensiv innovation på marknaden. Regeringen framhåller dessutom att immaterialrätten spelar en viktig roll som incitament till ny innovation och att strategisk förvaltning av</w:t>
            </w:r>
            <w:r>
              <w:rPr>
                <w:bCs/>
              </w:rPr>
              <w:t xml:space="preserve"> </w:t>
            </w:r>
            <w:r w:rsidRPr="00717206">
              <w:rPr>
                <w:bCs/>
              </w:rPr>
              <w:t>immateriella tillgångar är av stor betydelse för innovativa företags och EU:s konkurrenskraft, vilket man gärna hade sett att meddelandet på ett tydligare sätt betonat.</w:t>
            </w:r>
          </w:p>
          <w:p w14:paraId="5129725E" w14:textId="77777777" w:rsidR="008F6BFD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  <w:p w14:paraId="3E156514" w14:textId="77777777" w:rsidR="008F6BFD" w:rsidRPr="00C2275E" w:rsidRDefault="008F6BFD" w:rsidP="008F6BFD">
            <w:pPr>
              <w:tabs>
                <w:tab w:val="left" w:pos="1701"/>
              </w:tabs>
              <w:rPr>
                <w:bCs/>
              </w:rPr>
            </w:pPr>
            <w:r w:rsidRPr="00C2275E">
              <w:rPr>
                <w:bCs/>
              </w:rPr>
              <w:t>Ordföranden konstaterade att det fanns stöd för regeringens ståndpunkt.</w:t>
            </w:r>
          </w:p>
          <w:p w14:paraId="55D37D71" w14:textId="77777777" w:rsidR="008F6BFD" w:rsidRPr="00C2275E" w:rsidRDefault="008F6BFD" w:rsidP="008F6BFD">
            <w:pPr>
              <w:tabs>
                <w:tab w:val="left" w:pos="1701"/>
              </w:tabs>
              <w:rPr>
                <w:bCs/>
              </w:rPr>
            </w:pPr>
          </w:p>
          <w:p w14:paraId="2D803557" w14:textId="7CFF5D66" w:rsidR="008F6BFD" w:rsidRDefault="008F6BFD" w:rsidP="008F6BF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SD-ledamöterna anmälde följande avvikande ståndpunkt:</w:t>
            </w:r>
          </w:p>
          <w:p w14:paraId="197678D1" w14:textId="36366BE1" w:rsidR="008F6BFD" w:rsidRDefault="00F30DD2" w:rsidP="008F6BF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Vi menar </w:t>
            </w:r>
            <w:r w:rsidR="0091742B">
              <w:rPr>
                <w:bCs/>
              </w:rPr>
              <w:t xml:space="preserve">att det bör vara marknaden som avgör vilka företag som får finansiering och anser därför </w:t>
            </w:r>
            <w:r w:rsidR="008F6BFD">
              <w:rPr>
                <w:bCs/>
              </w:rPr>
              <w:t>inte att ett mångfaldsindex hör hemma i sammanhanget</w:t>
            </w:r>
            <w:r w:rsidR="0091742B">
              <w:rPr>
                <w:bCs/>
              </w:rPr>
              <w:t>.</w:t>
            </w:r>
            <w:r>
              <w:rPr>
                <w:bCs/>
              </w:rPr>
              <w:t xml:space="preserve"> Detta bör tydliggöras i den svenska ståndpunkten.</w:t>
            </w:r>
          </w:p>
          <w:p w14:paraId="0AF19429" w14:textId="4BFD83CF" w:rsidR="008F6BFD" w:rsidRDefault="008F6BFD" w:rsidP="008F6BF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74A3A" w:rsidRPr="0012669A" w14:paraId="33046147" w14:textId="77777777" w:rsidTr="00211F78">
        <w:trPr>
          <w:trHeight w:val="950"/>
        </w:trPr>
        <w:tc>
          <w:tcPr>
            <w:tcW w:w="567" w:type="dxa"/>
          </w:tcPr>
          <w:p w14:paraId="226051D7" w14:textId="0C851EB3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A5038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6F024C6B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Nästa sammanträde äger rum t</w:t>
            </w:r>
            <w:r w:rsidR="005D0920">
              <w:rPr>
                <w:bCs/>
              </w:rPr>
              <w:t>ors</w:t>
            </w:r>
            <w:r w:rsidRPr="00A74A3A">
              <w:rPr>
                <w:bCs/>
              </w:rPr>
              <w:t xml:space="preserve">dagen den </w:t>
            </w:r>
            <w:r w:rsidR="004C16AC">
              <w:rPr>
                <w:bCs/>
              </w:rPr>
              <w:t>1</w:t>
            </w:r>
            <w:r w:rsidR="005D0920">
              <w:rPr>
                <w:bCs/>
              </w:rPr>
              <w:t>7</w:t>
            </w:r>
            <w:r w:rsidRPr="00A74A3A">
              <w:rPr>
                <w:bCs/>
              </w:rPr>
              <w:t xml:space="preserve"> </w:t>
            </w:r>
            <w:r w:rsidR="003F6142">
              <w:rPr>
                <w:bCs/>
              </w:rPr>
              <w:t>november</w:t>
            </w:r>
            <w:r w:rsidRPr="00A74A3A">
              <w:rPr>
                <w:bCs/>
              </w:rPr>
              <w:t xml:space="preserve"> 2022 </w:t>
            </w:r>
          </w:p>
          <w:p w14:paraId="01199F93" w14:textId="2D0F8D9A" w:rsidR="00EA5038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kl. 1</w:t>
            </w:r>
            <w:r w:rsidR="005D0920">
              <w:rPr>
                <w:bCs/>
              </w:rPr>
              <w:t>0</w:t>
            </w:r>
            <w:r w:rsidRPr="00A74A3A">
              <w:rPr>
                <w:bCs/>
              </w:rPr>
              <w:t>.00.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823B30">
        <w:tc>
          <w:tcPr>
            <w:tcW w:w="7587" w:type="dxa"/>
            <w:gridSpan w:val="2"/>
          </w:tcPr>
          <w:p w14:paraId="489DE833" w14:textId="77777777" w:rsidR="004C16AC" w:rsidRDefault="004C16AC" w:rsidP="00DC0D46">
            <w:pPr>
              <w:tabs>
                <w:tab w:val="left" w:pos="1701"/>
              </w:tabs>
            </w:pPr>
          </w:p>
          <w:p w14:paraId="56126E41" w14:textId="2291D81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7745B359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4C16AC">
              <w:t>1</w:t>
            </w:r>
            <w:r w:rsidR="005D0920">
              <w:t>7</w:t>
            </w:r>
            <w:r w:rsidR="009B6378">
              <w:t xml:space="preserve"> </w:t>
            </w:r>
            <w:r w:rsidR="003F6142">
              <w:t>november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77777777" w:rsidR="00300D60" w:rsidRDefault="00300D60">
      <w:bookmarkStart w:id="1" w:name="_Hlk97030853"/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42084E7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D0920">
              <w:rPr>
                <w:sz w:val="20"/>
              </w:rPr>
              <w:t>8</w:t>
            </w:r>
          </w:p>
        </w:tc>
      </w:tr>
      <w:tr w:rsidR="00B8320F" w14:paraId="0DF8674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55E59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EA5038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C7923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E9746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F97C33D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F92A1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D1311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C29F5AB" w:rsidR="00B8320F" w:rsidRPr="00772FEE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89A2E3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74BF8F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0C27A5C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B4203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FDD0213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F70C8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CA566E5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505E0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266B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06950C8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140D0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34CF096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1B4AC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9B65B93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D7498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CA3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3E3C8E8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8839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A570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49F3017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C768F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A2F87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A04CAF5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7533A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583AB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4EAE25D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556959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4CA5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1FAB698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B6EE6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EB9679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8AF78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210A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A3BB085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C0FCB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9C740D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EEFCD36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2F97F1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46C8A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0A063DE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A22BB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16C13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7423E78E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68233E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D70B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0771D5C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B44E5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F79C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27D2E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4393A4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62F2F860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7F9229D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7AE18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77752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A1BC3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FB050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14AE261F" w:rsidR="00B8320F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9FD483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6C761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24C00E3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920" w14:paraId="307DFB5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F279" w14:textId="057EDA2C" w:rsidR="005D0920" w:rsidRDefault="005D0920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AC7" w14:textId="2BB1D972" w:rsidR="005D0920" w:rsidRDefault="00EA50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93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676F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D15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D9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B0A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46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912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D54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97A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7840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62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285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3E9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</w:tbl>
    <w:p w14:paraId="4174E854" w14:textId="77777777" w:rsidR="00B8320F" w:rsidRDefault="00B8320F" w:rsidP="00F24843"/>
    <w:sectPr w:rsidR="00B8320F" w:rsidSect="00EA5038">
      <w:pgSz w:w="11906" w:h="16838"/>
      <w:pgMar w:top="102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072D" w14:textId="77777777" w:rsidR="00175E5F" w:rsidRDefault="00175E5F" w:rsidP="002130F1">
      <w:r>
        <w:separator/>
      </w:r>
    </w:p>
  </w:endnote>
  <w:endnote w:type="continuationSeparator" w:id="0">
    <w:p w14:paraId="03441B6C" w14:textId="77777777" w:rsidR="00175E5F" w:rsidRDefault="00175E5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D69C" w14:textId="77777777" w:rsidR="00175E5F" w:rsidRDefault="00175E5F" w:rsidP="002130F1">
      <w:r>
        <w:separator/>
      </w:r>
    </w:p>
  </w:footnote>
  <w:footnote w:type="continuationSeparator" w:id="0">
    <w:p w14:paraId="1F6F62BF" w14:textId="77777777" w:rsidR="00175E5F" w:rsidRDefault="00175E5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3"/>
  </w:num>
  <w:num w:numId="9">
    <w:abstractNumId w:val="15"/>
  </w:num>
  <w:num w:numId="10">
    <w:abstractNumId w:val="30"/>
  </w:num>
  <w:num w:numId="11">
    <w:abstractNumId w:val="44"/>
  </w:num>
  <w:num w:numId="12">
    <w:abstractNumId w:val="39"/>
  </w:num>
  <w:num w:numId="13">
    <w:abstractNumId w:val="46"/>
  </w:num>
  <w:num w:numId="14">
    <w:abstractNumId w:val="5"/>
  </w:num>
  <w:num w:numId="15">
    <w:abstractNumId w:val="45"/>
  </w:num>
  <w:num w:numId="16">
    <w:abstractNumId w:val="20"/>
  </w:num>
  <w:num w:numId="17">
    <w:abstractNumId w:val="34"/>
  </w:num>
  <w:num w:numId="18">
    <w:abstractNumId w:val="41"/>
  </w:num>
  <w:num w:numId="19">
    <w:abstractNumId w:val="26"/>
  </w:num>
  <w:num w:numId="20">
    <w:abstractNumId w:val="0"/>
  </w:num>
  <w:num w:numId="21">
    <w:abstractNumId w:val="9"/>
  </w:num>
  <w:num w:numId="22">
    <w:abstractNumId w:val="35"/>
  </w:num>
  <w:num w:numId="23">
    <w:abstractNumId w:val="22"/>
  </w:num>
  <w:num w:numId="24">
    <w:abstractNumId w:val="38"/>
  </w:num>
  <w:num w:numId="25">
    <w:abstractNumId w:val="13"/>
  </w:num>
  <w:num w:numId="26">
    <w:abstractNumId w:val="28"/>
  </w:num>
  <w:num w:numId="27">
    <w:abstractNumId w:val="40"/>
  </w:num>
  <w:num w:numId="28">
    <w:abstractNumId w:val="11"/>
  </w:num>
  <w:num w:numId="29">
    <w:abstractNumId w:val="19"/>
  </w:num>
  <w:num w:numId="30">
    <w:abstractNumId w:val="42"/>
  </w:num>
  <w:num w:numId="31">
    <w:abstractNumId w:val="43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7"/>
  </w:num>
  <w:num w:numId="39">
    <w:abstractNumId w:val="27"/>
  </w:num>
  <w:num w:numId="40">
    <w:abstractNumId w:val="36"/>
  </w:num>
  <w:num w:numId="41">
    <w:abstractNumId w:val="25"/>
  </w:num>
  <w:num w:numId="42">
    <w:abstractNumId w:val="17"/>
  </w:num>
  <w:num w:numId="43">
    <w:abstractNumId w:val="32"/>
  </w:num>
  <w:num w:numId="44">
    <w:abstractNumId w:val="12"/>
  </w:num>
  <w:num w:numId="45">
    <w:abstractNumId w:val="8"/>
  </w:num>
  <w:num w:numId="46">
    <w:abstractNumId w:val="2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8C6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6DF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069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636</Words>
  <Characters>4713</Characters>
  <Application>Microsoft Office Word</Application>
  <DocSecurity>0</DocSecurity>
  <Lines>1178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15</cp:revision>
  <cp:lastPrinted>2022-11-15T13:15:00Z</cp:lastPrinted>
  <dcterms:created xsi:type="dcterms:W3CDTF">2022-11-15T12:53:00Z</dcterms:created>
  <dcterms:modified xsi:type="dcterms:W3CDTF">2023-02-09T13:16:00Z</dcterms:modified>
</cp:coreProperties>
</file>