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0654E">
        <w:tblPrEx>
          <w:tblCellMar>
            <w:top w:w="0" w:type="dxa"/>
            <w:bottom w:w="0" w:type="dxa"/>
          </w:tblCellMar>
        </w:tblPrEx>
        <w:trPr>
          <w:cantSplit/>
          <w:trHeight w:hRule="exact" w:val="1260"/>
        </w:trPr>
        <w:tc>
          <w:tcPr>
            <w:tcW w:w="6024" w:type="dxa"/>
            <w:gridSpan w:val="2"/>
            <w:vMerge w:val="restart"/>
          </w:tcPr>
          <w:p w:rsidR="00A23E15" w:rsidRPr="0060654E" w:rsidRDefault="00A23E15">
            <w:pPr>
              <w:pStyle w:val="HuvudRubrik"/>
            </w:pPr>
            <w:bookmarkStart w:id="0" w:name="BetänkandeRubrik"/>
            <w:bookmarkEnd w:id="0"/>
            <w:r w:rsidRPr="0060654E">
              <w:t>Utrikesutskottets yttrande</w:t>
            </w:r>
            <w:r w:rsidR="0060654E" w:rsidRPr="0060654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1067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23E15" w:rsidRPr="0060654E" w:rsidRDefault="00A23E15">
                                  <w:pPr>
                                    <w:pStyle w:val="Logo"/>
                                  </w:pPr>
                                  <w:r w:rsidRPr="0060654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8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23E15" w:rsidRPr="0060654E" w:rsidRDefault="00A23E15">
                            <w:pPr>
                              <w:pStyle w:val="Logo"/>
                            </w:pPr>
                            <w:r w:rsidRPr="0060654E">
                              <w:object w:dxaOrig="840" w:dyaOrig="1545">
                                <v:shape id="_x0000_i1025" type="#_x0000_t75" style="width:90.45pt;height:77.15pt" fillcolor="window">
                                  <v:imagedata r:id="rId6" o:title="" cropright="-75835f"/>
                                </v:shape>
                                <o:OLEObject Type="Embed" ProgID="Word.Picture.8" ShapeID="_x0000_i1025" DrawAspect="Content" ObjectID="_1827347980" r:id="rId8"/>
                              </w:object>
                            </w:r>
                          </w:p>
                        </w:txbxContent>
                      </v:textbox>
                      <w10:wrap anchorx="page" anchory="page"/>
                    </v:shape>
                  </w:pict>
                </mc:Fallback>
              </mc:AlternateContent>
            </w:r>
          </w:p>
          <w:p w:rsidR="00A23E15" w:rsidRPr="0060654E" w:rsidRDefault="00A23E15">
            <w:pPr>
              <w:pStyle w:val="HuvudRubrikRad2"/>
            </w:pPr>
            <w:bookmarkStart w:id="17" w:name="BetänkandeNr"/>
            <w:bookmarkEnd w:id="17"/>
            <w:r w:rsidRPr="0060654E">
              <w:t>1999/2000:UU6y</w:t>
            </w:r>
          </w:p>
          <w:p w:rsidR="00A23E15" w:rsidRPr="0060654E" w:rsidRDefault="00A23E15">
            <w:pPr>
              <w:pStyle w:val="BetnkandeRubrik"/>
            </w:pPr>
            <w:bookmarkStart w:id="18" w:name="Huvudrubrik"/>
            <w:bookmarkEnd w:id="18"/>
            <w:r w:rsidRPr="0060654E">
              <w:t>Tilläggsbudget för år 2000 – utgiftsområde 5 Utr</w:t>
            </w:r>
            <w:r w:rsidRPr="0060654E">
              <w:t>i</w:t>
            </w:r>
            <w:r w:rsidRPr="0060654E">
              <w:t>kesförvaltning och internationell samverkan samt utgiftsområde 7 Internationellt bistånd</w:t>
            </w:r>
          </w:p>
        </w:tc>
        <w:tc>
          <w:tcPr>
            <w:tcW w:w="1559" w:type="dxa"/>
            <w:tcBorders>
              <w:bottom w:val="nil"/>
            </w:tcBorders>
          </w:tcPr>
          <w:p w:rsidR="00A23E15" w:rsidRPr="0060654E" w:rsidRDefault="00A23E15">
            <w:pPr>
              <w:spacing w:before="0" w:line="230" w:lineRule="auto"/>
              <w:rPr>
                <w:sz w:val="24"/>
              </w:rPr>
            </w:pPr>
          </w:p>
        </w:tc>
      </w:tr>
      <w:tr w:rsidR="00000000" w:rsidRPr="0060654E">
        <w:tblPrEx>
          <w:tblCellMar>
            <w:top w:w="0" w:type="dxa"/>
            <w:bottom w:w="0" w:type="dxa"/>
          </w:tblCellMar>
        </w:tblPrEx>
        <w:trPr>
          <w:cantSplit/>
          <w:trHeight w:hRule="exact" w:val="240"/>
        </w:trPr>
        <w:tc>
          <w:tcPr>
            <w:tcW w:w="6024" w:type="dxa"/>
            <w:gridSpan w:val="2"/>
            <w:vMerge/>
            <w:tcBorders>
              <w:top w:val="nil"/>
              <w:bottom w:val="nil"/>
            </w:tcBorders>
          </w:tcPr>
          <w:p w:rsidR="00A23E15" w:rsidRPr="0060654E" w:rsidRDefault="00A23E15">
            <w:pPr>
              <w:spacing w:before="40" w:after="900" w:line="280" w:lineRule="exact"/>
              <w:jc w:val="left"/>
              <w:rPr>
                <w:sz w:val="28"/>
              </w:rPr>
            </w:pPr>
          </w:p>
        </w:tc>
        <w:tc>
          <w:tcPr>
            <w:tcW w:w="1559" w:type="dxa"/>
          </w:tcPr>
          <w:p w:rsidR="00A23E15" w:rsidRPr="0060654E" w:rsidRDefault="00A23E15">
            <w:pPr>
              <w:pStyle w:val="rtal"/>
            </w:pPr>
            <w:r w:rsidRPr="0060654E">
              <w:t>1999/2000</w:t>
            </w:r>
          </w:p>
        </w:tc>
      </w:tr>
      <w:tr w:rsidR="00000000" w:rsidRPr="0060654E">
        <w:tblPrEx>
          <w:tblCellMar>
            <w:top w:w="0" w:type="dxa"/>
            <w:bottom w:w="0" w:type="dxa"/>
          </w:tblCellMar>
        </w:tblPrEx>
        <w:trPr>
          <w:cantSplit/>
          <w:trHeight w:val="560"/>
        </w:trPr>
        <w:tc>
          <w:tcPr>
            <w:tcW w:w="6024" w:type="dxa"/>
            <w:gridSpan w:val="2"/>
            <w:vMerge/>
            <w:tcBorders>
              <w:top w:val="nil"/>
              <w:bottom w:val="single" w:sz="6" w:space="0" w:color="auto"/>
            </w:tcBorders>
          </w:tcPr>
          <w:p w:rsidR="00A23E15" w:rsidRPr="0060654E" w:rsidRDefault="00A23E15">
            <w:pPr>
              <w:spacing w:before="40" w:after="900" w:line="280" w:lineRule="exact"/>
              <w:jc w:val="left"/>
              <w:rPr>
                <w:sz w:val="28"/>
              </w:rPr>
            </w:pPr>
          </w:p>
        </w:tc>
        <w:tc>
          <w:tcPr>
            <w:tcW w:w="1559" w:type="dxa"/>
            <w:tcBorders>
              <w:bottom w:val="single" w:sz="6" w:space="0" w:color="auto"/>
            </w:tcBorders>
          </w:tcPr>
          <w:p w:rsidR="00A23E15" w:rsidRPr="0060654E" w:rsidRDefault="00A23E15">
            <w:pPr>
              <w:pStyle w:val="rtal"/>
            </w:pPr>
            <w:r w:rsidRPr="0060654E">
              <w:t>UU6y</w:t>
            </w:r>
          </w:p>
        </w:tc>
      </w:tr>
      <w:tr w:rsidR="00000000" w:rsidRPr="0060654E">
        <w:tblPrEx>
          <w:tblCellMar>
            <w:top w:w="0" w:type="dxa"/>
            <w:bottom w:w="0" w:type="dxa"/>
          </w:tblCellMar>
        </w:tblPrEx>
        <w:trPr>
          <w:cantSplit/>
          <w:trHeight w:hRule="exact" w:val="660"/>
        </w:trPr>
        <w:tc>
          <w:tcPr>
            <w:tcW w:w="3012" w:type="dxa"/>
          </w:tcPr>
          <w:p w:rsidR="00A23E15" w:rsidRPr="0060654E" w:rsidRDefault="00A23E15">
            <w:pPr>
              <w:pStyle w:val="StatusSida1"/>
            </w:pPr>
          </w:p>
        </w:tc>
        <w:tc>
          <w:tcPr>
            <w:tcW w:w="3012" w:type="dxa"/>
          </w:tcPr>
          <w:p w:rsidR="00A23E15" w:rsidRPr="0060654E" w:rsidRDefault="00A23E15">
            <w:pPr>
              <w:pStyle w:val="UtskriftsdatumSida1"/>
              <w:rPr>
                <w:b/>
                <w:sz w:val="28"/>
              </w:rPr>
            </w:pPr>
          </w:p>
        </w:tc>
        <w:tc>
          <w:tcPr>
            <w:tcW w:w="1559" w:type="dxa"/>
          </w:tcPr>
          <w:p w:rsidR="00A23E15" w:rsidRPr="0060654E" w:rsidRDefault="00A23E15"/>
        </w:tc>
      </w:tr>
    </w:tbl>
    <w:p w:rsidR="00A23E15" w:rsidRPr="0060654E" w:rsidRDefault="00A23E15">
      <w:pPr>
        <w:pStyle w:val="Rubrik1"/>
        <w:spacing w:before="0"/>
      </w:pPr>
      <w:bookmarkStart w:id="19" w:name="_Toc482010257"/>
      <w:r w:rsidRPr="0060654E">
        <w:t>Till finansutskottet</w:t>
      </w:r>
      <w:bookmarkEnd w:id="19"/>
    </w:p>
    <w:p w:rsidR="00A23E15" w:rsidRPr="0060654E" w:rsidRDefault="00A23E15">
      <w:bookmarkStart w:id="20" w:name="Textstart"/>
      <w:bookmarkEnd w:id="20"/>
      <w:r w:rsidRPr="0060654E">
        <w:t>Finansutskottet har genom beslut den 27 april 2000 (prot. 1999/2000:24 7 §) berett övriga berörda utskott tillfälle att, i de delar som berör respektive utskotts beredningsområde, yttra sig över 2000 års ekonomiska vårpropos</w:t>
      </w:r>
      <w:r w:rsidRPr="0060654E">
        <w:t>i</w:t>
      </w:r>
      <w:r w:rsidRPr="0060654E">
        <w:t>tion (prop. 1999/2000:100) i vad avser tilläggsbudget till statsbudgeten för budgetåret 2000 (yrkandena 7–39) jämte de motioner som kan komma att väckas. Kammaren beslöt den 3 maj 2000 att hänvisa de med anledning av propositionen väckta motionerna till finansutskottet.</w:t>
      </w:r>
    </w:p>
    <w:p w:rsidR="00A23E15" w:rsidRPr="0060654E" w:rsidRDefault="00A23E15">
      <w:pPr>
        <w:pStyle w:val="Normaltindrag"/>
      </w:pPr>
      <w:r w:rsidRPr="0060654E">
        <w:t>Utrikesutskottet väljer att i det följande yttra sig över propositionens y</w:t>
      </w:r>
      <w:r w:rsidRPr="0060654E">
        <w:t>r</w:t>
      </w:r>
      <w:r w:rsidRPr="0060654E">
        <w:t>kanden 17 och 39 (delvis). Inga motioner har väckts i dessa delar.</w:t>
      </w:r>
    </w:p>
    <w:p w:rsidR="00A23E15" w:rsidRPr="0060654E" w:rsidRDefault="00A23E15">
      <w:pPr>
        <w:pStyle w:val="Rubrik2"/>
      </w:pPr>
      <w:bookmarkStart w:id="21" w:name="_Toc451078368"/>
      <w:r w:rsidRPr="0060654E">
        <w:t>1 Propositionen</w:t>
      </w:r>
      <w:bookmarkEnd w:id="21"/>
    </w:p>
    <w:p w:rsidR="00A23E15" w:rsidRPr="0060654E" w:rsidRDefault="00A23E15">
      <w:pPr>
        <w:pStyle w:val="Rubrik3"/>
        <w:spacing w:before="123"/>
      </w:pPr>
      <w:bookmarkStart w:id="22" w:name="_Toc451078369"/>
      <w:r w:rsidRPr="0060654E">
        <w:t>1.1 Yrkandena</w:t>
      </w:r>
      <w:bookmarkEnd w:id="22"/>
    </w:p>
    <w:p w:rsidR="00A23E15" w:rsidRPr="0060654E" w:rsidRDefault="00A23E15">
      <w:r w:rsidRPr="0060654E">
        <w:t xml:space="preserve">Utrikesutskottets beredningsområde berörs, vad avser </w:t>
      </w:r>
      <w:r w:rsidRPr="0060654E">
        <w:rPr>
          <w:i/>
        </w:rPr>
        <w:t>tilläggsbudget</w:t>
      </w:r>
      <w:r w:rsidRPr="0060654E">
        <w:t xml:space="preserve"> till statsbudgeten för budgetåret 2000 av propositionens </w:t>
      </w:r>
      <w:r w:rsidRPr="0060654E">
        <w:rPr>
          <w:i/>
        </w:rPr>
        <w:t xml:space="preserve">yrkanden 17 </w:t>
      </w:r>
      <w:r w:rsidRPr="0060654E">
        <w:t>och</w:t>
      </w:r>
      <w:r w:rsidRPr="0060654E">
        <w:rPr>
          <w:i/>
        </w:rPr>
        <w:t xml:space="preserve"> 39 (delvis).</w:t>
      </w:r>
      <w:r w:rsidRPr="0060654E">
        <w:t xml:space="preserve">  </w:t>
      </w:r>
    </w:p>
    <w:p w:rsidR="00A23E15" w:rsidRPr="0060654E" w:rsidRDefault="00A23E15">
      <w:pPr>
        <w:pStyle w:val="Normaltindrag"/>
      </w:pPr>
      <w:r w:rsidRPr="0060654E">
        <w:t xml:space="preserve">I </w:t>
      </w:r>
      <w:r w:rsidRPr="0060654E">
        <w:rPr>
          <w:i/>
        </w:rPr>
        <w:t>yrkande 17</w:t>
      </w:r>
      <w:r w:rsidRPr="0060654E">
        <w:t xml:space="preserve"> hemställs att riksdagen bemyndigar regeringen att under år 2000, såvitt avser det under utgiftsområde 5 Utrikesförvaltning och intern</w:t>
      </w:r>
      <w:r w:rsidRPr="0060654E">
        <w:t>a</w:t>
      </w:r>
      <w:r w:rsidRPr="0060654E">
        <w:t>tionell sam</w:t>
      </w:r>
      <w:r w:rsidRPr="0060654E">
        <w:softHyphen/>
        <w:t xml:space="preserve">verkan uppförda ramanslaget B4 </w:t>
      </w:r>
      <w:r w:rsidRPr="0060654E">
        <w:rPr>
          <w:i/>
        </w:rPr>
        <w:t>Freds</w:t>
      </w:r>
      <w:r w:rsidRPr="0060654E">
        <w:rPr>
          <w:i/>
        </w:rPr>
        <w:softHyphen/>
        <w:t>främjande verksamhet,</w:t>
      </w:r>
      <w:r w:rsidRPr="0060654E">
        <w:t xml:space="preserve"> ingå ekonomiska förpliktelser som inklusive tidigare gjorda åtaganden inn</w:t>
      </w:r>
      <w:r w:rsidRPr="0060654E">
        <w:t>e</w:t>
      </w:r>
      <w:r w:rsidRPr="0060654E">
        <w:t xml:space="preserve">bär utgifter på högst 150 000 000 kr efter år 2000 (propositionens avsnitt 5.4.6), </w:t>
      </w:r>
    </w:p>
    <w:p w:rsidR="00A23E15" w:rsidRPr="0060654E" w:rsidRDefault="00A23E15">
      <w:pPr>
        <w:pStyle w:val="Normaltindrag"/>
      </w:pPr>
      <w:r w:rsidRPr="0060654E">
        <w:t xml:space="preserve">I </w:t>
      </w:r>
      <w:r w:rsidRPr="0060654E">
        <w:rPr>
          <w:i/>
        </w:rPr>
        <w:t>yrkande 39</w:t>
      </w:r>
      <w:r w:rsidRPr="0060654E">
        <w:t xml:space="preserve">  </w:t>
      </w:r>
      <w:r w:rsidRPr="0060654E">
        <w:rPr>
          <w:i/>
        </w:rPr>
        <w:t xml:space="preserve">(delvis) </w:t>
      </w:r>
      <w:r w:rsidRPr="0060654E">
        <w:t>begärs att riksdagen på tilläggsbudget till statsbu</w:t>
      </w:r>
      <w:r w:rsidRPr="0060654E">
        <w:t>d</w:t>
      </w:r>
      <w:r w:rsidRPr="0060654E">
        <w:t>geten för budgetåret 2000 godkänner ändrade ramar för utgiftsområden samt anvisar ändrade och nya anslag i enlighet med specifikation i propositionens tabell 2.1.</w:t>
      </w:r>
    </w:p>
    <w:p w:rsidR="00A23E15" w:rsidRPr="0060654E" w:rsidRDefault="00A23E15"/>
    <w:p w:rsidR="00A23E15" w:rsidRPr="0060654E" w:rsidRDefault="00A23E15">
      <w:pPr>
        <w:pStyle w:val="Brdtextnumrerad"/>
        <w:numPr>
          <w:ilvl w:val="0"/>
          <w:numId w:val="0"/>
        </w:numPr>
        <w:ind w:left="454" w:hanging="454"/>
      </w:pPr>
    </w:p>
    <w:p w:rsidR="00A23E15" w:rsidRPr="0060654E" w:rsidRDefault="00A23E15">
      <w:pPr>
        <w:pStyle w:val="R3"/>
      </w:pPr>
      <w:r w:rsidRPr="0060654E">
        <w:t>Tabell 2.1 Specifikation av ändrade ramar för utgiftsområden samt änd-rade och nya anslag för budgetåret 2000</w:t>
      </w:r>
    </w:p>
    <w:p w:rsidR="00A23E15" w:rsidRPr="0060654E" w:rsidRDefault="00A23E15"/>
    <w:p w:rsidR="00A23E15" w:rsidRPr="0060654E" w:rsidRDefault="00A23E15">
      <w:pPr>
        <w:pStyle w:val="Ordfnamn"/>
        <w:spacing w:before="0"/>
        <w:rPr>
          <w:sz w:val="16"/>
        </w:rPr>
      </w:pPr>
      <w:r w:rsidRPr="0060654E">
        <w:rPr>
          <w:sz w:val="16"/>
        </w:rPr>
        <w:lastRenderedPageBreak/>
        <w:t>Tusental kronor</w:t>
      </w:r>
    </w:p>
    <w:p w:rsidR="00A23E15" w:rsidRPr="0060654E" w:rsidRDefault="00A23E15">
      <w:pPr>
        <w:pStyle w:val="Normaltindrag"/>
        <w:rPr>
          <w:sz w:val="16"/>
        </w:rPr>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589"/>
        <w:gridCol w:w="567"/>
        <w:gridCol w:w="1843"/>
        <w:gridCol w:w="1134"/>
        <w:gridCol w:w="1134"/>
        <w:gridCol w:w="992"/>
      </w:tblGrid>
      <w:tr w:rsidR="00000000" w:rsidRPr="0060654E">
        <w:tblPrEx>
          <w:tblCellMar>
            <w:top w:w="0" w:type="dxa"/>
            <w:bottom w:w="0" w:type="dxa"/>
          </w:tblCellMar>
        </w:tblPrEx>
        <w:tc>
          <w:tcPr>
            <w:tcW w:w="589" w:type="dxa"/>
            <w:tcBorders>
              <w:top w:val="single" w:sz="6" w:space="0" w:color="000000"/>
              <w:bottom w:val="single" w:sz="12" w:space="0" w:color="000000"/>
              <w:right w:val="nil"/>
            </w:tcBorders>
          </w:tcPr>
          <w:p w:rsidR="00A23E15" w:rsidRPr="0060654E" w:rsidRDefault="00A23E15">
            <w:pPr>
              <w:pStyle w:val="Odefinierat"/>
              <w:spacing w:after="120"/>
              <w:rPr>
                <w:sz w:val="16"/>
              </w:rPr>
            </w:pPr>
            <w:r w:rsidRPr="0060654E">
              <w:rPr>
                <w:sz w:val="16"/>
              </w:rPr>
              <w:t>U</w:t>
            </w:r>
            <w:r w:rsidRPr="0060654E">
              <w:rPr>
                <w:sz w:val="16"/>
              </w:rPr>
              <w:t>t</w:t>
            </w:r>
            <w:r w:rsidRPr="0060654E">
              <w:rPr>
                <w:sz w:val="16"/>
              </w:rPr>
              <w:t>gift</w:t>
            </w:r>
            <w:r w:rsidRPr="0060654E">
              <w:rPr>
                <w:sz w:val="16"/>
              </w:rPr>
              <w:t>s</w:t>
            </w:r>
            <w:r w:rsidRPr="0060654E">
              <w:rPr>
                <w:sz w:val="16"/>
              </w:rPr>
              <w:t>o</w:t>
            </w:r>
            <w:r w:rsidRPr="0060654E">
              <w:rPr>
                <w:sz w:val="16"/>
              </w:rPr>
              <w:t>m</w:t>
            </w:r>
            <w:r w:rsidRPr="0060654E">
              <w:rPr>
                <w:sz w:val="16"/>
              </w:rPr>
              <w:t>råde</w:t>
            </w:r>
          </w:p>
        </w:tc>
        <w:tc>
          <w:tcPr>
            <w:tcW w:w="567" w:type="dxa"/>
            <w:tcBorders>
              <w:top w:val="single" w:sz="6" w:space="0" w:color="000000"/>
              <w:left w:val="single" w:sz="4" w:space="0" w:color="auto"/>
              <w:bottom w:val="nil"/>
              <w:right w:val="nil"/>
            </w:tcBorders>
          </w:tcPr>
          <w:p w:rsidR="00A23E15" w:rsidRPr="0060654E" w:rsidRDefault="00A23E15">
            <w:pPr>
              <w:pStyle w:val="Odefinierat"/>
              <w:spacing w:after="120"/>
              <w:rPr>
                <w:sz w:val="16"/>
              </w:rPr>
            </w:pPr>
            <w:r w:rsidRPr="0060654E">
              <w:rPr>
                <w:sz w:val="16"/>
              </w:rPr>
              <w:t>A</w:t>
            </w:r>
            <w:r w:rsidRPr="0060654E">
              <w:rPr>
                <w:sz w:val="16"/>
              </w:rPr>
              <w:t>n</w:t>
            </w:r>
            <w:r w:rsidRPr="0060654E">
              <w:rPr>
                <w:sz w:val="16"/>
              </w:rPr>
              <w:t>slag</w:t>
            </w:r>
          </w:p>
        </w:tc>
        <w:tc>
          <w:tcPr>
            <w:tcW w:w="1843" w:type="dxa"/>
            <w:tcBorders>
              <w:top w:val="single" w:sz="6" w:space="0" w:color="000000"/>
              <w:left w:val="single" w:sz="4" w:space="0" w:color="auto"/>
              <w:bottom w:val="nil"/>
              <w:right w:val="nil"/>
            </w:tcBorders>
          </w:tcPr>
          <w:p w:rsidR="00A23E15" w:rsidRPr="0060654E" w:rsidRDefault="00A23E15">
            <w:pPr>
              <w:spacing w:after="120"/>
              <w:rPr>
                <w:sz w:val="16"/>
              </w:rPr>
            </w:pPr>
          </w:p>
        </w:tc>
        <w:tc>
          <w:tcPr>
            <w:tcW w:w="1134" w:type="dxa"/>
            <w:tcBorders>
              <w:top w:val="single" w:sz="6" w:space="0" w:color="000000"/>
              <w:left w:val="single" w:sz="4" w:space="0" w:color="auto"/>
              <w:bottom w:val="nil"/>
              <w:right w:val="nil"/>
            </w:tcBorders>
          </w:tcPr>
          <w:p w:rsidR="00A23E15" w:rsidRPr="0060654E" w:rsidRDefault="00A23E15">
            <w:pPr>
              <w:spacing w:after="120"/>
              <w:rPr>
                <w:sz w:val="16"/>
              </w:rPr>
            </w:pPr>
            <w:r w:rsidRPr="0060654E">
              <w:rPr>
                <w:sz w:val="16"/>
              </w:rPr>
              <w:t>Belopp enligt statsbudgeten 2000</w:t>
            </w:r>
          </w:p>
        </w:tc>
        <w:tc>
          <w:tcPr>
            <w:tcW w:w="1134" w:type="dxa"/>
            <w:tcBorders>
              <w:top w:val="single" w:sz="6" w:space="0" w:color="000000"/>
              <w:left w:val="single" w:sz="4" w:space="0" w:color="auto"/>
              <w:bottom w:val="nil"/>
              <w:right w:val="single" w:sz="4" w:space="0" w:color="auto"/>
            </w:tcBorders>
          </w:tcPr>
          <w:p w:rsidR="00A23E15" w:rsidRPr="0060654E" w:rsidRDefault="00A23E15">
            <w:pPr>
              <w:spacing w:after="120"/>
              <w:jc w:val="left"/>
              <w:rPr>
                <w:sz w:val="16"/>
              </w:rPr>
            </w:pPr>
            <w:r w:rsidRPr="0060654E">
              <w:rPr>
                <w:sz w:val="16"/>
              </w:rPr>
              <w:t>Förändring av ram/anslag</w:t>
            </w:r>
          </w:p>
        </w:tc>
        <w:tc>
          <w:tcPr>
            <w:tcW w:w="992" w:type="dxa"/>
            <w:tcBorders>
              <w:left w:val="nil"/>
              <w:bottom w:val="nil"/>
            </w:tcBorders>
          </w:tcPr>
          <w:p w:rsidR="00A23E15" w:rsidRPr="0060654E" w:rsidRDefault="00A23E15">
            <w:pPr>
              <w:spacing w:after="120"/>
              <w:jc w:val="left"/>
              <w:rPr>
                <w:sz w:val="16"/>
              </w:rPr>
            </w:pPr>
            <w:r w:rsidRPr="0060654E">
              <w:rPr>
                <w:sz w:val="16"/>
              </w:rPr>
              <w:t>Ny ram/</w:t>
            </w:r>
            <w:r w:rsidRPr="0060654E">
              <w:rPr>
                <w:sz w:val="16"/>
              </w:rPr>
              <w:br/>
              <w:t>Ny a</w:t>
            </w:r>
            <w:r w:rsidRPr="0060654E">
              <w:rPr>
                <w:sz w:val="16"/>
              </w:rPr>
              <w:t>n</w:t>
            </w:r>
            <w:r w:rsidRPr="0060654E">
              <w:rPr>
                <w:sz w:val="16"/>
              </w:rPr>
              <w:t>slagsn</w:t>
            </w:r>
            <w:r w:rsidRPr="0060654E">
              <w:rPr>
                <w:sz w:val="16"/>
              </w:rPr>
              <w:t>i</w:t>
            </w:r>
            <w:r w:rsidRPr="0060654E">
              <w:rPr>
                <w:sz w:val="16"/>
              </w:rPr>
              <w:t>vå</w:t>
            </w:r>
          </w:p>
        </w:tc>
      </w:tr>
      <w:tr w:rsidR="00000000" w:rsidRPr="0060654E">
        <w:tblPrEx>
          <w:tblCellMar>
            <w:top w:w="0" w:type="dxa"/>
            <w:bottom w:w="0" w:type="dxa"/>
          </w:tblCellMar>
        </w:tblPrEx>
        <w:tc>
          <w:tcPr>
            <w:tcW w:w="589" w:type="dxa"/>
            <w:tcBorders>
              <w:top w:val="nil"/>
              <w:bottom w:val="single" w:sz="6" w:space="0" w:color="000000"/>
              <w:right w:val="nil"/>
            </w:tcBorders>
          </w:tcPr>
          <w:p w:rsidR="00A23E15" w:rsidRPr="0060654E" w:rsidRDefault="00A23E15">
            <w:pPr>
              <w:rPr>
                <w:sz w:val="16"/>
              </w:rPr>
            </w:pPr>
            <w:r w:rsidRPr="0060654E">
              <w:rPr>
                <w:sz w:val="16"/>
              </w:rPr>
              <w:t>5</w:t>
            </w:r>
          </w:p>
        </w:tc>
        <w:tc>
          <w:tcPr>
            <w:tcW w:w="567" w:type="dxa"/>
            <w:tcBorders>
              <w:top w:val="single" w:sz="12" w:space="0" w:color="000000"/>
              <w:left w:val="single" w:sz="4" w:space="0" w:color="auto"/>
              <w:bottom w:val="nil"/>
              <w:right w:val="nil"/>
            </w:tcBorders>
          </w:tcPr>
          <w:p w:rsidR="00A23E15" w:rsidRPr="0060654E" w:rsidRDefault="00A23E15">
            <w:pPr>
              <w:rPr>
                <w:sz w:val="16"/>
              </w:rPr>
            </w:pPr>
          </w:p>
        </w:tc>
        <w:tc>
          <w:tcPr>
            <w:tcW w:w="1843" w:type="dxa"/>
            <w:tcBorders>
              <w:top w:val="single" w:sz="12" w:space="0" w:color="000000"/>
              <w:left w:val="single" w:sz="4" w:space="0" w:color="auto"/>
              <w:bottom w:val="nil"/>
              <w:right w:val="nil"/>
            </w:tcBorders>
          </w:tcPr>
          <w:p w:rsidR="00A23E15" w:rsidRPr="0060654E" w:rsidRDefault="00A23E15">
            <w:pPr>
              <w:rPr>
                <w:sz w:val="16"/>
              </w:rPr>
            </w:pPr>
            <w:r w:rsidRPr="0060654E">
              <w:rPr>
                <w:sz w:val="16"/>
              </w:rPr>
              <w:t>Utrikesförvaltning och internationell samve</w:t>
            </w:r>
            <w:r w:rsidRPr="0060654E">
              <w:rPr>
                <w:sz w:val="16"/>
              </w:rPr>
              <w:t>r</w:t>
            </w:r>
            <w:r w:rsidRPr="0060654E">
              <w:rPr>
                <w:sz w:val="16"/>
              </w:rPr>
              <w:t>kan</w:t>
            </w:r>
          </w:p>
        </w:tc>
        <w:tc>
          <w:tcPr>
            <w:tcW w:w="1134" w:type="dxa"/>
            <w:tcBorders>
              <w:top w:val="single" w:sz="12" w:space="0" w:color="000000"/>
              <w:left w:val="single" w:sz="4" w:space="0" w:color="auto"/>
              <w:bottom w:val="nil"/>
              <w:right w:val="nil"/>
            </w:tcBorders>
          </w:tcPr>
          <w:p w:rsidR="00A23E15" w:rsidRPr="0060654E" w:rsidRDefault="00A23E15">
            <w:pPr>
              <w:jc w:val="right"/>
              <w:rPr>
                <w:sz w:val="16"/>
              </w:rPr>
            </w:pPr>
            <w:r w:rsidRPr="0060654E">
              <w:rPr>
                <w:sz w:val="16"/>
              </w:rPr>
              <w:t>2 983 393</w:t>
            </w:r>
          </w:p>
        </w:tc>
        <w:tc>
          <w:tcPr>
            <w:tcW w:w="1134" w:type="dxa"/>
            <w:tcBorders>
              <w:top w:val="single" w:sz="12" w:space="0" w:color="000000"/>
              <w:left w:val="single" w:sz="4" w:space="0" w:color="auto"/>
              <w:bottom w:val="nil"/>
              <w:right w:val="nil"/>
            </w:tcBorders>
          </w:tcPr>
          <w:p w:rsidR="00A23E15" w:rsidRPr="0060654E" w:rsidRDefault="00A23E15">
            <w:pPr>
              <w:jc w:val="right"/>
              <w:rPr>
                <w:sz w:val="16"/>
              </w:rPr>
            </w:pPr>
            <w:r w:rsidRPr="0060654E">
              <w:rPr>
                <w:sz w:val="16"/>
              </w:rPr>
              <w:t>-175 630</w:t>
            </w:r>
          </w:p>
        </w:tc>
        <w:tc>
          <w:tcPr>
            <w:tcW w:w="992" w:type="dxa"/>
            <w:tcBorders>
              <w:top w:val="single" w:sz="12" w:space="0" w:color="000000"/>
              <w:left w:val="single" w:sz="4" w:space="0" w:color="auto"/>
              <w:bottom w:val="nil"/>
            </w:tcBorders>
          </w:tcPr>
          <w:p w:rsidR="00A23E15" w:rsidRPr="0060654E" w:rsidRDefault="00A23E15">
            <w:pPr>
              <w:jc w:val="right"/>
              <w:rPr>
                <w:sz w:val="16"/>
              </w:rPr>
            </w:pPr>
            <w:r w:rsidRPr="0060654E">
              <w:rPr>
                <w:sz w:val="16"/>
              </w:rPr>
              <w:t>2 807 763</w:t>
            </w:r>
          </w:p>
        </w:tc>
      </w:tr>
      <w:tr w:rsidR="00000000" w:rsidRPr="0060654E">
        <w:tblPrEx>
          <w:tblCellMar>
            <w:top w:w="0" w:type="dxa"/>
            <w:bottom w:w="0" w:type="dxa"/>
          </w:tblCellMar>
        </w:tblPrEx>
        <w:tc>
          <w:tcPr>
            <w:tcW w:w="589" w:type="dxa"/>
            <w:tcBorders>
              <w:top w:val="single" w:sz="6" w:space="0" w:color="000000"/>
              <w:right w:val="nil"/>
            </w:tcBorders>
          </w:tcPr>
          <w:p w:rsidR="00A23E15" w:rsidRPr="0060654E" w:rsidRDefault="00A23E15">
            <w:pPr>
              <w:rPr>
                <w:sz w:val="16"/>
              </w:rPr>
            </w:pPr>
          </w:p>
        </w:tc>
        <w:tc>
          <w:tcPr>
            <w:tcW w:w="567" w:type="dxa"/>
            <w:tcBorders>
              <w:top w:val="single" w:sz="6" w:space="0" w:color="000000"/>
              <w:left w:val="single" w:sz="4" w:space="0" w:color="auto"/>
              <w:bottom w:val="single" w:sz="6" w:space="0" w:color="000000"/>
              <w:right w:val="nil"/>
            </w:tcBorders>
          </w:tcPr>
          <w:p w:rsidR="00A23E15" w:rsidRPr="0060654E" w:rsidRDefault="00A23E15">
            <w:pPr>
              <w:rPr>
                <w:sz w:val="16"/>
              </w:rPr>
            </w:pPr>
            <w:r w:rsidRPr="0060654E">
              <w:rPr>
                <w:sz w:val="16"/>
              </w:rPr>
              <w:t>A1</w:t>
            </w:r>
          </w:p>
        </w:tc>
        <w:tc>
          <w:tcPr>
            <w:tcW w:w="1843" w:type="dxa"/>
            <w:tcBorders>
              <w:top w:val="single" w:sz="6" w:space="0" w:color="000000"/>
              <w:left w:val="single" w:sz="4" w:space="0" w:color="auto"/>
              <w:bottom w:val="single" w:sz="6" w:space="0" w:color="000000"/>
              <w:right w:val="nil"/>
            </w:tcBorders>
          </w:tcPr>
          <w:p w:rsidR="00A23E15" w:rsidRPr="0060654E" w:rsidRDefault="00A23E15">
            <w:pPr>
              <w:rPr>
                <w:sz w:val="16"/>
              </w:rPr>
            </w:pPr>
            <w:r w:rsidRPr="0060654E">
              <w:rPr>
                <w:sz w:val="16"/>
              </w:rPr>
              <w:t>Utrikesförvaltning, ramanslag</w:t>
            </w:r>
          </w:p>
        </w:tc>
        <w:tc>
          <w:tcPr>
            <w:tcW w:w="1134"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1 891 058</w:t>
            </w:r>
          </w:p>
        </w:tc>
        <w:tc>
          <w:tcPr>
            <w:tcW w:w="1134"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-175 630</w:t>
            </w:r>
          </w:p>
        </w:tc>
        <w:tc>
          <w:tcPr>
            <w:tcW w:w="992" w:type="dxa"/>
            <w:tcBorders>
              <w:top w:val="single" w:sz="6" w:space="0" w:color="000000"/>
              <w:left w:val="single" w:sz="4" w:space="0" w:color="auto"/>
              <w:bottom w:val="single" w:sz="6" w:space="0" w:color="000000"/>
            </w:tcBorders>
          </w:tcPr>
          <w:p w:rsidR="00A23E15" w:rsidRPr="0060654E" w:rsidRDefault="00A23E15">
            <w:pPr>
              <w:jc w:val="right"/>
              <w:rPr>
                <w:sz w:val="16"/>
              </w:rPr>
            </w:pPr>
            <w:r w:rsidRPr="0060654E">
              <w:rPr>
                <w:sz w:val="16"/>
              </w:rPr>
              <w:t>1 715 428</w:t>
            </w:r>
          </w:p>
        </w:tc>
      </w:tr>
    </w:tbl>
    <w:p w:rsidR="00A23E15" w:rsidRPr="0060654E" w:rsidRDefault="00A23E15">
      <w:pPr>
        <w:pStyle w:val="Rubrik3"/>
        <w:rPr>
          <w:b w:val="0"/>
          <w:sz w:val="24"/>
        </w:rPr>
      </w:pPr>
      <w:bookmarkStart w:id="23" w:name="_Toc479699604"/>
      <w:bookmarkStart w:id="24" w:name="_Toc479730262"/>
      <w:bookmarkStart w:id="25" w:name="_Toc479738463"/>
      <w:bookmarkStart w:id="26" w:name="_Toc479739703"/>
      <w:r w:rsidRPr="0060654E">
        <w:t>1.2 Uppföljning av 1999,  prognos och tilläggsbudget för 2000</w:t>
      </w:r>
      <w:bookmarkEnd w:id="23"/>
      <w:bookmarkEnd w:id="24"/>
      <w:bookmarkEnd w:id="25"/>
      <w:bookmarkEnd w:id="26"/>
      <w:r w:rsidRPr="0060654E">
        <w:t xml:space="preserve"> </w:t>
      </w:r>
      <w:r w:rsidRPr="0060654E">
        <w:rPr>
          <w:b w:val="0"/>
        </w:rPr>
        <w:t>(prop. s. 97 ff.)</w:t>
      </w:r>
    </w:p>
    <w:p w:rsidR="00A23E15" w:rsidRPr="0060654E" w:rsidRDefault="00A23E15">
      <w:r w:rsidRPr="0060654E">
        <w:t>Som framgår av propositionen uppgick det preliminära utfallet för statsbu</w:t>
      </w:r>
      <w:r w:rsidRPr="0060654E">
        <w:t>d</w:t>
      </w:r>
      <w:r w:rsidRPr="0060654E">
        <w:t xml:space="preserve">getens utgifter 1999 till 642,6 miljarder kronor. </w:t>
      </w:r>
    </w:p>
    <w:p w:rsidR="00A23E15" w:rsidRPr="0060654E" w:rsidRDefault="00A23E15">
      <w:pPr>
        <w:pStyle w:val="Normaltindrag"/>
      </w:pPr>
      <w:r w:rsidRPr="0060654E">
        <w:t>Avvikelserna per utgiftsområde i förhållande till anvisade medel på stat</w:t>
      </w:r>
      <w:r w:rsidRPr="0060654E">
        <w:t>s</w:t>
      </w:r>
      <w:r w:rsidRPr="0060654E">
        <w:t xml:space="preserve">budgeten redovisas i tabell 5.4 (se utdrag nedan). En större förbrukning än anvisade medel kan finansieras genom att myndigheterna utnyttjar ingående reservationer/anslagssparande eller anslagskredit eller genom att regeringen beslutar om s.k. medgivet överskridande. </w:t>
      </w:r>
    </w:p>
    <w:p w:rsidR="00A23E15" w:rsidRPr="0060654E" w:rsidRDefault="00A23E15">
      <w:pPr>
        <w:pStyle w:val="R3"/>
      </w:pPr>
      <w:r w:rsidRPr="0060654E">
        <w:t>Tabell 5.4 Statsbudgetens utgifter 1999</w:t>
      </w:r>
    </w:p>
    <w:p w:rsidR="00A23E15" w:rsidRPr="0060654E" w:rsidRDefault="00A23E15"/>
    <w:p w:rsidR="00A23E15" w:rsidRPr="0060654E" w:rsidRDefault="00A23E15">
      <w:pPr>
        <w:pStyle w:val="Ordfnamn"/>
        <w:spacing w:before="0"/>
        <w:rPr>
          <w:sz w:val="16"/>
        </w:rPr>
      </w:pPr>
      <w:r w:rsidRPr="0060654E">
        <w:rPr>
          <w:sz w:val="16"/>
        </w:rPr>
        <w:t>Miljarder kronor</w:t>
      </w:r>
    </w:p>
    <w:p w:rsidR="00A23E15" w:rsidRPr="0060654E" w:rsidRDefault="00A23E15">
      <w:pPr>
        <w:spacing w:before="0"/>
        <w:rPr>
          <w:sz w:val="16"/>
        </w:rPr>
      </w:pPr>
    </w:p>
    <w:p w:rsidR="00A23E15" w:rsidRPr="0060654E" w:rsidRDefault="00A23E15">
      <w:pPr>
        <w:pStyle w:val="Kantrubrik"/>
        <w:framePr w:wrap="around"/>
        <w:spacing w:before="0"/>
        <w:rPr>
          <w:sz w:val="16"/>
        </w:rPr>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589"/>
        <w:gridCol w:w="1843"/>
        <w:gridCol w:w="851"/>
        <w:gridCol w:w="708"/>
        <w:gridCol w:w="736"/>
        <w:gridCol w:w="682"/>
        <w:gridCol w:w="850"/>
      </w:tblGrid>
      <w:tr w:rsidR="00000000" w:rsidRPr="0060654E">
        <w:tblPrEx>
          <w:tblCellMar>
            <w:top w:w="0" w:type="dxa"/>
            <w:bottom w:w="0" w:type="dxa"/>
          </w:tblCellMar>
        </w:tblPrEx>
        <w:tc>
          <w:tcPr>
            <w:tcW w:w="589" w:type="dxa"/>
            <w:tcBorders>
              <w:bottom w:val="single" w:sz="12" w:space="0" w:color="000000"/>
              <w:right w:val="nil"/>
            </w:tcBorders>
          </w:tcPr>
          <w:p w:rsidR="00A23E15" w:rsidRPr="0060654E" w:rsidRDefault="00A23E15">
            <w:pPr>
              <w:spacing w:after="120"/>
              <w:rPr>
                <w:sz w:val="16"/>
              </w:rPr>
            </w:pPr>
          </w:p>
        </w:tc>
        <w:tc>
          <w:tcPr>
            <w:tcW w:w="1843" w:type="dxa"/>
            <w:tcBorders>
              <w:top w:val="single" w:sz="6" w:space="0" w:color="000000"/>
              <w:left w:val="single" w:sz="4" w:space="0" w:color="auto"/>
              <w:bottom w:val="nil"/>
              <w:right w:val="nil"/>
            </w:tcBorders>
          </w:tcPr>
          <w:p w:rsidR="00A23E15" w:rsidRPr="0060654E" w:rsidRDefault="00A23E15">
            <w:pPr>
              <w:spacing w:after="120"/>
              <w:rPr>
                <w:sz w:val="16"/>
              </w:rPr>
            </w:pPr>
          </w:p>
        </w:tc>
        <w:tc>
          <w:tcPr>
            <w:tcW w:w="851" w:type="dxa"/>
            <w:tcBorders>
              <w:top w:val="single" w:sz="6" w:space="0" w:color="000000"/>
              <w:left w:val="single" w:sz="4" w:space="0" w:color="auto"/>
              <w:bottom w:val="nil"/>
              <w:right w:val="nil"/>
            </w:tcBorders>
          </w:tcPr>
          <w:p w:rsidR="00A23E15" w:rsidRPr="0060654E" w:rsidRDefault="00A23E15">
            <w:pPr>
              <w:spacing w:after="120"/>
              <w:rPr>
                <w:sz w:val="16"/>
              </w:rPr>
            </w:pPr>
            <w:r w:rsidRPr="0060654E">
              <w:rPr>
                <w:sz w:val="16"/>
              </w:rPr>
              <w:t>Statsbu</w:t>
            </w:r>
            <w:r w:rsidRPr="0060654E">
              <w:rPr>
                <w:sz w:val="16"/>
              </w:rPr>
              <w:t>d</w:t>
            </w:r>
            <w:r w:rsidRPr="0060654E">
              <w:rPr>
                <w:sz w:val="16"/>
              </w:rPr>
              <w:t>get</w:t>
            </w:r>
          </w:p>
        </w:tc>
        <w:tc>
          <w:tcPr>
            <w:tcW w:w="708" w:type="dxa"/>
            <w:tcBorders>
              <w:top w:val="single" w:sz="6" w:space="0" w:color="000000"/>
              <w:left w:val="single" w:sz="4" w:space="0" w:color="auto"/>
              <w:bottom w:val="nil"/>
              <w:right w:val="nil"/>
            </w:tcBorders>
          </w:tcPr>
          <w:p w:rsidR="00A23E15" w:rsidRPr="0060654E" w:rsidRDefault="00A23E15">
            <w:pPr>
              <w:spacing w:after="120"/>
              <w:rPr>
                <w:sz w:val="16"/>
              </w:rPr>
            </w:pPr>
            <w:r w:rsidRPr="0060654E">
              <w:rPr>
                <w:sz w:val="16"/>
              </w:rPr>
              <w:t>Ti</w:t>
            </w:r>
            <w:r w:rsidRPr="0060654E">
              <w:rPr>
                <w:sz w:val="16"/>
              </w:rPr>
              <w:t>l</w:t>
            </w:r>
            <w:r w:rsidRPr="0060654E">
              <w:rPr>
                <w:sz w:val="16"/>
              </w:rPr>
              <w:t>läggs-bu</w:t>
            </w:r>
            <w:r w:rsidRPr="0060654E">
              <w:rPr>
                <w:sz w:val="16"/>
              </w:rPr>
              <w:t>d</w:t>
            </w:r>
            <w:r w:rsidRPr="0060654E">
              <w:rPr>
                <w:sz w:val="16"/>
              </w:rPr>
              <w:t>get</w:t>
            </w:r>
          </w:p>
        </w:tc>
        <w:tc>
          <w:tcPr>
            <w:tcW w:w="736" w:type="dxa"/>
            <w:tcBorders>
              <w:top w:val="single" w:sz="6" w:space="0" w:color="000000"/>
              <w:left w:val="single" w:sz="4" w:space="0" w:color="auto"/>
              <w:bottom w:val="nil"/>
              <w:right w:val="nil"/>
            </w:tcBorders>
          </w:tcPr>
          <w:p w:rsidR="00A23E15" w:rsidRPr="0060654E" w:rsidRDefault="00A23E15">
            <w:pPr>
              <w:spacing w:after="120"/>
              <w:rPr>
                <w:sz w:val="16"/>
              </w:rPr>
            </w:pPr>
            <w:r w:rsidRPr="0060654E">
              <w:rPr>
                <w:sz w:val="16"/>
              </w:rPr>
              <w:t>T</w:t>
            </w:r>
            <w:r w:rsidRPr="0060654E">
              <w:rPr>
                <w:sz w:val="16"/>
              </w:rPr>
              <w:t>o</w:t>
            </w:r>
            <w:r w:rsidRPr="0060654E">
              <w:rPr>
                <w:sz w:val="16"/>
              </w:rPr>
              <w:t>talt</w:t>
            </w:r>
            <w:r w:rsidRPr="0060654E">
              <w:rPr>
                <w:sz w:val="16"/>
              </w:rPr>
              <w:br/>
              <w:t>anv</w:t>
            </w:r>
            <w:r w:rsidRPr="0060654E">
              <w:rPr>
                <w:sz w:val="16"/>
              </w:rPr>
              <w:t>i</w:t>
            </w:r>
            <w:r w:rsidRPr="0060654E">
              <w:rPr>
                <w:sz w:val="16"/>
              </w:rPr>
              <w:t>sat</w:t>
            </w:r>
          </w:p>
        </w:tc>
        <w:tc>
          <w:tcPr>
            <w:tcW w:w="682" w:type="dxa"/>
            <w:tcBorders>
              <w:top w:val="single" w:sz="6" w:space="0" w:color="000000"/>
              <w:left w:val="single" w:sz="4" w:space="0" w:color="auto"/>
              <w:bottom w:val="nil"/>
              <w:right w:val="nil"/>
            </w:tcBorders>
          </w:tcPr>
          <w:p w:rsidR="00A23E15" w:rsidRPr="0060654E" w:rsidRDefault="00A23E15">
            <w:pPr>
              <w:spacing w:after="120"/>
              <w:rPr>
                <w:sz w:val="16"/>
              </w:rPr>
            </w:pPr>
            <w:r w:rsidRPr="0060654E">
              <w:rPr>
                <w:sz w:val="16"/>
              </w:rPr>
              <w:t>Prel</w:t>
            </w:r>
            <w:r w:rsidRPr="0060654E">
              <w:rPr>
                <w:sz w:val="16"/>
              </w:rPr>
              <w:t>i</w:t>
            </w:r>
            <w:r w:rsidRPr="0060654E">
              <w:rPr>
                <w:sz w:val="16"/>
              </w:rPr>
              <w:t>m</w:t>
            </w:r>
            <w:r w:rsidRPr="0060654E">
              <w:rPr>
                <w:sz w:val="16"/>
              </w:rPr>
              <w:t>i</w:t>
            </w:r>
            <w:r w:rsidRPr="0060654E">
              <w:rPr>
                <w:sz w:val="16"/>
              </w:rPr>
              <w:t>närt</w:t>
            </w:r>
            <w:r w:rsidRPr="0060654E">
              <w:rPr>
                <w:sz w:val="16"/>
              </w:rPr>
              <w:br/>
              <w:t>u</w:t>
            </w:r>
            <w:r w:rsidRPr="0060654E">
              <w:rPr>
                <w:sz w:val="16"/>
              </w:rPr>
              <w:t>t</w:t>
            </w:r>
            <w:r w:rsidRPr="0060654E">
              <w:rPr>
                <w:sz w:val="16"/>
              </w:rPr>
              <w:t>fall</w:t>
            </w:r>
          </w:p>
        </w:tc>
        <w:tc>
          <w:tcPr>
            <w:tcW w:w="850" w:type="dxa"/>
            <w:tcBorders>
              <w:top w:val="single" w:sz="6" w:space="0" w:color="000000"/>
              <w:left w:val="single" w:sz="4" w:space="0" w:color="auto"/>
              <w:bottom w:val="nil"/>
            </w:tcBorders>
          </w:tcPr>
          <w:p w:rsidR="00A23E15" w:rsidRPr="0060654E" w:rsidRDefault="00A23E15">
            <w:pPr>
              <w:spacing w:after="120"/>
              <w:rPr>
                <w:sz w:val="16"/>
              </w:rPr>
            </w:pPr>
            <w:r w:rsidRPr="0060654E">
              <w:rPr>
                <w:sz w:val="16"/>
              </w:rPr>
              <w:t>Diff</w:t>
            </w:r>
            <w:r w:rsidRPr="0060654E">
              <w:rPr>
                <w:sz w:val="16"/>
              </w:rPr>
              <w:t>e</w:t>
            </w:r>
            <w:r w:rsidRPr="0060654E">
              <w:rPr>
                <w:sz w:val="16"/>
              </w:rPr>
              <w:t>rens</w:t>
            </w:r>
            <w:r w:rsidRPr="0060654E">
              <w:rPr>
                <w:sz w:val="16"/>
              </w:rPr>
              <w:br/>
              <w:t>utfall statsbu</w:t>
            </w:r>
            <w:r w:rsidRPr="0060654E">
              <w:rPr>
                <w:sz w:val="16"/>
              </w:rPr>
              <w:t>d</w:t>
            </w:r>
            <w:r w:rsidRPr="0060654E">
              <w:rPr>
                <w:sz w:val="16"/>
              </w:rPr>
              <w:t>get</w:t>
            </w:r>
          </w:p>
        </w:tc>
      </w:tr>
      <w:tr w:rsidR="00000000" w:rsidRPr="0060654E">
        <w:tblPrEx>
          <w:tblCellMar>
            <w:top w:w="0" w:type="dxa"/>
            <w:bottom w:w="0" w:type="dxa"/>
          </w:tblCellMar>
        </w:tblPrEx>
        <w:tc>
          <w:tcPr>
            <w:tcW w:w="589" w:type="dxa"/>
            <w:tcBorders>
              <w:top w:val="nil"/>
              <w:bottom w:val="single" w:sz="6" w:space="0" w:color="000000"/>
              <w:right w:val="nil"/>
            </w:tcBorders>
          </w:tcPr>
          <w:p w:rsidR="00A23E15" w:rsidRPr="0060654E" w:rsidRDefault="00A23E15">
            <w:pPr>
              <w:rPr>
                <w:sz w:val="16"/>
              </w:rPr>
            </w:pPr>
            <w:r w:rsidRPr="0060654E">
              <w:rPr>
                <w:sz w:val="16"/>
              </w:rPr>
              <w:t>UO 5</w:t>
            </w:r>
          </w:p>
        </w:tc>
        <w:tc>
          <w:tcPr>
            <w:tcW w:w="1843" w:type="dxa"/>
            <w:tcBorders>
              <w:top w:val="single" w:sz="12" w:space="0" w:color="000000"/>
              <w:left w:val="single" w:sz="4" w:space="0" w:color="auto"/>
              <w:bottom w:val="single" w:sz="6" w:space="0" w:color="000000"/>
              <w:right w:val="nil"/>
            </w:tcBorders>
          </w:tcPr>
          <w:p w:rsidR="00A23E15" w:rsidRPr="0060654E" w:rsidRDefault="00A23E15">
            <w:pPr>
              <w:rPr>
                <w:sz w:val="16"/>
              </w:rPr>
            </w:pPr>
            <w:r w:rsidRPr="0060654E">
              <w:rPr>
                <w:sz w:val="16"/>
              </w:rPr>
              <w:t>Utrikesförvaltning och internationell samve</w:t>
            </w:r>
            <w:r w:rsidRPr="0060654E">
              <w:rPr>
                <w:sz w:val="16"/>
              </w:rPr>
              <w:t>r</w:t>
            </w:r>
            <w:r w:rsidRPr="0060654E">
              <w:rPr>
                <w:sz w:val="16"/>
              </w:rPr>
              <w:t>kan</w:t>
            </w:r>
          </w:p>
        </w:tc>
        <w:tc>
          <w:tcPr>
            <w:tcW w:w="851" w:type="dxa"/>
            <w:tcBorders>
              <w:top w:val="single" w:sz="12"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2,9</w:t>
            </w:r>
          </w:p>
        </w:tc>
        <w:tc>
          <w:tcPr>
            <w:tcW w:w="708" w:type="dxa"/>
            <w:tcBorders>
              <w:top w:val="single" w:sz="12"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0,0</w:t>
            </w:r>
          </w:p>
        </w:tc>
        <w:tc>
          <w:tcPr>
            <w:tcW w:w="736" w:type="dxa"/>
            <w:tcBorders>
              <w:top w:val="single" w:sz="12"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2,9</w:t>
            </w:r>
          </w:p>
        </w:tc>
        <w:tc>
          <w:tcPr>
            <w:tcW w:w="682" w:type="dxa"/>
            <w:tcBorders>
              <w:top w:val="single" w:sz="12" w:space="0" w:color="000000"/>
              <w:left w:val="single" w:sz="4" w:space="0" w:color="auto"/>
              <w:bottom w:val="nil"/>
              <w:right w:val="nil"/>
            </w:tcBorders>
          </w:tcPr>
          <w:p w:rsidR="00A23E15" w:rsidRPr="0060654E" w:rsidRDefault="00A23E15">
            <w:pPr>
              <w:jc w:val="right"/>
              <w:rPr>
                <w:sz w:val="16"/>
              </w:rPr>
            </w:pPr>
            <w:r w:rsidRPr="0060654E">
              <w:rPr>
                <w:sz w:val="16"/>
              </w:rPr>
              <w:t>2,9</w:t>
            </w:r>
          </w:p>
        </w:tc>
        <w:tc>
          <w:tcPr>
            <w:tcW w:w="850" w:type="dxa"/>
            <w:tcBorders>
              <w:top w:val="single" w:sz="12" w:space="0" w:color="000000"/>
              <w:left w:val="single" w:sz="4" w:space="0" w:color="auto"/>
              <w:bottom w:val="nil"/>
            </w:tcBorders>
          </w:tcPr>
          <w:p w:rsidR="00A23E15" w:rsidRPr="0060654E" w:rsidRDefault="00A23E15">
            <w:pPr>
              <w:jc w:val="right"/>
              <w:rPr>
                <w:sz w:val="16"/>
              </w:rPr>
            </w:pPr>
            <w:r w:rsidRPr="0060654E">
              <w:rPr>
                <w:sz w:val="16"/>
              </w:rPr>
              <w:t>0,0</w:t>
            </w:r>
          </w:p>
        </w:tc>
      </w:tr>
      <w:tr w:rsidR="00000000" w:rsidRPr="0060654E">
        <w:tblPrEx>
          <w:tblCellMar>
            <w:top w:w="0" w:type="dxa"/>
            <w:bottom w:w="0" w:type="dxa"/>
          </w:tblCellMar>
        </w:tblPrEx>
        <w:tc>
          <w:tcPr>
            <w:tcW w:w="589" w:type="dxa"/>
            <w:tcBorders>
              <w:top w:val="single" w:sz="6" w:space="0" w:color="000000"/>
              <w:right w:val="nil"/>
            </w:tcBorders>
          </w:tcPr>
          <w:p w:rsidR="00A23E15" w:rsidRPr="0060654E" w:rsidRDefault="00A23E15">
            <w:pPr>
              <w:rPr>
                <w:sz w:val="16"/>
              </w:rPr>
            </w:pPr>
            <w:r w:rsidRPr="0060654E">
              <w:rPr>
                <w:sz w:val="16"/>
              </w:rPr>
              <w:t>UO 7</w:t>
            </w:r>
          </w:p>
        </w:tc>
        <w:tc>
          <w:tcPr>
            <w:tcW w:w="1843" w:type="dxa"/>
            <w:tcBorders>
              <w:top w:val="single" w:sz="6" w:space="0" w:color="000000"/>
              <w:left w:val="single" w:sz="4" w:space="0" w:color="auto"/>
              <w:bottom w:val="single" w:sz="6" w:space="0" w:color="000000"/>
              <w:right w:val="nil"/>
            </w:tcBorders>
          </w:tcPr>
          <w:p w:rsidR="00A23E15" w:rsidRPr="0060654E" w:rsidRDefault="00A23E15">
            <w:pPr>
              <w:rPr>
                <w:sz w:val="16"/>
              </w:rPr>
            </w:pPr>
            <w:r w:rsidRPr="0060654E">
              <w:rPr>
                <w:sz w:val="16"/>
              </w:rPr>
              <w:t>Internationellt b</w:t>
            </w:r>
            <w:r w:rsidRPr="0060654E">
              <w:rPr>
                <w:sz w:val="16"/>
              </w:rPr>
              <w:t>i</w:t>
            </w:r>
            <w:r w:rsidRPr="0060654E">
              <w:rPr>
                <w:sz w:val="16"/>
              </w:rPr>
              <w:t>stånd</w:t>
            </w:r>
          </w:p>
        </w:tc>
        <w:tc>
          <w:tcPr>
            <w:tcW w:w="851"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11,9</w:t>
            </w:r>
          </w:p>
        </w:tc>
        <w:tc>
          <w:tcPr>
            <w:tcW w:w="708"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0,0</w:t>
            </w:r>
          </w:p>
        </w:tc>
        <w:tc>
          <w:tcPr>
            <w:tcW w:w="736"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11,9</w:t>
            </w:r>
          </w:p>
        </w:tc>
        <w:tc>
          <w:tcPr>
            <w:tcW w:w="682" w:type="dxa"/>
            <w:tcBorders>
              <w:top w:val="single" w:sz="6" w:space="0" w:color="000000"/>
              <w:left w:val="single" w:sz="4" w:space="0" w:color="auto"/>
              <w:bottom w:val="single" w:sz="6" w:space="0" w:color="000000"/>
              <w:right w:val="nil"/>
            </w:tcBorders>
          </w:tcPr>
          <w:p w:rsidR="00A23E15" w:rsidRPr="0060654E" w:rsidRDefault="00A23E15">
            <w:pPr>
              <w:jc w:val="right"/>
              <w:rPr>
                <w:sz w:val="16"/>
              </w:rPr>
            </w:pPr>
            <w:r w:rsidRPr="0060654E">
              <w:rPr>
                <w:sz w:val="16"/>
              </w:rPr>
              <w:t>12,4</w:t>
            </w:r>
          </w:p>
        </w:tc>
        <w:tc>
          <w:tcPr>
            <w:tcW w:w="850" w:type="dxa"/>
            <w:tcBorders>
              <w:top w:val="single" w:sz="6" w:space="0" w:color="000000"/>
              <w:left w:val="single" w:sz="4" w:space="0" w:color="auto"/>
              <w:bottom w:val="single" w:sz="6" w:space="0" w:color="000000"/>
            </w:tcBorders>
          </w:tcPr>
          <w:p w:rsidR="00A23E15" w:rsidRPr="0060654E" w:rsidRDefault="00A23E15">
            <w:pPr>
              <w:jc w:val="right"/>
              <w:rPr>
                <w:sz w:val="16"/>
              </w:rPr>
            </w:pPr>
            <w:r w:rsidRPr="0060654E">
              <w:rPr>
                <w:sz w:val="16"/>
              </w:rPr>
              <w:t>0,5</w:t>
            </w:r>
          </w:p>
        </w:tc>
      </w:tr>
    </w:tbl>
    <w:p w:rsidR="00A23E15" w:rsidRPr="0060654E" w:rsidRDefault="00A23E15"/>
    <w:p w:rsidR="00A23E15" w:rsidRPr="0060654E" w:rsidRDefault="00A23E15">
      <w:pPr>
        <w:spacing w:before="0"/>
      </w:pPr>
      <w:r w:rsidRPr="0060654E">
        <w:rPr>
          <w:i/>
        </w:rPr>
        <w:t>Utgiftsområde 7 Internationellt bistånd</w:t>
      </w:r>
    </w:p>
    <w:p w:rsidR="00A23E15" w:rsidRPr="0060654E" w:rsidRDefault="00A23E15">
      <w:r w:rsidRPr="0060654E">
        <w:t>I statsbudgeten anvisades utgiftsområdet 11,9 miljarder kronor. Det prelim</w:t>
      </w:r>
      <w:r w:rsidRPr="0060654E">
        <w:t>i</w:t>
      </w:r>
      <w:r w:rsidRPr="0060654E">
        <w:t>nära utfallet blev 0,5 miljarder kronor högre än budgeterat. De högre utgi</w:t>
      </w:r>
      <w:r w:rsidRPr="0060654E">
        <w:t>f</w:t>
      </w:r>
      <w:r w:rsidRPr="0060654E">
        <w:t>terna är framför allt hänförliga till anslaget</w:t>
      </w:r>
      <w:r w:rsidRPr="0060654E">
        <w:rPr>
          <w:i/>
        </w:rPr>
        <w:t xml:space="preserve"> Biståndsverksamhet</w:t>
      </w:r>
      <w:r w:rsidRPr="0060654E">
        <w:t>, vars utfall blev 0,4 miljarder kronor högre än anvisat. Förklaringen är att regeringen i december 1999 beslutade om ökade utbetalningar från anslaget för att uppnå målet om ett biståndsutfall på 0,7 % av brutto</w:t>
      </w:r>
      <w:r w:rsidRPr="0060654E">
        <w:softHyphen/>
        <w:t>nationalinkomsten. Den högre förbrukningen inom utgiftsområdet ryms inom tillgängliga medel, då rese</w:t>
      </w:r>
      <w:r w:rsidRPr="0060654E">
        <w:t>r</w:t>
      </w:r>
      <w:r w:rsidRPr="0060654E">
        <w:t xml:space="preserve">vationer från tidigare budgetår har nyttjats. </w:t>
      </w:r>
    </w:p>
    <w:p w:rsidR="00A23E15" w:rsidRPr="0060654E" w:rsidRDefault="00A23E15">
      <w:pPr>
        <w:pStyle w:val="Rubrik3"/>
        <w:rPr>
          <w:b w:val="0"/>
        </w:rPr>
      </w:pPr>
      <w:bookmarkStart w:id="27" w:name="_Toc479699611"/>
      <w:bookmarkStart w:id="28" w:name="_Toc479730269"/>
      <w:bookmarkStart w:id="29" w:name="_Toc479738470"/>
      <w:bookmarkStart w:id="30" w:name="_Toc479739710"/>
      <w:r w:rsidRPr="0060654E">
        <w:t>1.3 Utgift</w:t>
      </w:r>
      <w:r w:rsidRPr="0060654E">
        <w:t>sbegränsande åtgärder 2000</w:t>
      </w:r>
      <w:bookmarkEnd w:id="27"/>
      <w:bookmarkEnd w:id="28"/>
      <w:bookmarkEnd w:id="29"/>
      <w:bookmarkEnd w:id="30"/>
      <w:r w:rsidRPr="0060654E">
        <w:t xml:space="preserve"> </w:t>
      </w:r>
      <w:r w:rsidRPr="0060654E">
        <w:rPr>
          <w:b w:val="0"/>
        </w:rPr>
        <w:t>(prop. s. 104)</w:t>
      </w:r>
    </w:p>
    <w:p w:rsidR="00A23E15" w:rsidRPr="0060654E" w:rsidRDefault="00A23E15">
      <w:r w:rsidRPr="0060654E">
        <w:t>Utgiftstaket är ett allvarligt budgetpolitiskt åtagande för regeringen. Om det finns risk för att utgiftstaket för staten kommer att överskridas, skall reg</w:t>
      </w:r>
      <w:r w:rsidRPr="0060654E">
        <w:t>e</w:t>
      </w:r>
      <w:r w:rsidRPr="0060654E">
        <w:t>ringen för att undvika detta enligt 42 § lagen (1996:1059) om statsbudgeten, vidta sådana åtgärder som den har befogenheter till eller föreslå riksdagen nödvändiga åtgärder.</w:t>
      </w:r>
    </w:p>
    <w:p w:rsidR="00A23E15" w:rsidRPr="0060654E" w:rsidRDefault="00A23E15">
      <w:pPr>
        <w:pStyle w:val="Normaltindrag"/>
      </w:pPr>
      <w:r w:rsidRPr="0060654E">
        <w:t>I budgetpropositionen för 2000 meddelade regeringen att den förberedde ett antal åtgärder för att begränsa utgifterna för 2000. Regeringskansliets utgiftsprognoser visade att utgiftstaket för staten riskerade att överskridas 2000 till följd av att framför allt utgifterna för sjukpenning och avgiften till EU steg mer än vad som tidigare</w:t>
      </w:r>
      <w:r w:rsidRPr="0060654E">
        <w:t xml:space="preserve"> beräknats. </w:t>
      </w:r>
    </w:p>
    <w:p w:rsidR="00A23E15" w:rsidRPr="0060654E" w:rsidRDefault="00A23E15">
      <w:pPr>
        <w:pStyle w:val="Normaltindrag"/>
      </w:pPr>
      <w:r w:rsidRPr="0060654E">
        <w:t>Mot bakgrund av detta redovisade regeringen i budgetpropositionen för 2000 bl.a. att ett antal utgiftsområden skulle komma att beröras av utgiftsb</w:t>
      </w:r>
      <w:r w:rsidRPr="0060654E">
        <w:t>e</w:t>
      </w:r>
      <w:r w:rsidRPr="0060654E">
        <w:t>gränsningar. I budgetpropositionen preciserades emellertid inte närmare de vi</w:t>
      </w:r>
      <w:r w:rsidRPr="0060654E">
        <w:t>d</w:t>
      </w:r>
      <w:r w:rsidRPr="0060654E">
        <w:t xml:space="preserve">tagna åtgärdernas omfattning. </w:t>
      </w:r>
    </w:p>
    <w:p w:rsidR="00A23E15" w:rsidRPr="0060654E" w:rsidRDefault="00A23E15">
      <w:pPr>
        <w:pStyle w:val="Normaltindrag"/>
      </w:pPr>
      <w:r w:rsidRPr="0060654E">
        <w:t>Regeringen har bestämt att begränsningsbelopp skall införas 2000 på sammanlagt sex utgiftsområden. Begränsningsbeloppens syfte är att säke</w:t>
      </w:r>
      <w:r w:rsidRPr="0060654E">
        <w:t>r</w:t>
      </w:r>
      <w:r w:rsidRPr="0060654E">
        <w:t>ställa att anslagsförbrukningen inte överstiger en viss bestämd nivå. I tabell 5.7 (se utdrag nedan) redovisas de nu fastlagda utgiftsbegränsningarna. De nivåer som anges i tabellen utgör således de maximala utgifterna för berörda u</w:t>
      </w:r>
      <w:r w:rsidRPr="0060654E">
        <w:t>t</w:t>
      </w:r>
      <w:r w:rsidRPr="0060654E">
        <w:t xml:space="preserve">giftsområden och anslag. </w:t>
      </w:r>
    </w:p>
    <w:p w:rsidR="00A23E15" w:rsidRPr="0060654E" w:rsidRDefault="00A23E15">
      <w:pPr>
        <w:pStyle w:val="Normaltindrag"/>
      </w:pPr>
      <w:r w:rsidRPr="0060654E">
        <w:t>Regeringen avser att under året noggrant följa utgiftsutvecklingen och kommer, om utgiftstaket för staten är hotat, att i samband med budgetprop</w:t>
      </w:r>
      <w:r w:rsidRPr="0060654E">
        <w:t>o</w:t>
      </w:r>
      <w:r w:rsidRPr="0060654E">
        <w:t>siti</w:t>
      </w:r>
      <w:r w:rsidRPr="0060654E">
        <w:t>o</w:t>
      </w:r>
      <w:r w:rsidRPr="0060654E">
        <w:t xml:space="preserve">nen för 2001 vidta åtgärder. </w:t>
      </w:r>
    </w:p>
    <w:p w:rsidR="00A23E15" w:rsidRPr="0060654E" w:rsidRDefault="00A23E15">
      <w:pPr>
        <w:pStyle w:val="Normaltindrag"/>
      </w:pPr>
    </w:p>
    <w:p w:rsidR="00A23E15" w:rsidRPr="0060654E" w:rsidRDefault="00A23E15">
      <w:pPr>
        <w:pStyle w:val="Normaltindrag"/>
      </w:pPr>
    </w:p>
    <w:p w:rsidR="00A23E15" w:rsidRPr="0060654E" w:rsidRDefault="00A23E15">
      <w:pPr>
        <w:pStyle w:val="Normaltindrag"/>
      </w:pPr>
    </w:p>
    <w:p w:rsidR="00A23E15" w:rsidRPr="0060654E" w:rsidRDefault="00A23E15">
      <w:pPr>
        <w:pStyle w:val="R3"/>
        <w:spacing w:before="0"/>
      </w:pPr>
      <w:r w:rsidRPr="0060654E">
        <w:t>Tabell 5.7 Begränsningsbelopp 2000</w:t>
      </w:r>
    </w:p>
    <w:p w:rsidR="00A23E15" w:rsidRPr="0060654E" w:rsidRDefault="00A23E15">
      <w:pPr>
        <w:pStyle w:val="Kantrubrik"/>
        <w:framePr w:wrap="around"/>
      </w:pPr>
    </w:p>
    <w:p w:rsidR="00A23E15" w:rsidRPr="0060654E" w:rsidRDefault="00A23E15">
      <w:pPr>
        <w:pStyle w:val="Ordfnamn"/>
        <w:spacing w:before="123"/>
        <w:rPr>
          <w:sz w:val="16"/>
        </w:rPr>
      </w:pPr>
      <w:r w:rsidRPr="0060654E">
        <w:rPr>
          <w:sz w:val="16"/>
        </w:rPr>
        <w:t>Miljoner kronor</w:t>
      </w:r>
    </w:p>
    <w:p w:rsidR="00A23E15" w:rsidRPr="0060654E" w:rsidRDefault="00A23E15">
      <w:pPr>
        <w:pStyle w:val="Vinkelkoder"/>
      </w:pPr>
    </w:p>
    <w:tbl>
      <w:tblPr>
        <w:tblW w:w="0" w:type="auto"/>
        <w:tblInd w:w="-22" w:type="dxa"/>
        <w:tblLayout w:type="fixed"/>
        <w:tblCellMar>
          <w:left w:w="107" w:type="dxa"/>
          <w:right w:w="107" w:type="dxa"/>
        </w:tblCellMar>
        <w:tblLook w:val="0000" w:firstRow="0" w:lastRow="0" w:firstColumn="0" w:lastColumn="0" w:noHBand="0" w:noVBand="0"/>
      </w:tblPr>
      <w:tblGrid>
        <w:gridCol w:w="2999"/>
        <w:gridCol w:w="2552"/>
      </w:tblGrid>
      <w:tr w:rsidR="00000000" w:rsidRPr="0060654E">
        <w:tblPrEx>
          <w:tblCellMar>
            <w:top w:w="0" w:type="dxa"/>
            <w:bottom w:w="0" w:type="dxa"/>
          </w:tblCellMar>
        </w:tblPrEx>
        <w:tc>
          <w:tcPr>
            <w:tcW w:w="2999" w:type="dxa"/>
            <w:tcBorders>
              <w:top w:val="single" w:sz="12" w:space="0" w:color="auto"/>
              <w:bottom w:val="single" w:sz="12" w:space="0" w:color="auto"/>
            </w:tcBorders>
          </w:tcPr>
          <w:p w:rsidR="00A23E15" w:rsidRPr="0060654E" w:rsidRDefault="00A23E15">
            <w:pPr>
              <w:spacing w:after="120"/>
            </w:pPr>
          </w:p>
        </w:tc>
        <w:tc>
          <w:tcPr>
            <w:tcW w:w="2552" w:type="dxa"/>
            <w:tcBorders>
              <w:top w:val="single" w:sz="12" w:space="0" w:color="auto"/>
              <w:left w:val="single" w:sz="4" w:space="0" w:color="auto"/>
              <w:bottom w:val="single" w:sz="12" w:space="0" w:color="auto"/>
            </w:tcBorders>
          </w:tcPr>
          <w:p w:rsidR="00A23E15" w:rsidRPr="0060654E" w:rsidRDefault="00A23E15">
            <w:pPr>
              <w:spacing w:after="120"/>
            </w:pPr>
            <w:r w:rsidRPr="0060654E">
              <w:t>Nivåer som ej får överskr</w:t>
            </w:r>
            <w:r w:rsidRPr="0060654E">
              <w:t>i</w:t>
            </w:r>
            <w:r w:rsidRPr="0060654E">
              <w:t>das</w:t>
            </w:r>
          </w:p>
        </w:tc>
      </w:tr>
      <w:tr w:rsidR="00000000" w:rsidRPr="0060654E">
        <w:tblPrEx>
          <w:tblCellMar>
            <w:top w:w="0" w:type="dxa"/>
            <w:bottom w:w="0" w:type="dxa"/>
          </w:tblCellMar>
        </w:tblPrEx>
        <w:tc>
          <w:tcPr>
            <w:tcW w:w="2999" w:type="dxa"/>
            <w:tcBorders>
              <w:bottom w:val="single" w:sz="12" w:space="0" w:color="auto"/>
            </w:tcBorders>
          </w:tcPr>
          <w:p w:rsidR="00A23E15" w:rsidRPr="0060654E" w:rsidRDefault="00A23E15">
            <w:r w:rsidRPr="0060654E">
              <w:t>Utgiftsområde/Anslag</w:t>
            </w:r>
          </w:p>
        </w:tc>
        <w:tc>
          <w:tcPr>
            <w:tcW w:w="2552" w:type="dxa"/>
            <w:tcBorders>
              <w:left w:val="single" w:sz="4" w:space="0" w:color="auto"/>
              <w:bottom w:val="single" w:sz="12" w:space="0" w:color="auto"/>
            </w:tcBorders>
          </w:tcPr>
          <w:p w:rsidR="00A23E15" w:rsidRPr="0060654E" w:rsidRDefault="00A23E15"/>
        </w:tc>
      </w:tr>
      <w:tr w:rsidR="00000000" w:rsidRPr="0060654E">
        <w:tblPrEx>
          <w:tblCellMar>
            <w:top w:w="0" w:type="dxa"/>
            <w:bottom w:w="0" w:type="dxa"/>
          </w:tblCellMar>
        </w:tblPrEx>
        <w:tc>
          <w:tcPr>
            <w:tcW w:w="2999" w:type="dxa"/>
          </w:tcPr>
          <w:p w:rsidR="00A23E15" w:rsidRPr="0060654E" w:rsidRDefault="00A23E15">
            <w:r w:rsidRPr="0060654E">
              <w:t>Uo 7, Vo A Bistånd</w:t>
            </w:r>
          </w:p>
        </w:tc>
        <w:tc>
          <w:tcPr>
            <w:tcW w:w="2552" w:type="dxa"/>
            <w:tcBorders>
              <w:left w:val="single" w:sz="4" w:space="0" w:color="auto"/>
            </w:tcBorders>
          </w:tcPr>
          <w:p w:rsidR="00A23E15" w:rsidRPr="0060654E" w:rsidRDefault="00A23E15">
            <w:pPr>
              <w:jc w:val="right"/>
            </w:pPr>
            <w:r w:rsidRPr="0060654E">
              <w:t>14 185</w:t>
            </w:r>
          </w:p>
        </w:tc>
      </w:tr>
      <w:tr w:rsidR="00000000" w:rsidRPr="0060654E">
        <w:tblPrEx>
          <w:tblCellMar>
            <w:top w:w="0" w:type="dxa"/>
            <w:bottom w:w="0" w:type="dxa"/>
          </w:tblCellMar>
        </w:tblPrEx>
        <w:tc>
          <w:tcPr>
            <w:tcW w:w="2999" w:type="dxa"/>
            <w:tcBorders>
              <w:top w:val="single" w:sz="6" w:space="0" w:color="auto"/>
              <w:bottom w:val="single" w:sz="4" w:space="0" w:color="auto"/>
            </w:tcBorders>
          </w:tcPr>
          <w:p w:rsidR="00A23E15" w:rsidRPr="0060654E" w:rsidRDefault="00A23E15">
            <w:r w:rsidRPr="0060654E">
              <w:t>Uo 7, Vo B Central- och Östeuropa</w:t>
            </w:r>
          </w:p>
        </w:tc>
        <w:tc>
          <w:tcPr>
            <w:tcW w:w="2552" w:type="dxa"/>
            <w:tcBorders>
              <w:top w:val="single" w:sz="6" w:space="0" w:color="auto"/>
              <w:left w:val="single" w:sz="4" w:space="0" w:color="auto"/>
              <w:bottom w:val="single" w:sz="4" w:space="0" w:color="auto"/>
            </w:tcBorders>
          </w:tcPr>
          <w:p w:rsidR="00A23E15" w:rsidRPr="0060654E" w:rsidRDefault="00A23E15">
            <w:pPr>
              <w:jc w:val="right"/>
            </w:pPr>
            <w:r w:rsidRPr="0060654E">
              <w:t>975</w:t>
            </w:r>
          </w:p>
        </w:tc>
      </w:tr>
    </w:tbl>
    <w:p w:rsidR="00A23E15" w:rsidRPr="0060654E" w:rsidRDefault="00A23E15">
      <w:pPr>
        <w:pStyle w:val="Rubrik3"/>
      </w:pPr>
      <w:bookmarkStart w:id="31" w:name="_Toc479699612"/>
      <w:bookmarkStart w:id="32" w:name="_Toc479730270"/>
      <w:bookmarkStart w:id="33" w:name="_Toc479738471"/>
      <w:bookmarkStart w:id="34" w:name="_Toc479739711"/>
      <w:r w:rsidRPr="0060654E">
        <w:t>1.4 Utgiftsprognoser per utgiftsområde</w:t>
      </w:r>
      <w:bookmarkEnd w:id="31"/>
      <w:bookmarkEnd w:id="32"/>
      <w:bookmarkEnd w:id="33"/>
      <w:bookmarkEnd w:id="34"/>
      <w:r w:rsidRPr="0060654E">
        <w:t xml:space="preserve"> </w:t>
      </w:r>
      <w:r w:rsidRPr="0060654E">
        <w:rPr>
          <w:b w:val="0"/>
        </w:rPr>
        <w:t>(prop. s. 105 ff.)</w:t>
      </w:r>
    </w:p>
    <w:p w:rsidR="00A23E15" w:rsidRPr="0060654E" w:rsidRDefault="00A23E15">
      <w:r w:rsidRPr="0060654E">
        <w:t>I tabell 5.8 (se utdrag nedan) redovisas de prognostiserade utgifterna för respektive utgiftsområde och för ålders</w:t>
      </w:r>
      <w:r w:rsidRPr="0060654E">
        <w:softHyphen/>
        <w:t>pensionssystemet vid sidan av stat</w:t>
      </w:r>
      <w:r w:rsidRPr="0060654E">
        <w:t>s</w:t>
      </w:r>
      <w:r w:rsidRPr="0060654E">
        <w:t>budgeten. För vissa utgiftsområden avviker utgiftsprognoserna kraftigt i förhållande till anvisade medel på statsbudgeten. Nedan beskrivs de största skillnaderna utgiftsområdesvis.</w:t>
      </w:r>
    </w:p>
    <w:p w:rsidR="00A23E15" w:rsidRPr="0060654E" w:rsidRDefault="00A23E15"/>
    <w:p w:rsidR="00A23E15" w:rsidRPr="0060654E" w:rsidRDefault="00A23E15">
      <w:pPr>
        <w:pStyle w:val="TabellRubrik0"/>
        <w:shd w:val="clear" w:color="auto" w:fill="auto"/>
      </w:pPr>
    </w:p>
    <w:p w:rsidR="00A23E15" w:rsidRPr="0060654E" w:rsidRDefault="00A23E15">
      <w:pPr>
        <w:pStyle w:val="R3"/>
        <w:spacing w:before="0"/>
      </w:pPr>
      <w:r w:rsidRPr="0060654E">
        <w:t>Tabell 5.8 Prognos för takbegränsade utgifter 2000</w:t>
      </w:r>
    </w:p>
    <w:p w:rsidR="00A23E15" w:rsidRPr="0060654E" w:rsidRDefault="00A23E15">
      <w:pPr>
        <w:pStyle w:val="TabellUnderrubrik"/>
      </w:pPr>
    </w:p>
    <w:p w:rsidR="00A23E15" w:rsidRPr="0060654E" w:rsidRDefault="00A23E15">
      <w:pPr>
        <w:pStyle w:val="Ordfnamn"/>
        <w:spacing w:before="0"/>
        <w:rPr>
          <w:sz w:val="16"/>
        </w:rPr>
      </w:pPr>
      <w:r w:rsidRPr="0060654E">
        <w:rPr>
          <w:sz w:val="16"/>
        </w:rPr>
        <w:t>Miljarder kronor</w:t>
      </w:r>
    </w:p>
    <w:p w:rsidR="00A23E15" w:rsidRPr="0060654E" w:rsidRDefault="00A23E15">
      <w:pPr>
        <w:spacing w:before="0"/>
      </w:pPr>
    </w:p>
    <w:p w:rsidR="00A23E15" w:rsidRPr="0060654E" w:rsidRDefault="00A23E15">
      <w:pPr>
        <w:pStyle w:val="Kantrubrik"/>
        <w:framePr w:wrap="around"/>
        <w:spacing w:before="0"/>
      </w:pPr>
    </w:p>
    <w:tbl>
      <w:tblPr>
        <w:tblW w:w="0" w:type="auto"/>
        <w:tblInd w:w="-27" w:type="dxa"/>
        <w:tblBorders>
          <w:top w:val="single" w:sz="6" w:space="0" w:color="000000"/>
          <w:left w:val="single" w:sz="6" w:space="0" w:color="000000"/>
          <w:bottom w:val="single" w:sz="6" w:space="0" w:color="000000"/>
          <w:right w:val="single" w:sz="6" w:space="0" w:color="000000"/>
          <w:insideH w:val="nil"/>
          <w:insideV w:val="nil"/>
        </w:tblBorders>
        <w:tblLayout w:type="fixed"/>
        <w:tblCellMar>
          <w:left w:w="107" w:type="dxa"/>
          <w:right w:w="107" w:type="dxa"/>
        </w:tblCellMar>
        <w:tblLook w:val="00BF" w:firstRow="1" w:lastRow="0" w:firstColumn="1" w:lastColumn="0" w:noHBand="0" w:noVBand="0"/>
      </w:tblPr>
      <w:tblGrid>
        <w:gridCol w:w="731"/>
        <w:gridCol w:w="1701"/>
        <w:gridCol w:w="851"/>
        <w:gridCol w:w="992"/>
        <w:gridCol w:w="567"/>
        <w:gridCol w:w="567"/>
        <w:gridCol w:w="850"/>
      </w:tblGrid>
      <w:tr w:rsidR="00000000" w:rsidRPr="0060654E">
        <w:tblPrEx>
          <w:tblCellMar>
            <w:top w:w="0" w:type="dxa"/>
            <w:bottom w:w="0" w:type="dxa"/>
          </w:tblCellMar>
        </w:tblPrEx>
        <w:tc>
          <w:tcPr>
            <w:tcW w:w="731" w:type="dxa"/>
            <w:tcBorders>
              <w:bottom w:val="single" w:sz="12" w:space="0" w:color="000000"/>
              <w:right w:val="nil"/>
            </w:tcBorders>
          </w:tcPr>
          <w:p w:rsidR="00A23E15" w:rsidRPr="0060654E" w:rsidRDefault="00A23E15">
            <w:pPr>
              <w:rPr>
                <w:sz w:val="16"/>
              </w:rPr>
            </w:pPr>
          </w:p>
        </w:tc>
        <w:tc>
          <w:tcPr>
            <w:tcW w:w="1701" w:type="dxa"/>
            <w:tcBorders>
              <w:top w:val="single" w:sz="6" w:space="0" w:color="000000"/>
              <w:left w:val="single" w:sz="4" w:space="0" w:color="auto"/>
              <w:bottom w:val="single" w:sz="12" w:space="0" w:color="000000"/>
              <w:right w:val="nil"/>
            </w:tcBorders>
          </w:tcPr>
          <w:p w:rsidR="00A23E15" w:rsidRPr="0060654E" w:rsidRDefault="00A23E15">
            <w:pPr>
              <w:rPr>
                <w:sz w:val="16"/>
              </w:rPr>
            </w:pPr>
          </w:p>
        </w:tc>
        <w:tc>
          <w:tcPr>
            <w:tcW w:w="851" w:type="dxa"/>
            <w:tcBorders>
              <w:top w:val="single" w:sz="6" w:space="0" w:color="000000"/>
              <w:left w:val="single" w:sz="4" w:space="0" w:color="auto"/>
              <w:bottom w:val="single" w:sz="12" w:space="0" w:color="000000"/>
              <w:right w:val="nil"/>
            </w:tcBorders>
          </w:tcPr>
          <w:p w:rsidR="00A23E15" w:rsidRPr="0060654E" w:rsidRDefault="00A23E15">
            <w:pPr>
              <w:rPr>
                <w:sz w:val="16"/>
              </w:rPr>
            </w:pPr>
            <w:r w:rsidRPr="0060654E">
              <w:rPr>
                <w:sz w:val="16"/>
              </w:rPr>
              <w:t>Statsbu</w:t>
            </w:r>
            <w:r w:rsidRPr="0060654E">
              <w:rPr>
                <w:sz w:val="16"/>
              </w:rPr>
              <w:t>d</w:t>
            </w:r>
            <w:r w:rsidRPr="0060654E">
              <w:rPr>
                <w:sz w:val="16"/>
              </w:rPr>
              <w:t>get</w:t>
            </w:r>
          </w:p>
        </w:tc>
        <w:tc>
          <w:tcPr>
            <w:tcW w:w="992" w:type="dxa"/>
            <w:tcBorders>
              <w:top w:val="single" w:sz="6" w:space="0" w:color="000000"/>
              <w:left w:val="single" w:sz="4" w:space="0" w:color="auto"/>
              <w:bottom w:val="single" w:sz="12" w:space="0" w:color="000000"/>
              <w:right w:val="nil"/>
            </w:tcBorders>
          </w:tcPr>
          <w:p w:rsidR="00A23E15" w:rsidRPr="0060654E" w:rsidRDefault="00A23E15">
            <w:pPr>
              <w:rPr>
                <w:sz w:val="16"/>
              </w:rPr>
            </w:pPr>
            <w:r w:rsidRPr="0060654E">
              <w:rPr>
                <w:sz w:val="16"/>
              </w:rPr>
              <w:t>Förslag till</w:t>
            </w:r>
            <w:r w:rsidRPr="0060654E">
              <w:rPr>
                <w:sz w:val="16"/>
              </w:rPr>
              <w:br/>
              <w:t>tillägg</w:t>
            </w:r>
            <w:r w:rsidRPr="0060654E">
              <w:rPr>
                <w:sz w:val="16"/>
              </w:rPr>
              <w:t>s</w:t>
            </w:r>
            <w:r w:rsidRPr="0060654E">
              <w:rPr>
                <w:sz w:val="16"/>
              </w:rPr>
              <w:t>budget</w:t>
            </w:r>
          </w:p>
        </w:tc>
        <w:tc>
          <w:tcPr>
            <w:tcW w:w="567" w:type="dxa"/>
            <w:tcBorders>
              <w:top w:val="single" w:sz="6" w:space="0" w:color="000000"/>
              <w:left w:val="single" w:sz="4" w:space="0" w:color="auto"/>
              <w:bottom w:val="single" w:sz="12" w:space="0" w:color="000000"/>
              <w:right w:val="nil"/>
            </w:tcBorders>
          </w:tcPr>
          <w:p w:rsidR="00A23E15" w:rsidRPr="0060654E" w:rsidRDefault="00A23E15">
            <w:pPr>
              <w:rPr>
                <w:sz w:val="16"/>
              </w:rPr>
            </w:pPr>
            <w:r w:rsidRPr="0060654E">
              <w:rPr>
                <w:sz w:val="16"/>
              </w:rPr>
              <w:t>T</w:t>
            </w:r>
            <w:r w:rsidRPr="0060654E">
              <w:rPr>
                <w:sz w:val="16"/>
              </w:rPr>
              <w:t>o</w:t>
            </w:r>
            <w:r w:rsidRPr="0060654E">
              <w:rPr>
                <w:sz w:val="16"/>
              </w:rPr>
              <w:t>talt</w:t>
            </w:r>
            <w:r w:rsidRPr="0060654E">
              <w:rPr>
                <w:sz w:val="16"/>
              </w:rPr>
              <w:br/>
              <w:t>anv</w:t>
            </w:r>
            <w:r w:rsidRPr="0060654E">
              <w:rPr>
                <w:sz w:val="16"/>
              </w:rPr>
              <w:t>i</w:t>
            </w:r>
            <w:r w:rsidRPr="0060654E">
              <w:rPr>
                <w:sz w:val="16"/>
              </w:rPr>
              <w:t>sat</w:t>
            </w:r>
          </w:p>
        </w:tc>
        <w:tc>
          <w:tcPr>
            <w:tcW w:w="567" w:type="dxa"/>
            <w:tcBorders>
              <w:top w:val="single" w:sz="6" w:space="0" w:color="000000"/>
              <w:left w:val="single" w:sz="4" w:space="0" w:color="auto"/>
              <w:bottom w:val="single" w:sz="12" w:space="0" w:color="000000"/>
              <w:right w:val="nil"/>
            </w:tcBorders>
          </w:tcPr>
          <w:p w:rsidR="00A23E15" w:rsidRPr="0060654E" w:rsidRDefault="00A23E15">
            <w:pPr>
              <w:rPr>
                <w:sz w:val="16"/>
              </w:rPr>
            </w:pPr>
            <w:r w:rsidRPr="0060654E">
              <w:rPr>
                <w:sz w:val="16"/>
              </w:rPr>
              <w:t>Pr</w:t>
            </w:r>
            <w:r w:rsidRPr="0060654E">
              <w:rPr>
                <w:sz w:val="16"/>
              </w:rPr>
              <w:t>o</w:t>
            </w:r>
            <w:r w:rsidRPr="0060654E">
              <w:rPr>
                <w:sz w:val="16"/>
              </w:rPr>
              <w:t>gnos</w:t>
            </w:r>
          </w:p>
        </w:tc>
        <w:tc>
          <w:tcPr>
            <w:tcW w:w="850" w:type="dxa"/>
            <w:tcBorders>
              <w:top w:val="single" w:sz="6" w:space="0" w:color="000000"/>
              <w:left w:val="single" w:sz="4" w:space="0" w:color="auto"/>
              <w:bottom w:val="single" w:sz="12" w:space="0" w:color="000000"/>
            </w:tcBorders>
          </w:tcPr>
          <w:p w:rsidR="00A23E15" w:rsidRPr="0060654E" w:rsidRDefault="00A23E15">
            <w:pPr>
              <w:rPr>
                <w:sz w:val="16"/>
              </w:rPr>
            </w:pPr>
            <w:r w:rsidRPr="0060654E">
              <w:rPr>
                <w:sz w:val="16"/>
              </w:rPr>
              <w:t>Diff</w:t>
            </w:r>
            <w:r w:rsidRPr="0060654E">
              <w:rPr>
                <w:sz w:val="16"/>
              </w:rPr>
              <w:t>e</w:t>
            </w:r>
            <w:r w:rsidRPr="0060654E">
              <w:rPr>
                <w:sz w:val="16"/>
              </w:rPr>
              <w:t>rens</w:t>
            </w:r>
            <w:r w:rsidRPr="0060654E">
              <w:rPr>
                <w:sz w:val="16"/>
              </w:rPr>
              <w:br/>
              <w:t>prognos statsbu</w:t>
            </w:r>
            <w:r w:rsidRPr="0060654E">
              <w:rPr>
                <w:sz w:val="16"/>
              </w:rPr>
              <w:t>d</w:t>
            </w:r>
            <w:r w:rsidRPr="0060654E">
              <w:rPr>
                <w:sz w:val="16"/>
              </w:rPr>
              <w:t>get</w:t>
            </w:r>
          </w:p>
        </w:tc>
      </w:tr>
      <w:tr w:rsidR="00000000" w:rsidRPr="0060654E">
        <w:tblPrEx>
          <w:tblCellMar>
            <w:top w:w="0" w:type="dxa"/>
            <w:bottom w:w="0" w:type="dxa"/>
          </w:tblCellMar>
        </w:tblPrEx>
        <w:tc>
          <w:tcPr>
            <w:tcW w:w="731" w:type="dxa"/>
            <w:tcBorders>
              <w:top w:val="nil"/>
              <w:bottom w:val="single" w:sz="6" w:space="0" w:color="000000"/>
              <w:right w:val="nil"/>
            </w:tcBorders>
          </w:tcPr>
          <w:p w:rsidR="00A23E15" w:rsidRPr="0060654E" w:rsidRDefault="00A23E15">
            <w:pPr>
              <w:spacing w:after="120"/>
              <w:rPr>
                <w:sz w:val="16"/>
              </w:rPr>
            </w:pPr>
            <w:r w:rsidRPr="0060654E">
              <w:rPr>
                <w:sz w:val="16"/>
              </w:rPr>
              <w:t>UO 5</w:t>
            </w:r>
          </w:p>
        </w:tc>
        <w:tc>
          <w:tcPr>
            <w:tcW w:w="1701" w:type="dxa"/>
            <w:tcBorders>
              <w:top w:val="nil"/>
              <w:left w:val="single" w:sz="4" w:space="0" w:color="auto"/>
              <w:bottom w:val="single" w:sz="6" w:space="0" w:color="000000"/>
              <w:right w:val="nil"/>
            </w:tcBorders>
          </w:tcPr>
          <w:p w:rsidR="00A23E15" w:rsidRPr="0060654E" w:rsidRDefault="00A23E15">
            <w:pPr>
              <w:spacing w:after="120"/>
              <w:rPr>
                <w:sz w:val="16"/>
              </w:rPr>
            </w:pPr>
            <w:r w:rsidRPr="0060654E">
              <w:rPr>
                <w:sz w:val="16"/>
              </w:rPr>
              <w:t>Utrikesförvaltning och internationell samve</w:t>
            </w:r>
            <w:r w:rsidRPr="0060654E">
              <w:rPr>
                <w:sz w:val="16"/>
              </w:rPr>
              <w:t>r</w:t>
            </w:r>
            <w:r w:rsidRPr="0060654E">
              <w:rPr>
                <w:sz w:val="16"/>
              </w:rPr>
              <w:t>kan</w:t>
            </w:r>
          </w:p>
        </w:tc>
        <w:tc>
          <w:tcPr>
            <w:tcW w:w="851" w:type="dxa"/>
            <w:tcBorders>
              <w:top w:val="nil"/>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3,0</w:t>
            </w:r>
          </w:p>
        </w:tc>
        <w:tc>
          <w:tcPr>
            <w:tcW w:w="992" w:type="dxa"/>
            <w:tcBorders>
              <w:top w:val="nil"/>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-0,2</w:t>
            </w:r>
          </w:p>
        </w:tc>
        <w:tc>
          <w:tcPr>
            <w:tcW w:w="567" w:type="dxa"/>
            <w:tcBorders>
              <w:top w:val="nil"/>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2,8</w:t>
            </w:r>
          </w:p>
        </w:tc>
        <w:tc>
          <w:tcPr>
            <w:tcW w:w="567" w:type="dxa"/>
            <w:tcBorders>
              <w:top w:val="nil"/>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3,1</w:t>
            </w:r>
          </w:p>
        </w:tc>
        <w:tc>
          <w:tcPr>
            <w:tcW w:w="850" w:type="dxa"/>
            <w:tcBorders>
              <w:top w:val="nil"/>
              <w:left w:val="single" w:sz="4" w:space="0" w:color="auto"/>
              <w:bottom w:val="single" w:sz="6" w:space="0" w:color="000000"/>
            </w:tcBorders>
          </w:tcPr>
          <w:p w:rsidR="00A23E15" w:rsidRPr="0060654E" w:rsidRDefault="00A23E15">
            <w:pPr>
              <w:spacing w:after="120"/>
              <w:jc w:val="right"/>
              <w:rPr>
                <w:sz w:val="16"/>
              </w:rPr>
            </w:pPr>
            <w:r w:rsidRPr="0060654E">
              <w:rPr>
                <w:sz w:val="16"/>
              </w:rPr>
              <w:t>0,1</w:t>
            </w:r>
          </w:p>
        </w:tc>
      </w:tr>
      <w:tr w:rsidR="00000000" w:rsidRPr="0060654E">
        <w:tblPrEx>
          <w:tblCellMar>
            <w:top w:w="0" w:type="dxa"/>
            <w:bottom w:w="0" w:type="dxa"/>
          </w:tblCellMar>
        </w:tblPrEx>
        <w:tc>
          <w:tcPr>
            <w:tcW w:w="731" w:type="dxa"/>
            <w:tcBorders>
              <w:top w:val="single" w:sz="6" w:space="0" w:color="000000"/>
              <w:right w:val="nil"/>
            </w:tcBorders>
          </w:tcPr>
          <w:p w:rsidR="00A23E15" w:rsidRPr="0060654E" w:rsidRDefault="00A23E15">
            <w:pPr>
              <w:spacing w:after="120"/>
              <w:rPr>
                <w:sz w:val="16"/>
              </w:rPr>
            </w:pPr>
            <w:r w:rsidRPr="0060654E">
              <w:rPr>
                <w:sz w:val="16"/>
              </w:rPr>
              <w:t>UO 7</w:t>
            </w:r>
          </w:p>
        </w:tc>
        <w:tc>
          <w:tcPr>
            <w:tcW w:w="1701" w:type="dxa"/>
            <w:tcBorders>
              <w:top w:val="single" w:sz="6" w:space="0" w:color="000000"/>
              <w:left w:val="single" w:sz="4" w:space="0" w:color="auto"/>
              <w:bottom w:val="single" w:sz="6" w:space="0" w:color="000000"/>
              <w:right w:val="nil"/>
            </w:tcBorders>
          </w:tcPr>
          <w:p w:rsidR="00A23E15" w:rsidRPr="0060654E" w:rsidRDefault="00A23E15">
            <w:pPr>
              <w:spacing w:after="120"/>
              <w:rPr>
                <w:sz w:val="16"/>
              </w:rPr>
            </w:pPr>
            <w:r w:rsidRPr="0060654E">
              <w:rPr>
                <w:sz w:val="16"/>
              </w:rPr>
              <w:t>Internationellt bistånd</w:t>
            </w:r>
          </w:p>
        </w:tc>
        <w:tc>
          <w:tcPr>
            <w:tcW w:w="851" w:type="dxa"/>
            <w:tcBorders>
              <w:top w:val="single" w:sz="6" w:space="0" w:color="000000"/>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13,2</w:t>
            </w:r>
          </w:p>
        </w:tc>
        <w:tc>
          <w:tcPr>
            <w:tcW w:w="992" w:type="dxa"/>
            <w:tcBorders>
              <w:top w:val="single" w:sz="6" w:space="0" w:color="000000"/>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0,0</w:t>
            </w:r>
          </w:p>
        </w:tc>
        <w:tc>
          <w:tcPr>
            <w:tcW w:w="567" w:type="dxa"/>
            <w:tcBorders>
              <w:top w:val="single" w:sz="6" w:space="0" w:color="000000"/>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13,2</w:t>
            </w:r>
          </w:p>
        </w:tc>
        <w:tc>
          <w:tcPr>
            <w:tcW w:w="567" w:type="dxa"/>
            <w:tcBorders>
              <w:top w:val="single" w:sz="6" w:space="0" w:color="000000"/>
              <w:left w:val="single" w:sz="4" w:space="0" w:color="auto"/>
              <w:bottom w:val="single" w:sz="6" w:space="0" w:color="000000"/>
              <w:right w:val="nil"/>
            </w:tcBorders>
          </w:tcPr>
          <w:p w:rsidR="00A23E15" w:rsidRPr="0060654E" w:rsidRDefault="00A23E15">
            <w:pPr>
              <w:spacing w:after="120"/>
              <w:jc w:val="right"/>
              <w:rPr>
                <w:sz w:val="16"/>
              </w:rPr>
            </w:pPr>
            <w:r w:rsidRPr="0060654E">
              <w:rPr>
                <w:sz w:val="16"/>
              </w:rPr>
              <w:t>15,2</w:t>
            </w:r>
          </w:p>
        </w:tc>
        <w:tc>
          <w:tcPr>
            <w:tcW w:w="850" w:type="dxa"/>
            <w:tcBorders>
              <w:top w:val="single" w:sz="6" w:space="0" w:color="000000"/>
              <w:left w:val="single" w:sz="4" w:space="0" w:color="auto"/>
              <w:bottom w:val="single" w:sz="6" w:space="0" w:color="000000"/>
            </w:tcBorders>
          </w:tcPr>
          <w:p w:rsidR="00A23E15" w:rsidRPr="0060654E" w:rsidRDefault="00A23E15">
            <w:pPr>
              <w:spacing w:after="120"/>
              <w:jc w:val="right"/>
              <w:rPr>
                <w:sz w:val="16"/>
              </w:rPr>
            </w:pPr>
            <w:r w:rsidRPr="0060654E">
              <w:rPr>
                <w:sz w:val="16"/>
              </w:rPr>
              <w:t>1,9</w:t>
            </w:r>
          </w:p>
        </w:tc>
      </w:tr>
    </w:tbl>
    <w:p w:rsidR="00A23E15" w:rsidRPr="0060654E" w:rsidRDefault="00A23E15">
      <w:pPr>
        <w:pStyle w:val="Normaltindrag"/>
      </w:pPr>
    </w:p>
    <w:p w:rsidR="00A23E15" w:rsidRPr="0060654E" w:rsidRDefault="00A23E15">
      <w:pPr>
        <w:pStyle w:val="Rubrik4"/>
        <w:spacing w:before="123"/>
      </w:pPr>
      <w:r w:rsidRPr="0060654E">
        <w:t>Utgiftsområde 7 Internationellt bistånd</w:t>
      </w:r>
    </w:p>
    <w:p w:rsidR="00A23E15" w:rsidRPr="0060654E" w:rsidRDefault="00A23E15">
      <w:r w:rsidRPr="0060654E">
        <w:t>Utgiftsprognosen uppgår till 15,2 miljarder kronor och är därmed 1,9 milja</w:t>
      </w:r>
      <w:r w:rsidRPr="0060654E">
        <w:t>r</w:t>
      </w:r>
      <w:r w:rsidRPr="0060654E">
        <w:t xml:space="preserve">der kronor högre än vad som anvisades i statsbudgeten. Avvikelsen härrör främst från anslaget </w:t>
      </w:r>
      <w:r w:rsidRPr="0060654E">
        <w:rPr>
          <w:i/>
        </w:rPr>
        <w:t>Biståndsverksamhet.</w:t>
      </w:r>
      <w:r w:rsidRPr="0060654E">
        <w:t xml:space="preserve"> I den nu aktuella prognosen berä</w:t>
      </w:r>
      <w:r w:rsidRPr="0060654E">
        <w:t>k</w:t>
      </w:r>
      <w:r w:rsidRPr="0060654E">
        <w:t>nas det att 1,7 miljarder kronor av reservationerna kommer att användas under 2000. Delar av utgiftsområdet omfattas även under 2000 av en utgift</w:t>
      </w:r>
      <w:r w:rsidRPr="0060654E">
        <w:t>s</w:t>
      </w:r>
      <w:r w:rsidRPr="0060654E">
        <w:t>begränsning.</w:t>
      </w:r>
    </w:p>
    <w:p w:rsidR="00A23E15" w:rsidRPr="0060654E" w:rsidRDefault="00A23E15">
      <w:pPr>
        <w:pStyle w:val="Rubrik3"/>
      </w:pPr>
      <w:bookmarkStart w:id="35" w:name="_Toc479699613"/>
      <w:bookmarkStart w:id="36" w:name="_Toc479730271"/>
      <w:bookmarkStart w:id="37" w:name="_Toc479738472"/>
      <w:bookmarkStart w:id="38" w:name="_Toc479739712"/>
      <w:r w:rsidRPr="0060654E">
        <w:t>1.5 Förslag till tilläggsbudget</w:t>
      </w:r>
      <w:bookmarkEnd w:id="35"/>
      <w:bookmarkEnd w:id="36"/>
      <w:bookmarkEnd w:id="37"/>
      <w:bookmarkEnd w:id="38"/>
      <w:r w:rsidRPr="0060654E">
        <w:t xml:space="preserve"> </w:t>
      </w:r>
      <w:r w:rsidRPr="0060654E">
        <w:rPr>
          <w:b w:val="0"/>
        </w:rPr>
        <w:t>(prop. s. 108 ff.)</w:t>
      </w:r>
    </w:p>
    <w:p w:rsidR="00A23E15" w:rsidRPr="0060654E" w:rsidRDefault="00A23E15">
      <w:r w:rsidRPr="0060654E">
        <w:t>Enligt 9 kap. 5 § regeringsformen kan riksdagen för löpande budgetår på tilläggsbudget göra en ny beräkning av statsinkomster samt ändra och anvisa nya anslag. De förändringar av gällande statsbudget som nu kan överblickas och andra frågor som regeringen anser bör tas upp, redovisas i det följande.</w:t>
      </w:r>
    </w:p>
    <w:p w:rsidR="00A23E15" w:rsidRPr="0060654E" w:rsidRDefault="00A23E15">
      <w:pPr>
        <w:pStyle w:val="Rubrik4"/>
      </w:pPr>
      <w:bookmarkStart w:id="39" w:name="_Toc479484635"/>
      <w:bookmarkStart w:id="40" w:name="_Toc479699614"/>
      <w:bookmarkStart w:id="41" w:name="_Toc479730272"/>
      <w:bookmarkStart w:id="42" w:name="_Toc479738473"/>
      <w:bookmarkStart w:id="43" w:name="_Toc479739713"/>
      <w:r w:rsidRPr="0060654E">
        <w:t>Teknisk justering av vissa anslag</w:t>
      </w:r>
      <w:bookmarkEnd w:id="39"/>
      <w:bookmarkEnd w:id="40"/>
      <w:bookmarkEnd w:id="41"/>
      <w:bookmarkEnd w:id="42"/>
      <w:bookmarkEnd w:id="43"/>
    </w:p>
    <w:p w:rsidR="00A23E15" w:rsidRPr="0060654E" w:rsidRDefault="00A23E15">
      <w:r w:rsidRPr="0060654E">
        <w:t>Budgetåren 1998, 1999 och 2000 har tekniska justeringar genomförts av anslagen för förvaltningskostnader. Justeringarna har varit föranledda av förändrad finansiering av avtalsförsäkringarna på det statliga området. Just</w:t>
      </w:r>
      <w:r w:rsidRPr="0060654E">
        <w:t>e</w:t>
      </w:r>
      <w:r w:rsidRPr="0060654E">
        <w:t>ringarna har ingen effekt på statsbudgetens saldo eftersom inkomsterna på inkomsttitel 5211 Statliga pensionsavgifter ökar i motsvarande grad. I bu</w:t>
      </w:r>
      <w:r w:rsidRPr="0060654E">
        <w:t>d</w:t>
      </w:r>
      <w:r w:rsidRPr="0060654E">
        <w:t xml:space="preserve">getpropositionen för 2000 höjdes de fastställda utgiftstaken med anledning av den tekniska justeringen. I underlaget för justeringarna inför budgetåret 2000 saknades vissa uppgifter, vilket medförde att alla justeringar inte kunde göras på anslagsnivå. I förslaget till tilläggsbudget ingår de kompletterande anslagsjusteringarna för innevarande budgetår. Totalt </w:t>
      </w:r>
      <w:r w:rsidRPr="0060654E">
        <w:t>innebär dessa just</w:t>
      </w:r>
      <w:r w:rsidRPr="0060654E">
        <w:t>e</w:t>
      </w:r>
      <w:r w:rsidRPr="0060654E">
        <w:t>ringar ökade utgifter med drygt 80 miljoner kronor. Förslagen redovisas i de delar de berör utrikesutskottets beredning under respektive anslag nedan.</w:t>
      </w:r>
    </w:p>
    <w:p w:rsidR="00A23E15" w:rsidRPr="0060654E" w:rsidRDefault="00A23E15">
      <w:pPr>
        <w:pStyle w:val="Rubrik4"/>
      </w:pPr>
      <w:bookmarkStart w:id="44" w:name="_Toc479484640"/>
      <w:bookmarkStart w:id="45" w:name="_Toc479699619"/>
      <w:bookmarkStart w:id="46" w:name="_Toc479730277"/>
      <w:bookmarkStart w:id="47" w:name="_Toc479738478"/>
      <w:bookmarkStart w:id="48" w:name="_Toc479739718"/>
      <w:r w:rsidRPr="0060654E">
        <w:t>Utgiftsområde 5 Utrikesförvaltning och internationell samverkan</w:t>
      </w:r>
      <w:bookmarkEnd w:id="44"/>
      <w:bookmarkEnd w:id="45"/>
      <w:bookmarkEnd w:id="46"/>
      <w:bookmarkEnd w:id="47"/>
      <w:bookmarkEnd w:id="48"/>
    </w:p>
    <w:p w:rsidR="00A23E15" w:rsidRPr="0060654E" w:rsidRDefault="00A23E15">
      <w:pPr>
        <w:pStyle w:val="Rubrik5"/>
        <w:spacing w:before="123"/>
      </w:pPr>
      <w:r w:rsidRPr="0060654E">
        <w:t>A1 Utrikesförvaltningen</w:t>
      </w:r>
    </w:p>
    <w:p w:rsidR="00A23E15" w:rsidRPr="0060654E" w:rsidRDefault="00A23E15">
      <w:r w:rsidRPr="0060654E">
        <w:t>I statsbudgeten för innevarande år finns för detta ändamål uppfört ett rama</w:t>
      </w:r>
      <w:r w:rsidRPr="0060654E">
        <w:t>n</w:t>
      </w:r>
      <w:r w:rsidRPr="0060654E">
        <w:t>slag på 1 891 058 000 kr. Regeringen föreslår i propositionen att det minskas med 175 630 000 kr.</w:t>
      </w:r>
    </w:p>
    <w:p w:rsidR="00A23E15" w:rsidRPr="0060654E" w:rsidRDefault="00A23E15">
      <w:pPr>
        <w:pStyle w:val="Normaltindrag"/>
      </w:pPr>
      <w:r w:rsidRPr="0060654E">
        <w:t xml:space="preserve">Regeringen anför som motiv följande: anslaget A1 </w:t>
      </w:r>
      <w:r w:rsidRPr="0060654E">
        <w:rPr>
          <w:i/>
        </w:rPr>
        <w:t>Utrikesförvaltningen</w:t>
      </w:r>
      <w:r w:rsidRPr="0060654E">
        <w:t xml:space="preserve"> minskas med 148 000 000 kr för att finansiera motsvarande ökning av ansl</w:t>
      </w:r>
      <w:r w:rsidRPr="0060654E">
        <w:t>a</w:t>
      </w:r>
      <w:r w:rsidRPr="0060654E">
        <w:t xml:space="preserve">get C1 </w:t>
      </w:r>
      <w:r w:rsidRPr="0060654E">
        <w:rPr>
          <w:i/>
        </w:rPr>
        <w:t>Regeringskansliet m.m.</w:t>
      </w:r>
      <w:r w:rsidRPr="0060654E">
        <w:t xml:space="preserve"> under utgiftsområde 1 Rikets styrelse med anledning av sammanslagningen av Regeringskansliets två IT-organisationer.</w:t>
      </w:r>
    </w:p>
    <w:p w:rsidR="00A23E15" w:rsidRPr="0060654E" w:rsidRDefault="00A23E15">
      <w:pPr>
        <w:pStyle w:val="Normaltindrag"/>
      </w:pPr>
      <w:r w:rsidRPr="0060654E">
        <w:t>För att genomföra den ovan beskrivna tekniska justeringen minskas ansl</w:t>
      </w:r>
      <w:r w:rsidRPr="0060654E">
        <w:t>a</w:t>
      </w:r>
      <w:r w:rsidRPr="0060654E">
        <w:t>get med ytterligare 27 630 000 kr.</w:t>
      </w:r>
    </w:p>
    <w:p w:rsidR="00A23E15" w:rsidRPr="0060654E" w:rsidRDefault="00A23E15">
      <w:pPr>
        <w:pStyle w:val="Rubrik5"/>
      </w:pPr>
      <w:r w:rsidRPr="0060654E">
        <w:t>B4 Fredsfrämjande verksamhet</w:t>
      </w:r>
    </w:p>
    <w:p w:rsidR="00A23E15" w:rsidRPr="0060654E" w:rsidRDefault="00A23E15">
      <w:r w:rsidRPr="0060654E">
        <w:t>I statsbudgeten för innevarande år finns för detta ändamål uppfört ett rama</w:t>
      </w:r>
      <w:r w:rsidRPr="0060654E">
        <w:t>n</w:t>
      </w:r>
      <w:r w:rsidRPr="0060654E">
        <w:t>slag på 147 416 000 kr. Något bemyndigande för regeringen att ingå ekon</w:t>
      </w:r>
      <w:r w:rsidRPr="0060654E">
        <w:t>o</w:t>
      </w:r>
      <w:r w:rsidRPr="0060654E">
        <w:t>miska förpliktelser har inte begärts tidigare.</w:t>
      </w:r>
    </w:p>
    <w:p w:rsidR="00A23E15" w:rsidRPr="0060654E" w:rsidRDefault="00A23E15">
      <w:pPr>
        <w:pStyle w:val="Normaltindrag"/>
      </w:pPr>
      <w:r w:rsidRPr="0060654E">
        <w:t xml:space="preserve">Regeringen föreslås i propositionen få ett bemyndigande att för ändamål som omfattas av anslaget B4 </w:t>
      </w:r>
      <w:r w:rsidRPr="0060654E">
        <w:rPr>
          <w:i/>
        </w:rPr>
        <w:t>Fredsfrämjande verksamhet</w:t>
      </w:r>
      <w:r w:rsidRPr="0060654E">
        <w:t xml:space="preserve"> under år 2000 ingå ekonomiska förpliktelser som inklusive tidigare gjorda åtaganden innebär utgifter på högst 150 000 000 kr efter år 2000.</w:t>
      </w:r>
    </w:p>
    <w:p w:rsidR="00A23E15" w:rsidRPr="0060654E" w:rsidRDefault="00A23E15">
      <w:pPr>
        <w:pStyle w:val="Normaltindrag"/>
      </w:pPr>
      <w:r w:rsidRPr="0060654E">
        <w:t>Regeringen anför som motiv följande: Regeringen kan utan att inhämta riksdagens godkännande besluta att med svensk personal delta i internati</w:t>
      </w:r>
      <w:r w:rsidRPr="0060654E">
        <w:t>o</w:t>
      </w:r>
      <w:r w:rsidRPr="0060654E">
        <w:t>nella fredsfrämjande insatser i första hand inom ramen för FN och Organis</w:t>
      </w:r>
      <w:r w:rsidRPr="0060654E">
        <w:t>a</w:t>
      </w:r>
      <w:r w:rsidRPr="0060654E">
        <w:t>tionen för säkerhet och samarbete i Europa (OSSE). Sådana beslut kan inn</w:t>
      </w:r>
      <w:r w:rsidRPr="0060654E">
        <w:t>e</w:t>
      </w:r>
      <w:r w:rsidRPr="0060654E">
        <w:t>bära ekonomiska förpliktelser för staten under kommande budgetår. Reg</w:t>
      </w:r>
      <w:r w:rsidRPr="0060654E">
        <w:t>e</w:t>
      </w:r>
      <w:r w:rsidRPr="0060654E">
        <w:t xml:space="preserve">ringen föreslår därför att riksdagen bemyndigar regeringen att för ändamål som omfattas av anslaget B4 </w:t>
      </w:r>
      <w:r w:rsidRPr="0060654E">
        <w:rPr>
          <w:i/>
        </w:rPr>
        <w:t>Fredsfrämjande verksamhet</w:t>
      </w:r>
      <w:r w:rsidRPr="0060654E">
        <w:t xml:space="preserve"> under år 2000 ingå ekonomiska förpliktelser som inklusive tidigare gjorda åtaganden innebär utgifter på högst 150 000 000 kr efter år 2000.</w:t>
      </w:r>
    </w:p>
    <w:p w:rsidR="00A23E15" w:rsidRPr="0060654E" w:rsidRDefault="00A23E15">
      <w:pPr>
        <w:pStyle w:val="Rubrik2"/>
      </w:pPr>
      <w:r w:rsidRPr="0060654E">
        <w:t>3 Utskottets överväganden</w:t>
      </w:r>
    </w:p>
    <w:p w:rsidR="00A23E15" w:rsidRPr="0060654E" w:rsidRDefault="00A23E15">
      <w:pPr>
        <w:pStyle w:val="Rubrik3"/>
        <w:spacing w:before="123"/>
      </w:pPr>
      <w:r w:rsidRPr="0060654E">
        <w:t>3.1 Uppföljning</w:t>
      </w:r>
    </w:p>
    <w:p w:rsidR="00A23E15" w:rsidRPr="0060654E" w:rsidRDefault="00A23E15">
      <w:r w:rsidRPr="0060654E">
        <w:t xml:space="preserve">Enligt utrikesutskottets uppfattning är uppföljning av tidigare års resultat av central betydelse för styrningen av den statliga verksamheten. Uppföljning utgör också en grund, om än icke den enda, för budgetering och andra typer av styrning inför kommande år. </w:t>
      </w:r>
    </w:p>
    <w:p w:rsidR="00A23E15" w:rsidRPr="0060654E" w:rsidRDefault="00A23E15">
      <w:pPr>
        <w:pStyle w:val="Normaltindrag"/>
      </w:pPr>
      <w:r w:rsidRPr="0060654E">
        <w:t xml:space="preserve">Utskottet noterar att den verksamhet som finansieras över </w:t>
      </w:r>
      <w:r w:rsidRPr="0060654E">
        <w:rPr>
          <w:i/>
        </w:rPr>
        <w:t xml:space="preserve">utgiftsområde 5 </w:t>
      </w:r>
      <w:r w:rsidRPr="0060654E">
        <w:t>bedrivits inom budget. Vid sitt arbete med uppföljning och utvärdering har utskottet ägnat särskild uppmärksamhet åt verksamheten inom utrikesfö</w:t>
      </w:r>
      <w:r w:rsidRPr="0060654E">
        <w:t>r</w:t>
      </w:r>
      <w:r w:rsidRPr="0060654E">
        <w:t>valtningen under budgetåret 1999. Utskottet har härvid erhållit årsredovi</w:t>
      </w:r>
      <w:r w:rsidRPr="0060654E">
        <w:t>s</w:t>
      </w:r>
      <w:r w:rsidRPr="0060654E">
        <w:t>ningsmaterial från Utrikesdepartementet samt anordnat en intern utfrågning med departementets expeditionschef jämte medarbetare. Vissa utestående frågor har sedermera följts upp med kompletterande redovisningar från d</w:t>
      </w:r>
      <w:r w:rsidRPr="0060654E">
        <w:t>e</w:t>
      </w:r>
      <w:r w:rsidRPr="0060654E">
        <w:t>part</w:t>
      </w:r>
      <w:r w:rsidRPr="0060654E">
        <w:t>e</w:t>
      </w:r>
      <w:r w:rsidRPr="0060654E">
        <w:t xml:space="preserve">mentets sida. </w:t>
      </w:r>
    </w:p>
    <w:p w:rsidR="00A23E15" w:rsidRPr="0060654E" w:rsidRDefault="00A23E15">
      <w:pPr>
        <w:pStyle w:val="Normaltindrag"/>
      </w:pPr>
      <w:r w:rsidRPr="0060654E">
        <w:t>Utskottet kan med anledning av den före</w:t>
      </w:r>
      <w:r w:rsidRPr="0060654E">
        <w:t>tagna uppföljningen konstatera, att verksamheten, i de delar som blivit belysta, bedrivits väl i linje med rik</w:t>
      </w:r>
      <w:r w:rsidRPr="0060654E">
        <w:t>s</w:t>
      </w:r>
      <w:r w:rsidRPr="0060654E">
        <w:t>dagens intentioner. Utskottet vill också framhålla att verksamhetsgeno</w:t>
      </w:r>
      <w:r w:rsidRPr="0060654E">
        <w:t>m</w:t>
      </w:r>
      <w:r w:rsidRPr="0060654E">
        <w:t>gången i kombination med en framåtriktad diskussion, främst om den sven</w:t>
      </w:r>
      <w:r w:rsidRPr="0060654E">
        <w:t>s</w:t>
      </w:r>
      <w:r w:rsidRPr="0060654E">
        <w:t>ka utrikesrepresentationen, är att se som ett väsentligt inslag i riksdagens styrning inom det utrikespolitiska området.</w:t>
      </w:r>
    </w:p>
    <w:p w:rsidR="00A23E15" w:rsidRPr="0060654E" w:rsidRDefault="00A23E15">
      <w:pPr>
        <w:pStyle w:val="Normaltindrag"/>
      </w:pPr>
      <w:r w:rsidRPr="0060654E">
        <w:t xml:space="preserve">Utskottet noterar också den differens gentemot budget som redovisas vad avser </w:t>
      </w:r>
      <w:r w:rsidRPr="0060654E">
        <w:rPr>
          <w:i/>
        </w:rPr>
        <w:t>utgiftsområde 7</w:t>
      </w:r>
      <w:r w:rsidRPr="0060654E">
        <w:t xml:space="preserve"> samt de förklaringar härtill som ges i propositionen. </w:t>
      </w:r>
    </w:p>
    <w:p w:rsidR="00A23E15" w:rsidRPr="0060654E" w:rsidRDefault="00A23E15">
      <w:pPr>
        <w:pStyle w:val="Normaltindrag"/>
      </w:pPr>
      <w:r w:rsidRPr="0060654E">
        <w:t>Utskottet har med anledning av vad som i propositionen anförs om utgift</w:t>
      </w:r>
      <w:r w:rsidRPr="0060654E">
        <w:t>s</w:t>
      </w:r>
      <w:r w:rsidRPr="0060654E">
        <w:t>begränsande åtgärder samt mot bakgrund av vad som anfördes härom i pr</w:t>
      </w:r>
      <w:r w:rsidRPr="0060654E">
        <w:t>o</w:t>
      </w:r>
      <w:r w:rsidRPr="0060654E">
        <w:t>position 1998/99:100 (s. 142) och i utskottets yttrande 1998/99:UU1y (s. 11) gjort en uppföljning av konsekvenserna av utgiftsbegränsningarna under 1999. Utskottet har därvid, på basis av en gedigen redovisning från Utrike</w:t>
      </w:r>
      <w:r w:rsidRPr="0060654E">
        <w:t>s</w:t>
      </w:r>
      <w:r w:rsidRPr="0060654E">
        <w:t>departementet, erfarit följa</w:t>
      </w:r>
      <w:r w:rsidRPr="0060654E">
        <w:t>n</w:t>
      </w:r>
      <w:r w:rsidRPr="0060654E">
        <w:t>de.</w:t>
      </w:r>
    </w:p>
    <w:p w:rsidR="00A23E15" w:rsidRPr="0060654E" w:rsidRDefault="00A23E15">
      <w:pPr>
        <w:pStyle w:val="Normaltindrag"/>
      </w:pPr>
      <w:r w:rsidRPr="0060654E">
        <w:t>Begränsningsbeloppet sattes, enligt beslut av regeringen våren 1999, till  11 150 miljoner kronor, dvs. samma nivå som anslaget. I förhållande till den utgiftsprognos om 14 009 miljoner</w:t>
      </w:r>
      <w:r w:rsidRPr="0060654E">
        <w:t xml:space="preserve"> kronor som upprättades i början av febr</w:t>
      </w:r>
      <w:r w:rsidRPr="0060654E">
        <w:t>u</w:t>
      </w:r>
      <w:r w:rsidRPr="0060654E">
        <w:t xml:space="preserve">ari innebar således utgiftsbegränsningen en neddragning med 2 859 miljoner kronor. </w:t>
      </w:r>
    </w:p>
    <w:p w:rsidR="00A23E15" w:rsidRPr="0060654E" w:rsidRDefault="00A23E15">
      <w:pPr>
        <w:pStyle w:val="Normaltindrag"/>
      </w:pPr>
      <w:r w:rsidRPr="0060654E">
        <w:t xml:space="preserve">För </w:t>
      </w:r>
      <w:r w:rsidRPr="0060654E">
        <w:rPr>
          <w:i/>
        </w:rPr>
        <w:t>det multilaterala utvecklingssamarbetet</w:t>
      </w:r>
      <w:r w:rsidRPr="0060654E">
        <w:t xml:space="preserve"> har utgiftsbegränsningen i stort sett kunnat hanteras utan större negativa konsekvenser. På grundval av det goda anseende Sverige åtnjuter, har senareläggning av betalningar kunnat göras i samförstånd med berörda internationella organisationer. Detta sa</w:t>
      </w:r>
      <w:r w:rsidRPr="0060654E">
        <w:t>m</w:t>
      </w:r>
      <w:r w:rsidRPr="0060654E">
        <w:t>förstånd bygger dock på att sen</w:t>
      </w:r>
      <w:r w:rsidRPr="0060654E">
        <w:t>a</w:t>
      </w:r>
      <w:r w:rsidRPr="0060654E">
        <w:t>reläggningarna är en engångsföreteelse.</w:t>
      </w:r>
    </w:p>
    <w:p w:rsidR="00A23E15" w:rsidRPr="0060654E" w:rsidRDefault="00A23E15">
      <w:pPr>
        <w:pStyle w:val="Normaltindrag"/>
      </w:pPr>
      <w:r w:rsidRPr="0060654E">
        <w:t xml:space="preserve">Inom </w:t>
      </w:r>
      <w:r w:rsidRPr="0060654E">
        <w:rPr>
          <w:i/>
        </w:rPr>
        <w:t>det bilaterala utvecklingssamarbetet</w:t>
      </w:r>
      <w:r w:rsidRPr="0060654E">
        <w:t xml:space="preserve"> har de flesta samarbetsländer berörts. En rad insatser har fått inställas eller senareläggas. Insatser inom området demokrati och mänskliga rättigheter har drabbats hårt – inte för att de är mindre prioriterade utan för att de i många fall inte varit avtalsbundna och därmed kunnat senareläggas. För de enskilda organisationerna innebar begränsningen att Sida inte kunde fullfölja avtal och organisationerna dra</w:t>
      </w:r>
      <w:r w:rsidRPr="0060654E">
        <w:t>b</w:t>
      </w:r>
      <w:r w:rsidRPr="0060654E">
        <w:t>bades i vissa fall hårt. Inom forskningssamarbetet lyckades doc</w:t>
      </w:r>
      <w:r w:rsidRPr="0060654E">
        <w:t>k föresatsen att värna om de svaga institutionerna. Trots svårigheterna att hantera utgift</w:t>
      </w:r>
      <w:r w:rsidRPr="0060654E">
        <w:t>s</w:t>
      </w:r>
      <w:r w:rsidRPr="0060654E">
        <w:t xml:space="preserve">begränsningen och att trovärdigheten i flera fall naggats i kanten pekar Sida dock på en  positiv aspekt – den finansiella uppföljningen har skärpts. </w:t>
      </w:r>
    </w:p>
    <w:p w:rsidR="00A23E15" w:rsidRPr="0060654E" w:rsidRDefault="00A23E15">
      <w:pPr>
        <w:pStyle w:val="Normaltindrag"/>
      </w:pPr>
      <w:r w:rsidRPr="0060654E">
        <w:t>Mot bakgrund av vad som framkommit bedömer utskottet att utgiftsb</w:t>
      </w:r>
      <w:r w:rsidRPr="0060654E">
        <w:t>e</w:t>
      </w:r>
      <w:r w:rsidRPr="0060654E">
        <w:t>gränsningen kunnat genomföras utan alltför allvarliga men för Sveriges utvecklingssamarbete. Förutsättningen för detta har emellertid varit att det rört sig om en engångsföreteelse. En eventuell upprepning på biståndets område av åtgärder av det slag som vidtogs under budgetåret 1999 skulle riskera att vara till betydande men för Sveriges förtroende internationellt samt allvarligt urgröpa den inhemska biståndsviljan.</w:t>
      </w:r>
    </w:p>
    <w:p w:rsidR="00A23E15" w:rsidRPr="0060654E" w:rsidRDefault="00A23E15">
      <w:r w:rsidRPr="0060654E">
        <w:t>Inom ramen för utskottets arbete med uppföljning och utvärdering har under riksmötet också</w:t>
      </w:r>
      <w:r w:rsidRPr="0060654E">
        <w:t xml:space="preserve"> en granskning gjorts av skrivelse 1998/99:150 Årsredovi</w:t>
      </w:r>
      <w:r w:rsidRPr="0060654E">
        <w:t>s</w:t>
      </w:r>
      <w:r w:rsidRPr="0060654E">
        <w:t>ning för staten 1998. Eftersom de uppgifter som lämnas i skrivelsen är av betydelse bl.a. som beslutsunderlag för de ställningstaganden som utskottet har att göra med anledning av regeringens ekonomiska vårpropositioner och budgetpropositioner har, i tillämpliga fall, jämförelser gjorts med proposition 1998/99:100 (vårproposition) och 1999/2000:1 (den senaste budgetpropos</w:t>
      </w:r>
      <w:r w:rsidRPr="0060654E">
        <w:t>i</w:t>
      </w:r>
      <w:r w:rsidRPr="0060654E">
        <w:t>tionen). Utskottets granskning har omfattat statsbudgetens utfall 1998 avs</w:t>
      </w:r>
      <w:r w:rsidRPr="0060654E">
        <w:t>e</w:t>
      </w:r>
      <w:r w:rsidRPr="0060654E">
        <w:t xml:space="preserve">ende </w:t>
      </w:r>
      <w:r w:rsidRPr="0060654E">
        <w:t>utgifter på utgiftsområdena 5 och 7  samt reservationsläget inom u</w:t>
      </w:r>
      <w:r w:rsidRPr="0060654E">
        <w:t>t</w:t>
      </w:r>
      <w:r w:rsidRPr="0060654E">
        <w:t>giftsområde 7. Utskottet har också följt upp Riksrevisionsverkets iakttagelser beträffande revisionsberättelser med invändning. Utskottet vill till följd av sin grans</w:t>
      </w:r>
      <w:r w:rsidRPr="0060654E">
        <w:t>k</w:t>
      </w:r>
      <w:r w:rsidRPr="0060654E">
        <w:t>ning i detta sammanhang framföra följande.</w:t>
      </w:r>
    </w:p>
    <w:p w:rsidR="00A23E15" w:rsidRPr="0060654E" w:rsidRDefault="00A23E15">
      <w:pPr>
        <w:pStyle w:val="Normaltindrag"/>
      </w:pPr>
      <w:r w:rsidRPr="0060654E">
        <w:t xml:space="preserve">En central fråga inom utgiftsområde 7 är den s.k. </w:t>
      </w:r>
      <w:r w:rsidRPr="0060654E">
        <w:rPr>
          <w:i/>
        </w:rPr>
        <w:t>biståndsramen</w:t>
      </w:r>
      <w:r w:rsidRPr="0060654E">
        <w:t xml:space="preserve"> för inte</w:t>
      </w:r>
      <w:r w:rsidRPr="0060654E">
        <w:t>r</w:t>
      </w:r>
      <w:r w:rsidRPr="0060654E">
        <w:t>nationellt utvecklingssamarbete, vars omfattning (uttryckt i procent av pr</w:t>
      </w:r>
      <w:r w:rsidRPr="0060654E">
        <w:t>o</w:t>
      </w:r>
      <w:r w:rsidRPr="0060654E">
        <w:t>gnosticerad BNI), efter yrkande i budgetpropositionen, årligen fastställs av riksdagen. Detta faktum jämte den politiska vikt som fästs vid frågan gör att det vore önskvärt att regeringen i årsredovisning för staten redovisade utfa</w:t>
      </w:r>
      <w:r w:rsidRPr="0060654E">
        <w:t>l</w:t>
      </w:r>
      <w:r w:rsidRPr="0060654E">
        <w:t>let beträffande biståndsramen. Av intresse att erfara vore biståndsramens utfall i absoluta tal, i procent av prognosticerad BNI och i procent av verklig BNI.</w:t>
      </w:r>
    </w:p>
    <w:p w:rsidR="00A23E15" w:rsidRPr="0060654E" w:rsidRDefault="00A23E15">
      <w:pPr>
        <w:pStyle w:val="Normaltindrag"/>
      </w:pPr>
      <w:r w:rsidRPr="0060654E">
        <w:t>Under senare år har inf</w:t>
      </w:r>
      <w:r w:rsidRPr="0060654E">
        <w:t xml:space="preserve">ormationen i budgetpropositionerna om </w:t>
      </w:r>
      <w:r w:rsidRPr="0060654E">
        <w:rPr>
          <w:i/>
        </w:rPr>
        <w:t>reserv</w:t>
      </w:r>
      <w:r w:rsidRPr="0060654E">
        <w:rPr>
          <w:i/>
        </w:rPr>
        <w:t>a</w:t>
      </w:r>
      <w:r w:rsidRPr="0060654E">
        <w:rPr>
          <w:i/>
        </w:rPr>
        <w:t>tionsläget</w:t>
      </w:r>
      <w:r w:rsidRPr="0060654E">
        <w:t xml:space="preserve"> blivit allt bättre. Så redovisas exempelvis i proposition 1999/2000:1 reservationsläget i många fall ner på delpostnivå med angivande av fördelningen mellan intecknade och ointecknade reservationer. Också i skrivelse 1998/99:150 Årsredovisning för staten 1998 ingår uppgifter om reservationer (nedbrutet på anslagsnivå). Vid en jämförelse av siffermateri</w:t>
      </w:r>
      <w:r w:rsidRPr="0060654E">
        <w:t>a</w:t>
      </w:r>
      <w:r w:rsidRPr="0060654E">
        <w:t>let har utskottet noterat avvikelser mellan årsredovisningen och budgetpr</w:t>
      </w:r>
      <w:r w:rsidRPr="0060654E">
        <w:t>o</w:t>
      </w:r>
      <w:r w:rsidRPr="0060654E">
        <w:t>positionen, vilka för reser</w:t>
      </w:r>
      <w:r w:rsidRPr="0060654E">
        <w:t>vationerna på A1-anslaget inom utgiftsområde 7 uppgår till 157 miljoner kronor.</w:t>
      </w:r>
    </w:p>
    <w:p w:rsidR="00A23E15" w:rsidRPr="0060654E" w:rsidRDefault="00A23E15">
      <w:pPr>
        <w:pStyle w:val="Normaltindrag"/>
      </w:pPr>
      <w:r w:rsidRPr="0060654E">
        <w:t>Enligt vad utskottet erfarit bygger redovisningen i budgetpropositionen på de uppgifter som myndigheterna lämnar i sina respektive årsredovisningar. Årsredovisningen för staten bygger däremot på den s.k. riksredovisningen som Ekonomistyrningsverket (ESV) hanterar. I det första fallet rör det sig således om uppgifter från de lokala ekonomisystemen på myndigheterna. De lokala systemen skall löpande stämmas av mot de uppgifter mynd</w:t>
      </w:r>
      <w:r w:rsidRPr="0060654E">
        <w:t xml:space="preserve">igheterna lämnar i riksredovisningen. </w:t>
      </w:r>
    </w:p>
    <w:p w:rsidR="00A23E15" w:rsidRPr="0060654E" w:rsidRDefault="00A23E15">
      <w:pPr>
        <w:pStyle w:val="Normaltindrag"/>
        <w:rPr>
          <w:snapToGrid w:val="0"/>
          <w:lang w:eastAsia="sv-SE"/>
        </w:rPr>
      </w:pPr>
      <w:r w:rsidRPr="0060654E">
        <w:rPr>
          <w:snapToGrid w:val="0"/>
          <w:lang w:eastAsia="sv-SE"/>
        </w:rPr>
        <w:t>Enligt uppgift från ESV, som är medvetet om den av utskottet uppmär</w:t>
      </w:r>
      <w:r w:rsidRPr="0060654E">
        <w:rPr>
          <w:snapToGrid w:val="0"/>
          <w:lang w:eastAsia="sv-SE"/>
        </w:rPr>
        <w:t>k</w:t>
      </w:r>
      <w:r w:rsidRPr="0060654E">
        <w:rPr>
          <w:snapToGrid w:val="0"/>
          <w:lang w:eastAsia="sv-SE"/>
        </w:rPr>
        <w:t>sammade diskrepansen, finns motsvarande misstämning också på andra håll inom statsbudgeten. Hur dessa fel uppkommit har hittills inte kunnat klarlä</w:t>
      </w:r>
      <w:r w:rsidRPr="0060654E">
        <w:rPr>
          <w:snapToGrid w:val="0"/>
          <w:lang w:eastAsia="sv-SE"/>
        </w:rPr>
        <w:t>g</w:t>
      </w:r>
      <w:r w:rsidRPr="0060654E">
        <w:rPr>
          <w:snapToGrid w:val="0"/>
          <w:lang w:eastAsia="sv-SE"/>
        </w:rPr>
        <w:t xml:space="preserve">gas men är föremål för utredning av ESV och, i här aktuellt fall, UD. </w:t>
      </w:r>
    </w:p>
    <w:p w:rsidR="00A23E15" w:rsidRPr="0060654E" w:rsidRDefault="00A23E15">
      <w:pPr>
        <w:rPr>
          <w:snapToGrid w:val="0"/>
          <w:color w:val="000000"/>
          <w:lang w:eastAsia="sv-SE"/>
        </w:rPr>
      </w:pPr>
      <w:r w:rsidRPr="0060654E">
        <w:rPr>
          <w:snapToGrid w:val="0"/>
          <w:color w:val="000000"/>
          <w:lang w:eastAsia="sv-SE"/>
        </w:rPr>
        <w:t xml:space="preserve">Utskottet anser mot bakgrund av vad som framkommit att ingen riksdagens åtgärd för närvarande är påkallad. </w:t>
      </w:r>
    </w:p>
    <w:p w:rsidR="00A23E15" w:rsidRPr="0060654E" w:rsidRDefault="00A23E15">
      <w:pPr>
        <w:pStyle w:val="Normaltindrag"/>
        <w:rPr>
          <w:u w:val="single"/>
        </w:rPr>
      </w:pPr>
    </w:p>
    <w:p w:rsidR="00A23E15" w:rsidRPr="0060654E" w:rsidRDefault="00A23E15">
      <w:pPr>
        <w:pStyle w:val="Rubrik3"/>
        <w:spacing w:before="123"/>
      </w:pPr>
      <w:r w:rsidRPr="0060654E">
        <w:t>3.2 Förslag till tilläggsbudget avseende utgiftsområde 5 Utrikesförvaltning och internationell samverkan</w:t>
      </w:r>
    </w:p>
    <w:p w:rsidR="00A23E15" w:rsidRPr="0060654E" w:rsidRDefault="00A23E15">
      <w:r w:rsidRPr="0060654E">
        <w:t xml:space="preserve">Regeringens förslag till minskning av anslaget </w:t>
      </w:r>
      <w:r w:rsidRPr="0060654E">
        <w:rPr>
          <w:i/>
        </w:rPr>
        <w:t xml:space="preserve">A1 Utrikesförvaltningen </w:t>
      </w:r>
      <w:r w:rsidRPr="0060654E">
        <w:t>inom utgiftsområde 5 belystes, utöver vad som framgår av propositionen, vid den ovan nämnda utfrågning utskottet hade med utrikesdepartementets exped</w:t>
      </w:r>
      <w:r w:rsidRPr="0060654E">
        <w:t>i</w:t>
      </w:r>
      <w:r w:rsidRPr="0060654E">
        <w:t>tionschef. Utskottet noterar också den föreslagna minskning med drygt 27 miljoner kronor till följd av i propositionen beskriven teknisk justering.</w:t>
      </w:r>
    </w:p>
    <w:p w:rsidR="00A23E15" w:rsidRPr="0060654E" w:rsidRDefault="00A23E15">
      <w:r w:rsidRPr="0060654E">
        <w:t xml:space="preserve">Utskottet anser förslagen lämpliga och väl motiverade, varför det anser att propositionens </w:t>
      </w:r>
      <w:r w:rsidRPr="0060654E">
        <w:rPr>
          <w:i/>
        </w:rPr>
        <w:t xml:space="preserve">yrkande 39 i berörd del </w:t>
      </w:r>
      <w:r w:rsidRPr="0060654E">
        <w:t>bör tillstyrkas.</w:t>
      </w:r>
    </w:p>
    <w:p w:rsidR="00A23E15" w:rsidRPr="0060654E" w:rsidRDefault="00A23E15">
      <w:r w:rsidRPr="0060654E">
        <w:t xml:space="preserve">Anslaget </w:t>
      </w:r>
      <w:r w:rsidRPr="0060654E">
        <w:rPr>
          <w:i/>
        </w:rPr>
        <w:t xml:space="preserve">B4 Fredsfrämjande verksamhet </w:t>
      </w:r>
      <w:r w:rsidRPr="0060654E">
        <w:t>inom utgiftsområde 5 skall främst nyttjas för finansiering av insatser med svensk personal (ej väpnad trupp) i internationella fredsfrämjande insatser, såväl regionalt som globalt. Detta innebär bl.a. medverkan till att stärka FN:s och OSSE:s möjligheter att bidra till regional konfliktlösning och skydd av mänskliga rättigheter samt hum</w:t>
      </w:r>
      <w:r w:rsidRPr="0060654E">
        <w:t>a</w:t>
      </w:r>
      <w:r w:rsidRPr="0060654E">
        <w:t>nitär verksamhet. Det rör sig således här om ändamål som är av central bet</w:t>
      </w:r>
      <w:r w:rsidRPr="0060654E">
        <w:t>y</w:t>
      </w:r>
      <w:r w:rsidRPr="0060654E">
        <w:t>delse för svensk utrikespolitik och som i många fall utgör profilfråg</w:t>
      </w:r>
      <w:r w:rsidRPr="0060654E">
        <w:t>or.</w:t>
      </w:r>
    </w:p>
    <w:p w:rsidR="00A23E15" w:rsidRPr="0060654E" w:rsidRDefault="00A23E15">
      <w:r w:rsidRPr="0060654E">
        <w:t>I propositionen begärs (yrkande 17) ett bemyndigande att under innevarande år ingå ekonomiska förpliktelser som inklusive tidigare åtaganden innebär utgifter på högst 150 miljoner kronor efter år 2000.</w:t>
      </w:r>
    </w:p>
    <w:p w:rsidR="00A23E15" w:rsidRPr="0060654E" w:rsidRDefault="00A23E15">
      <w:pPr>
        <w:pStyle w:val="Normaltindrag"/>
      </w:pPr>
      <w:r w:rsidRPr="0060654E">
        <w:t>Utskottet vill inledningsvis erinra om att Sverige i internationella samma</w:t>
      </w:r>
      <w:r w:rsidRPr="0060654E">
        <w:t>n</w:t>
      </w:r>
      <w:r w:rsidRPr="0060654E">
        <w:t>hang spelar en framträdande roll i arbetet för att förebygga väpnade konfli</w:t>
      </w:r>
      <w:r w:rsidRPr="0060654E">
        <w:t>k</w:t>
      </w:r>
      <w:r w:rsidRPr="0060654E">
        <w:t>ter och att svenska förslag i många fall legat till grund för framsteg på omr</w:t>
      </w:r>
      <w:r w:rsidRPr="0060654E">
        <w:t>å</w:t>
      </w:r>
      <w:r w:rsidRPr="0060654E">
        <w:t>det. Centralt i det svenska synsättet har varit att konfliktförebyggande skall vara en integrerad del av utrikes- och säkerhetspolitiken. En vidareutveckling av detta synsätt innebär, även för svensk del, större långsiktighet och högre ambitionsnivå i förberedelser och åtgärder än vad som hittills varit fallet. Regeringen har också uttalat att Sveriges in</w:t>
      </w:r>
      <w:r w:rsidRPr="0060654E">
        <w:t>satser för att förebygga väpnade konflikter skall stärkas. Utskottet delar denna uppfattning och vill påpeka att man, med nuvarande konfliktnivå i världen, kan befara att situationer kan uppkomma då den resursnivå som för närvarande står till förfogande för tidiga insatser kan bli otillräcklig.</w:t>
      </w:r>
    </w:p>
    <w:p w:rsidR="00A23E15" w:rsidRPr="0060654E" w:rsidRDefault="00A23E15">
      <w:pPr>
        <w:pStyle w:val="Normaltindrag"/>
      </w:pPr>
      <w:r w:rsidRPr="0060654E">
        <w:t>Utskottet kan konstatera att något bemyndigande för regeringen att ingå ekonomiska förpliktelser av här aktuellt slag inte givits av riksdagen. Ver</w:t>
      </w:r>
      <w:r w:rsidRPr="0060654E">
        <w:t>k</w:t>
      </w:r>
      <w:r w:rsidRPr="0060654E">
        <w:t>samheten är till sin natur svårplanerad, då den icke sällan är knuten till ha</w:t>
      </w:r>
      <w:r w:rsidRPr="0060654E">
        <w:t>s</w:t>
      </w:r>
      <w:r w:rsidRPr="0060654E">
        <w:t>tigt uppflammande konflikter som kan ha stor geografisk spridning. I många fall visar det sig också att tänkta insatser av olika skäl inte går att genomföra eller är genomförbara först vid senare tidpunkter än vad som ursprungligen förmodats. Behovet av insatser kan variera starkt mellan olika år. Dessa förhållanden talar för att det är lämpligt att riksdagen ger regeringen ett b</w:t>
      </w:r>
      <w:r w:rsidRPr="0060654E">
        <w:t>e</w:t>
      </w:r>
      <w:r w:rsidRPr="0060654E">
        <w:t xml:space="preserve">myndigande av den art och omfattning som föreslås </w:t>
      </w:r>
      <w:r w:rsidRPr="0060654E">
        <w:t>i propositionen. Utsko</w:t>
      </w:r>
      <w:r w:rsidRPr="0060654E">
        <w:t>t</w:t>
      </w:r>
      <w:r w:rsidRPr="0060654E">
        <w:t>tet ser ett bemyndigande som ett första viktigt steg i syfte att mera långsiktigt säkra förmågan till insatser på detta för svensk utrikespolitik centrala omr</w:t>
      </w:r>
      <w:r w:rsidRPr="0060654E">
        <w:t>å</w:t>
      </w:r>
      <w:r w:rsidRPr="0060654E">
        <w:t>de.</w:t>
      </w:r>
    </w:p>
    <w:p w:rsidR="00A23E15" w:rsidRPr="0060654E" w:rsidRDefault="00A23E15">
      <w:pPr>
        <w:pStyle w:val="Normaltindrag"/>
      </w:pPr>
      <w:r w:rsidRPr="0060654E">
        <w:t>I propositionen begärs att bemyndigandet också skall innefatta tidigare gjorda åtaganden. Enligt vad utskottet erfarit är åsyftade åtaganden av pol</w:t>
      </w:r>
      <w:r w:rsidRPr="0060654E">
        <w:t>i</w:t>
      </w:r>
      <w:r w:rsidRPr="0060654E">
        <w:t>tisk natur och således ännu inte juridiskt bindande, varför det torde vara obehövligt att ge ett bemyndigade retroaktiv verkan, något som också vore betän</w:t>
      </w:r>
      <w:r w:rsidRPr="0060654E">
        <w:t>k</w:t>
      </w:r>
      <w:r w:rsidRPr="0060654E">
        <w:t>ligt från principiella utgångspunkter.</w:t>
      </w:r>
    </w:p>
    <w:p w:rsidR="00A23E15" w:rsidRPr="0060654E" w:rsidRDefault="00A23E15">
      <w:r w:rsidRPr="0060654E">
        <w:t>Enligt utskottets bedömning bör således riksdagen med anledning av prop</w:t>
      </w:r>
      <w:r w:rsidRPr="0060654E">
        <w:t>o</w:t>
      </w:r>
      <w:r w:rsidRPr="0060654E">
        <w:t xml:space="preserve">sitionens </w:t>
      </w:r>
      <w:r w:rsidRPr="0060654E">
        <w:rPr>
          <w:i/>
        </w:rPr>
        <w:t>yrkande 17</w:t>
      </w:r>
      <w:r w:rsidRPr="0060654E">
        <w:t xml:space="preserve"> bemyndiga regeringen att under år 2000, såvitt avser det under utgiftsområde 5 Utrikesförvaltning och internationell sam</w:t>
      </w:r>
      <w:r w:rsidRPr="0060654E">
        <w:softHyphen/>
        <w:t xml:space="preserve">verkan uppförda ramanslaget B4 </w:t>
      </w:r>
      <w:r w:rsidRPr="0060654E">
        <w:rPr>
          <w:i/>
        </w:rPr>
        <w:t>Freds</w:t>
      </w:r>
      <w:r w:rsidRPr="0060654E">
        <w:rPr>
          <w:i/>
        </w:rPr>
        <w:softHyphen/>
        <w:t>främjande verksamhet,</w:t>
      </w:r>
      <w:r w:rsidRPr="0060654E">
        <w:t xml:space="preserve"> ingå ekonomiska förpliktelser som innebär utgifter på högst 150 000 000 kr efter år 2000.</w:t>
      </w:r>
    </w:p>
    <w:p w:rsidR="00A23E15" w:rsidRPr="0060654E" w:rsidRDefault="00A23E15"/>
    <w:p w:rsidR="00A23E15" w:rsidRPr="0060654E" w:rsidRDefault="00A23E15">
      <w:pPr>
        <w:pStyle w:val="Stockholm"/>
        <w:spacing w:before="123"/>
      </w:pPr>
      <w:r w:rsidRPr="0060654E">
        <w:t>Stockholm den 11 maj 2000</w:t>
      </w:r>
    </w:p>
    <w:p w:rsidR="00A23E15" w:rsidRPr="0060654E" w:rsidRDefault="00A23E15">
      <w:pPr>
        <w:pStyle w:val="Vgnar"/>
      </w:pPr>
      <w:r w:rsidRPr="0060654E">
        <w:t>På utrikesutskottets vägnar</w:t>
      </w:r>
    </w:p>
    <w:p w:rsidR="00A23E15" w:rsidRPr="0060654E" w:rsidRDefault="00A23E15">
      <w:pPr>
        <w:pStyle w:val="Ordfnamn"/>
      </w:pPr>
      <w:bookmarkStart w:id="49" w:name="Ordförande"/>
      <w:bookmarkEnd w:id="49"/>
      <w:r w:rsidRPr="0060654E">
        <w:t xml:space="preserve">Viola Furubjelke </w:t>
      </w:r>
    </w:p>
    <w:p w:rsidR="00A23E15" w:rsidRPr="0060654E" w:rsidRDefault="00A23E15"/>
    <w:p w:rsidR="00A23E15" w:rsidRPr="0060654E" w:rsidRDefault="00A23E15">
      <w:pPr>
        <w:pStyle w:val="Deltagare"/>
        <w:spacing w:before="123"/>
      </w:pPr>
      <w:bookmarkStart w:id="50" w:name="Deltagare"/>
      <w:bookmarkEnd w:id="50"/>
      <w:r w:rsidRPr="0060654E">
        <w:t>I beslutet har deltagit: Viola Furubjelke (s), Göran Lennmarker (m), Sören Lekberg (s), Berndt Ekholm (s), Bertil Persson (m), Liselotte Wågö (m), Carina Hägg (s), Marianne Jönsson (s), Murad Artin (v), Jan Erik Ågren (kd), Sten Tolgfors (m), Marianne Samuelsson (mp), Marianne Andersson (c), Karl-Göran Biörsmark (fp), Birgitta Ahlqvist (s), Eva Zetterberg (v) och Rosita Runegrund (kd).</w:t>
      </w:r>
    </w:p>
    <w:p w:rsidR="00A23E15" w:rsidRPr="0060654E" w:rsidRDefault="00A23E15"/>
    <w:p w:rsidR="00A23E15" w:rsidRPr="0060654E" w:rsidRDefault="00A23E15">
      <w:pPr>
        <w:pStyle w:val="Tryckort"/>
        <w:framePr w:wrap="around"/>
      </w:pPr>
      <w:r w:rsidRPr="0060654E">
        <w:t>Elanders Gotab, Stockholm  2000</w:t>
      </w:r>
    </w:p>
    <w:p w:rsidR="00A23E15" w:rsidRPr="0060654E" w:rsidRDefault="00A23E15">
      <w:pPr>
        <w:pStyle w:val="Normaltindrag"/>
      </w:pPr>
    </w:p>
    <w:sectPr w:rsidR="00A23E15" w:rsidRPr="0060654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E15" w:rsidRPr="0060654E" w:rsidRDefault="00A23E15">
      <w:pPr>
        <w:spacing w:before="0" w:line="240" w:lineRule="auto"/>
      </w:pPr>
      <w:r w:rsidRPr="0060654E">
        <w:separator/>
      </w:r>
    </w:p>
  </w:endnote>
  <w:endnote w:type="continuationSeparator" w:id="0">
    <w:p w:rsidR="00A23E15" w:rsidRPr="0060654E" w:rsidRDefault="00A23E15">
      <w:pPr>
        <w:spacing w:before="0" w:line="240" w:lineRule="auto"/>
      </w:pPr>
      <w:r w:rsidRPr="00606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15" w:rsidRPr="0060654E" w:rsidRDefault="00A23E15">
    <w:pPr>
      <w:pStyle w:val="SidfotH"/>
      <w:framePr w:wrap="around"/>
    </w:pPr>
    <w:r w:rsidRPr="0060654E">
      <w:fldChar w:fldCharType="begin" w:fldLock="1"/>
    </w:r>
    <w:r w:rsidRPr="0060654E">
      <w:instrText xml:space="preserve"> PAGE </w:instrText>
    </w:r>
    <w:r w:rsidRPr="0060654E">
      <w:fldChar w:fldCharType="separate"/>
    </w:r>
    <w:r w:rsidRPr="0060654E">
      <w:t>1</w:t>
    </w:r>
    <w:r w:rsidRPr="0060654E">
      <w:fldChar w:fldCharType="end"/>
    </w:r>
  </w:p>
  <w:p w:rsidR="00A23E15" w:rsidRPr="0060654E" w:rsidRDefault="00A23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E15" w:rsidRPr="0060654E" w:rsidRDefault="00A23E15">
      <w:pPr>
        <w:pStyle w:val="Sidfot"/>
      </w:pPr>
    </w:p>
  </w:footnote>
  <w:footnote w:type="continuationSeparator" w:id="0">
    <w:p w:rsidR="00A23E15" w:rsidRPr="0060654E" w:rsidRDefault="00A23E15">
      <w:pPr>
        <w:spacing w:before="0" w:line="240" w:lineRule="auto"/>
      </w:pPr>
      <w:r w:rsidRPr="00606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E15" w:rsidRPr="0060654E" w:rsidRDefault="00A23E15">
    <w:pPr>
      <w:pStyle w:val="SidhuvudKant"/>
      <w:framePr w:w="1758" w:h="2744" w:hRule="exact" w:wrap="around" w:vAnchor="page" w:hAnchor="page" w:x="7372" w:y="568" w:anchorLock="0"/>
    </w:pPr>
  </w:p>
  <w:p w:rsidR="00A23E15" w:rsidRPr="0060654E" w:rsidRDefault="00A23E1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987996"/>
    <w:rsid w:val="0060654E"/>
    <w:rsid w:val="00987996"/>
    <w:rsid w:val="00A23E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FE1A2-2C4E-48BD-B7F1-9580FAA3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Brdtextnumrerad">
    <w:name w:val="Bršdtext numrerad"/>
    <w:basedOn w:val="Brdtext"/>
    <w:pPr>
      <w:spacing w:before="84" w:line="-260" w:lineRule="auto"/>
      <w:ind w:left="454" w:hanging="454"/>
    </w:pPr>
    <w:rPr>
      <w:rFonts w:ascii="OrigGarmnd BT" w:hAnsi="OrigGarmnd BT"/>
      <w:spacing w:val="-4"/>
      <w:sz w:val="22"/>
    </w:rPr>
  </w:style>
  <w:style w:type="paragraph" w:customStyle="1" w:styleId="TabellRubrik0">
    <w:name w:val="Tabell Rubrik"/>
    <w:basedOn w:val="Normal"/>
    <w:next w:val="Brdtext"/>
    <w:pPr>
      <w:keepNext/>
      <w:shd w:val="solid" w:color="auto" w:fill="auto"/>
      <w:spacing w:before="0" w:after="40" w:line="-200" w:lineRule="auto"/>
      <w:jc w:val="left"/>
    </w:pPr>
    <w:rPr>
      <w:rFonts w:ascii="TradeGothic" w:hAnsi="TradeGothic"/>
      <w:b/>
      <w:color w:val="FFFFFF"/>
      <w:spacing w:val="2"/>
      <w:sz w:val="16"/>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Huvud">
    <w:name w:val="Tabell Huvud"/>
    <w:basedOn w:val="Normal"/>
    <w:pPr>
      <w:spacing w:before="0" w:line="-160" w:lineRule="auto"/>
      <w:jc w:val="right"/>
    </w:pPr>
    <w:rPr>
      <w:rFonts w:ascii="TradeGothic CondEighteen" w:hAnsi="TradeGothic CondEighteen"/>
      <w:spacing w:val="4"/>
      <w:sz w:val="14"/>
    </w:rPr>
  </w:style>
  <w:style w:type="paragraph" w:customStyle="1" w:styleId="TabellRader">
    <w:name w:val="Tabell Rader"/>
    <w:basedOn w:val="Normal"/>
    <w:pPr>
      <w:spacing w:before="60" w:after="20" w:line="-200" w:lineRule="auto"/>
      <w:jc w:val="right"/>
    </w:pPr>
    <w:rPr>
      <w:rFonts w:ascii="TradeGothic CondEighteen" w:hAnsi="TradeGothic CondEighteen"/>
      <w:spacing w:val="4"/>
      <w:sz w:val="16"/>
    </w:rPr>
  </w:style>
  <w:style w:type="paragraph" w:styleId="Brdtext2">
    <w:name w:val="Body Text 2"/>
    <w:basedOn w:val="Normal"/>
    <w:semiHidden/>
    <w:rPr>
      <w:u w:val="singl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2752</Words>
  <Characters>17535</Characters>
  <Application>Microsoft Office Word</Application>
  <DocSecurity>4</DocSecurity>
  <Lines>438</Lines>
  <Paragraphs>161</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yttrande</vt:lpstr>
      <vt:lpstr>Till finansutskottet</vt:lpstr>
      <vt:lpstr>    1 Propositionen</vt:lpstr>
      <vt:lpstr>        1.1 Yrkandena</vt:lpstr>
      <vt:lpstr>        1.2 Uppföljning av 1999,  prognos och tilläggsbudget för 2000 (prop. s. 97 ff.)</vt:lpstr>
      <vt:lpstr>        1.3 Utgiftsbegränsande åtgärder 2000 (prop. s. 104)</vt:lpstr>
      <vt:lpstr>        1.4 Utgiftsprognoser per utgiftsområde (prop. s. 105 ff.)</vt:lpstr>
      <vt:lpstr>        1.5 Förslag till tilläggsbudget (prop. s. 108 ff.)</vt:lpstr>
      <vt:lpstr>    3 Utskottets överväganden</vt:lpstr>
      <vt:lpstr>        3.1 Uppföljning</vt:lpstr>
      <vt:lpstr>        3.2 Förslag till tilläggsbudget avseende utgiftsområde 5 Utrikesförvaltning och </vt:lpstr>
    </vt:vector>
  </TitlesOfParts>
  <Company>Riksdagen</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2000-05-24T06:11:00Z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