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0683C">
        <w:tblPrEx>
          <w:tblCellMar>
            <w:top w:w="0" w:type="dxa"/>
            <w:left w:w="0" w:type="dxa"/>
            <w:bottom w:w="0" w:type="dxa"/>
            <w:right w:w="0" w:type="dxa"/>
          </w:tblCellMar>
        </w:tblPrEx>
        <w:trPr>
          <w:gridAfter w:val="2"/>
          <w:wAfter w:w="1758" w:type="dxa"/>
          <w:cantSplit/>
          <w:trHeight w:val="1320"/>
        </w:trPr>
        <w:tc>
          <w:tcPr>
            <w:tcW w:w="5897" w:type="dxa"/>
          </w:tcPr>
          <w:p w:rsidR="0019124B" w:rsidRPr="0070683C" w:rsidRDefault="0019124B">
            <w:pPr>
              <w:pStyle w:val="HuvudRubrik"/>
            </w:pPr>
            <w:r w:rsidRPr="0070683C">
              <w:t>Regeringskansliet</w:t>
            </w:r>
          </w:p>
          <w:p w:rsidR="0019124B" w:rsidRPr="0070683C" w:rsidRDefault="0019124B">
            <w:pPr>
              <w:pStyle w:val="HuvudRubrik"/>
            </w:pPr>
            <w:r w:rsidRPr="0070683C">
              <w:t>Faktapromemoria 2003/04:FPM67</w:t>
            </w:r>
          </w:p>
        </w:tc>
      </w:tr>
      <w:tr w:rsidR="00000000" w:rsidRPr="0070683C">
        <w:tblPrEx>
          <w:tblCellMar>
            <w:top w:w="0" w:type="dxa"/>
            <w:left w:w="0" w:type="dxa"/>
            <w:bottom w:w="0" w:type="dxa"/>
            <w:right w:w="0" w:type="dxa"/>
          </w:tblCellMar>
        </w:tblPrEx>
        <w:trPr>
          <w:gridAfter w:val="2"/>
          <w:wAfter w:w="1758" w:type="dxa"/>
          <w:cantSplit/>
          <w:trHeight w:val="240"/>
        </w:trPr>
        <w:tc>
          <w:tcPr>
            <w:tcW w:w="5897" w:type="dxa"/>
          </w:tcPr>
          <w:p w:rsidR="0019124B" w:rsidRPr="0070683C" w:rsidRDefault="0019124B">
            <w:pPr>
              <w:pStyle w:val="HuvudRubrik"/>
              <w:rPr>
                <w:sz w:val="28"/>
              </w:rPr>
            </w:pPr>
            <w:r w:rsidRPr="0070683C">
              <w:t>Förslag till ändring av ränte- och royaltydirektivet</w:t>
            </w:r>
          </w:p>
        </w:tc>
      </w:tr>
      <w:tr w:rsidR="00000000" w:rsidRPr="0070683C">
        <w:tblPrEx>
          <w:tblCellMar>
            <w:top w:w="0" w:type="dxa"/>
            <w:left w:w="0" w:type="dxa"/>
            <w:bottom w:w="0" w:type="dxa"/>
            <w:right w:w="0" w:type="dxa"/>
          </w:tblCellMar>
        </w:tblPrEx>
        <w:trPr>
          <w:cantSplit/>
          <w:trHeight w:val="285"/>
        </w:trPr>
        <w:tc>
          <w:tcPr>
            <w:tcW w:w="7655" w:type="dxa"/>
            <w:gridSpan w:val="3"/>
          </w:tcPr>
          <w:p w:rsidR="0019124B" w:rsidRPr="0070683C" w:rsidRDefault="0019124B">
            <w:pPr>
              <w:pStyle w:val="Departement"/>
              <w:rPr>
                <w:sz w:val="28"/>
              </w:rPr>
            </w:pPr>
            <w:r w:rsidRPr="0070683C">
              <w:t>Finansdepartementet</w:t>
            </w:r>
          </w:p>
        </w:tc>
      </w:tr>
      <w:tr w:rsidR="00000000" w:rsidRPr="0070683C">
        <w:tblPrEx>
          <w:tblCellMar>
            <w:top w:w="0" w:type="dxa"/>
            <w:left w:w="0" w:type="dxa"/>
            <w:bottom w:w="0" w:type="dxa"/>
            <w:right w:w="0" w:type="dxa"/>
          </w:tblCellMar>
        </w:tblPrEx>
        <w:trPr>
          <w:cantSplit/>
          <w:trHeight w:val="240"/>
        </w:trPr>
        <w:tc>
          <w:tcPr>
            <w:tcW w:w="7655" w:type="dxa"/>
            <w:gridSpan w:val="3"/>
          </w:tcPr>
          <w:p w:rsidR="0019124B" w:rsidRPr="0070683C" w:rsidRDefault="0019124B">
            <w:pPr>
              <w:pStyle w:val="Dokumentdatum"/>
            </w:pPr>
            <w:r w:rsidRPr="0070683C">
              <w:t>2004-02-20</w:t>
            </w:r>
          </w:p>
        </w:tc>
      </w:tr>
      <w:tr w:rsidR="00000000" w:rsidRPr="0070683C">
        <w:tblPrEx>
          <w:tblCellMar>
            <w:top w:w="0" w:type="dxa"/>
            <w:left w:w="0" w:type="dxa"/>
            <w:bottom w:w="0" w:type="dxa"/>
            <w:right w:w="0" w:type="dxa"/>
          </w:tblCellMar>
        </w:tblPrEx>
        <w:trPr>
          <w:cantSplit/>
          <w:trHeight w:val="726"/>
        </w:trPr>
        <w:tc>
          <w:tcPr>
            <w:tcW w:w="7655" w:type="dxa"/>
            <w:gridSpan w:val="3"/>
            <w:vAlign w:val="bottom"/>
          </w:tcPr>
          <w:p w:rsidR="0019124B" w:rsidRPr="0070683C" w:rsidRDefault="0019124B">
            <w:pPr>
              <w:pStyle w:val="Dokumentbeteckning"/>
            </w:pPr>
            <w:r w:rsidRPr="0070683C">
              <w:t>Dokumentbeteckning</w:t>
            </w:r>
          </w:p>
        </w:tc>
      </w:tr>
      <w:tr w:rsidR="00000000" w:rsidRPr="0070683C">
        <w:tblPrEx>
          <w:tblCellMar>
            <w:top w:w="0" w:type="dxa"/>
            <w:left w:w="0" w:type="dxa"/>
            <w:bottom w:w="0" w:type="dxa"/>
            <w:right w:w="0" w:type="dxa"/>
          </w:tblCellMar>
        </w:tblPrEx>
        <w:trPr>
          <w:gridAfter w:val="1"/>
          <w:wAfter w:w="1560" w:type="dxa"/>
          <w:trHeight w:val="120"/>
        </w:trPr>
        <w:tc>
          <w:tcPr>
            <w:tcW w:w="6095" w:type="dxa"/>
            <w:gridSpan w:val="2"/>
          </w:tcPr>
          <w:p w:rsidR="0019124B" w:rsidRPr="0070683C" w:rsidRDefault="0019124B">
            <w:bookmarkStart w:id="0" w:name="KomNr"/>
            <w:bookmarkEnd w:id="0"/>
            <w:r w:rsidRPr="0070683C">
              <w:t>KOM (2003) 841 slutlig</w:t>
            </w:r>
          </w:p>
        </w:tc>
      </w:tr>
      <w:tr w:rsidR="00000000" w:rsidRPr="0070683C">
        <w:tblPrEx>
          <w:tblCellMar>
            <w:top w:w="0" w:type="dxa"/>
            <w:left w:w="0" w:type="dxa"/>
            <w:bottom w:w="0" w:type="dxa"/>
            <w:right w:w="0" w:type="dxa"/>
          </w:tblCellMar>
        </w:tblPrEx>
        <w:trPr>
          <w:gridAfter w:val="1"/>
          <w:wAfter w:w="1560" w:type="dxa"/>
          <w:trHeight w:val="120"/>
        </w:trPr>
        <w:tc>
          <w:tcPr>
            <w:tcW w:w="6095" w:type="dxa"/>
            <w:gridSpan w:val="2"/>
          </w:tcPr>
          <w:p w:rsidR="0019124B" w:rsidRPr="0070683C" w:rsidRDefault="0019124B">
            <w:pPr>
              <w:pStyle w:val="Dokumentbeteckning-titel"/>
            </w:pPr>
            <w:r w:rsidRPr="0070683C">
              <w:t>Förslag till rådets direktiv om ändring av direktiv 2003/49/EG om ett gemensamt system för beskattning av räntor och royalties som betalas mellan närstående bolag i olika medlemsstater</w:t>
            </w:r>
          </w:p>
        </w:tc>
      </w:tr>
    </w:tbl>
    <w:p w:rsidR="0019124B" w:rsidRPr="0070683C" w:rsidRDefault="0019124B">
      <w:pPr>
        <w:pStyle w:val="Rubrik1"/>
        <w:numPr>
          <w:ilvl w:val="0"/>
          <w:numId w:val="0"/>
        </w:numPr>
      </w:pPr>
      <w:r w:rsidRPr="0070683C">
        <w:t>Sammanfattning</w:t>
      </w:r>
    </w:p>
    <w:p w:rsidR="0019124B" w:rsidRPr="0070683C" w:rsidRDefault="0019124B">
      <w:r w:rsidRPr="0070683C">
        <w:t>Kommissionen har den 30 december 2003 lagt fram ett förslag om ändringar i ränte- och royaltydirektivet. Ändringarna syftar dels till att säkerställa att direktivets förmåner endast omfattar ränte- och royaltybetalningar till bolag som faktiskt beskattas för dessa betalningar i den mottagande staten, dels till att göra direktivet tillämpligt på flera typer av företagsformer.</w:t>
      </w:r>
    </w:p>
    <w:p w:rsidR="0019124B" w:rsidRPr="0070683C" w:rsidRDefault="0019124B">
      <w:pPr>
        <w:pStyle w:val="Rubrik1"/>
      </w:pPr>
      <w:r w:rsidRPr="0070683C">
        <w:t>Förslaget</w:t>
      </w:r>
    </w:p>
    <w:p w:rsidR="0019124B" w:rsidRPr="0070683C" w:rsidRDefault="0019124B">
      <w:pPr>
        <w:pStyle w:val="Rubrik2"/>
      </w:pPr>
      <w:r w:rsidRPr="0070683C">
        <w:t>Innehåll</w:t>
      </w:r>
    </w:p>
    <w:p w:rsidR="0019124B" w:rsidRPr="0070683C" w:rsidRDefault="0019124B">
      <w:r w:rsidRPr="0070683C">
        <w:t>Ränte- och royaltydirektivet (2003/49/EG) syftar till att undanröja källskatter på räntor och royalties som betalas mellan närstående företag i olika medlemsstater. Om ett bolag i en medlemsstat erlägger en ränte- eller royaltybetalning till ett närstående bolag i en annan medlemsstat skall den förstnämnda staten inte beskatta betalningen. Reglerna omfattar bara vissa särskilt angivna företagsformer som är uppräknade i en bilaga till direktivet.</w:t>
      </w:r>
    </w:p>
    <w:p w:rsidR="0019124B" w:rsidRPr="0070683C" w:rsidRDefault="0019124B">
      <w:r w:rsidRPr="0070683C">
        <w:t xml:space="preserve">Vid Ekofin-rådets möte den 3 juni 2003 då ränte- och royaltydirektivet antogs gjordes uttalanden till protokollet av vilka framgår att rådet och kommissionen är överens om att förmånerna enligt direktivet inte bör tillfalla företag som är undantagna från beskattning på inkomster som omfattas av direktivet. Kommissionen föreslår att ett tillägg görs till direktivet som innebär att en medlemsstat (källstaten) bara är skyldig att undanta ränte- och royaltybetalningar från skatt som påförs betalningar i denna </w:t>
      </w:r>
      <w:r w:rsidRPr="0070683C">
        <w:t xml:space="preserve">stat om den som </w:t>
      </w:r>
      <w:r w:rsidRPr="0070683C">
        <w:lastRenderedPageBreak/>
        <w:t>har rätt till den berörda räntan eller royaltyn faktiskt beskattas för denna ränta eller royalty i den mottagande staten.</w:t>
      </w:r>
    </w:p>
    <w:p w:rsidR="0019124B" w:rsidRPr="0070683C" w:rsidRDefault="0019124B">
      <w:r w:rsidRPr="0070683C">
        <w:t xml:space="preserve">Kommissionen föreslår vidare att den förteckning över bolag som finns fogad som en bilaga till direktivet skall få en ny lydelse. Flera nya företagsformer skall omfattas av direktivet, bl.a. såvitt avser Sverige ekonomisk förening, sparbank och ömsesidigt försäkringsaktiebolag. </w:t>
      </w:r>
    </w:p>
    <w:p w:rsidR="0019124B" w:rsidRPr="0070683C" w:rsidRDefault="0019124B">
      <w:r w:rsidRPr="0070683C">
        <w:t xml:space="preserve">Direktivet skall även omfatta de s.k. europabolagen som är en typ av bolag som fr.o.m. år 2004 kan bildas av två (eller flera) bolag som hör hemma i skilda medlemsstater, bl.a. genom fusion, genom bildande av holdingbolag eller dotterbolag och genom ombildning av ett publikt aktiebolag. Europabolag får flytta sitt säte till en annan medlemsstat utan att bolaget avvecklas eller en ny juridisk person bildas (jfr rådets förordning (EG) nr 2157/2001 av den 8 oktober 2001 om stadga för europabolag). </w:t>
      </w:r>
    </w:p>
    <w:p w:rsidR="0019124B" w:rsidRPr="0070683C" w:rsidRDefault="0019124B">
      <w:r w:rsidRPr="0070683C">
        <w:t>Vidare skall direktivet omfatta europeiska kooperativa föreningar som fr.o.m. år 2006 kan bildas av fysiska personer, bolag och andra offentligrättsliga eller privaträttsliga enheter som hör hemma i minst två medlemsstater. Föreningarna kan också bildas genom fusion mellan kooperativ som hör hemma i minst två medlemsstater samt genom ombildning av ett kooperativ som hör hemma i en medlemsstat och som sedan minst två år har en driftsenhet eller dotterföretag som hör hemma i en annan medlemsstat. Liksom euro</w:t>
      </w:r>
      <w:r w:rsidRPr="0070683C">
        <w:t>pabolagen får en sådan förening flytta sitt säte till en annan medlemsstat utan att den avvecklas eller en ny juridisk person bildas (jfr rådets förordning (EG) nr 1435/2003 av den 22 juli 2003 om stadga för europeiska ekonomiska föreningar (SCE-föreningar)).</w:t>
      </w:r>
    </w:p>
    <w:p w:rsidR="0019124B" w:rsidRPr="0070683C" w:rsidRDefault="0019124B">
      <w:pPr>
        <w:pStyle w:val="Rubrik2"/>
      </w:pPr>
      <w:r w:rsidRPr="0070683C">
        <w:t>Gällande svenska regler och förslagets effekt på dessa</w:t>
      </w:r>
    </w:p>
    <w:p w:rsidR="0019124B" w:rsidRPr="0070683C" w:rsidRDefault="0019124B">
      <w:r w:rsidRPr="0070683C">
        <w:t xml:space="preserve">Sverige har ännu inte införlivat ränte- och royaltydirektivet i svensk rätt. Finansdepartementet har dock remitterat en promemoria (dnr Fi2003/6617) med förslag på hur ett sådant införlivande skall utformas lagtekniskt. Kommissionens förslag innebär i princip endast att följdändringar måste göras så att samtliga företagsformer som finns med i den nya lydelsen av bilagan till direktivet omfattas av den föreslagna svenska lagstiftningen. </w:t>
      </w:r>
    </w:p>
    <w:p w:rsidR="0019124B" w:rsidRPr="0070683C" w:rsidRDefault="0019124B">
      <w:pPr>
        <w:pStyle w:val="Rubrik2"/>
      </w:pPr>
      <w:r w:rsidRPr="0070683C">
        <w:t>Budgetära konsekvenser</w:t>
      </w:r>
    </w:p>
    <w:p w:rsidR="0019124B" w:rsidRPr="0070683C" w:rsidRDefault="0019124B">
      <w:r w:rsidRPr="0070683C">
        <w:t>Inga eller försumbara.</w:t>
      </w:r>
    </w:p>
    <w:p w:rsidR="0019124B" w:rsidRPr="0070683C" w:rsidRDefault="0019124B">
      <w:pPr>
        <w:pStyle w:val="Rubrik1"/>
      </w:pPr>
      <w:r w:rsidRPr="0070683C">
        <w:t>Ståndpunkter</w:t>
      </w:r>
    </w:p>
    <w:p w:rsidR="0019124B" w:rsidRPr="0070683C" w:rsidRDefault="0019124B">
      <w:pPr>
        <w:pStyle w:val="Rubrik2"/>
      </w:pPr>
      <w:r w:rsidRPr="0070683C">
        <w:t>Svensk ståndpunkt</w:t>
      </w:r>
    </w:p>
    <w:p w:rsidR="0019124B" w:rsidRPr="0070683C" w:rsidRDefault="0019124B">
      <w:r w:rsidRPr="0070683C">
        <w:t xml:space="preserve">Sverige anser att det är viktigt att beskattning av ränta och royalty sker i princip en gång i någon av de berörda medlemsstaterna. Sverige ställer sig därför positivt till att direktivets innebörd klargörs för att säkerställa att inte några gränsöverskridande ränte- och royaltybetalningar mellan närstående företag helt undgår beskattning. Sverige stödjer dessutom att flera typer av företagsformer skall omfattas av direktivet. Denna ståndpunkt skall ses mot bakgrund av att Sverige anser att det är viktigt </w:t>
      </w:r>
      <w:r w:rsidRPr="0070683C">
        <w:t>att de olika medlemsstaternas företagsskattesystem inte hindrar att den inre marknaden fungerar smidigt. Direktivet bör därför få ett så brett tillämpningsområde som möjligt, dock utan att direktivets förmåner omfattar företagsformer som utnyttjas för skatteundandragande. Förutom en del invändningar av teknisk karaktär ställer sig Sverige därför bakom de av kommissionen föreslagna ändringarna av direktivet.</w:t>
      </w:r>
    </w:p>
    <w:p w:rsidR="0019124B" w:rsidRPr="0070683C" w:rsidRDefault="0019124B">
      <w:pPr>
        <w:pStyle w:val="Rubrik2"/>
      </w:pPr>
      <w:r w:rsidRPr="0070683C">
        <w:t>Medlemsstaternas ståndpunkter</w:t>
      </w:r>
    </w:p>
    <w:p w:rsidR="0019124B" w:rsidRPr="0070683C" w:rsidRDefault="0019124B">
      <w:r w:rsidRPr="0070683C">
        <w:t>Kommissionens förslag är huvudsakligen baserat på uttalanden som gjordes i rådets protokoll i samband med att ränte- och royaltydirektivet antogs. Medlemsstaterna kan därför inte förväntas ha några materiella invändningar mot förslaget.</w:t>
      </w:r>
    </w:p>
    <w:p w:rsidR="0019124B" w:rsidRPr="0070683C" w:rsidRDefault="0019124B">
      <w:pPr>
        <w:pStyle w:val="Rubrik2"/>
      </w:pPr>
      <w:r w:rsidRPr="0070683C">
        <w:t>Institutionernas ståndpunkter</w:t>
      </w:r>
    </w:p>
    <w:p w:rsidR="0019124B" w:rsidRPr="0070683C" w:rsidRDefault="0019124B">
      <w:r w:rsidRPr="0070683C">
        <w:t>Förutom kommissionen, som föreslagit ändringarna, är institutionernas inställning ej kända.</w:t>
      </w:r>
    </w:p>
    <w:p w:rsidR="0019124B" w:rsidRPr="0070683C" w:rsidRDefault="0019124B">
      <w:pPr>
        <w:pStyle w:val="Rubrik2"/>
      </w:pPr>
      <w:r w:rsidRPr="0070683C">
        <w:t>Remissinstansernas ståndpunkter</w:t>
      </w:r>
    </w:p>
    <w:p w:rsidR="0019124B" w:rsidRPr="0070683C" w:rsidRDefault="0019124B">
      <w:r w:rsidRPr="0070683C">
        <w:t>Ej remitterat.</w:t>
      </w:r>
    </w:p>
    <w:p w:rsidR="0019124B" w:rsidRPr="0070683C" w:rsidRDefault="0019124B">
      <w:pPr>
        <w:pStyle w:val="Rubrik1"/>
      </w:pPr>
      <w:r w:rsidRPr="0070683C">
        <w:t>Övrigt</w:t>
      </w:r>
    </w:p>
    <w:p w:rsidR="0019124B" w:rsidRPr="0070683C" w:rsidRDefault="0019124B">
      <w:pPr>
        <w:pStyle w:val="Rubrik2"/>
      </w:pPr>
      <w:r w:rsidRPr="0070683C">
        <w:t>Fortsatt behandling av ärendet</w:t>
      </w:r>
    </w:p>
    <w:p w:rsidR="0019124B" w:rsidRPr="0070683C" w:rsidRDefault="0019124B">
      <w:r w:rsidRPr="0070683C">
        <w:t>Förslaget diskuteras i rådsarbetsgruppen som handhar frågor om direkt skatt. Ett möte har hållits i februari 2004.</w:t>
      </w:r>
    </w:p>
    <w:p w:rsidR="0019124B" w:rsidRPr="0070683C" w:rsidRDefault="0019124B">
      <w:pPr>
        <w:pStyle w:val="Rubrik2"/>
      </w:pPr>
      <w:r w:rsidRPr="0070683C">
        <w:t>Rättslig grund och beslutsförfarande</w:t>
      </w:r>
    </w:p>
    <w:p w:rsidR="0019124B" w:rsidRPr="0070683C" w:rsidRDefault="0019124B">
      <w:r w:rsidRPr="0070683C">
        <w:t>Artikel 94 – enhällighet.</w:t>
      </w:r>
    </w:p>
    <w:p w:rsidR="0019124B" w:rsidRPr="0070683C" w:rsidRDefault="0019124B">
      <w:pPr>
        <w:pStyle w:val="Rubrik2"/>
      </w:pPr>
      <w:r w:rsidRPr="0070683C">
        <w:t>Fackuttryck/termer</w:t>
      </w:r>
    </w:p>
    <w:p w:rsidR="0019124B" w:rsidRPr="0070683C" w:rsidRDefault="0019124B">
      <w:r w:rsidRPr="0070683C">
        <w:t>Inga.</w:t>
      </w:r>
    </w:p>
    <w:sectPr w:rsidR="0019124B" w:rsidRPr="0070683C">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24B" w:rsidRPr="0070683C" w:rsidRDefault="0019124B">
      <w:pPr>
        <w:spacing w:before="0" w:line="240" w:lineRule="auto"/>
      </w:pPr>
      <w:r w:rsidRPr="0070683C">
        <w:separator/>
      </w:r>
    </w:p>
  </w:endnote>
  <w:endnote w:type="continuationSeparator" w:id="0">
    <w:p w:rsidR="0019124B" w:rsidRPr="0070683C" w:rsidRDefault="0019124B">
      <w:pPr>
        <w:spacing w:before="0" w:line="240" w:lineRule="auto"/>
      </w:pPr>
      <w:r w:rsidRPr="007068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4B" w:rsidRPr="0070683C" w:rsidRDefault="0019124B">
    <w:pPr>
      <w:pStyle w:val="SidfotH"/>
      <w:framePr w:wrap="around"/>
    </w:pPr>
    <w:r w:rsidRPr="0070683C">
      <w:t>2</w:t>
    </w:r>
  </w:p>
  <w:p w:rsidR="0019124B" w:rsidRPr="0070683C" w:rsidRDefault="001912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4B" w:rsidRPr="0070683C" w:rsidRDefault="0019124B">
    <w:pPr>
      <w:pStyle w:val="SidfotH"/>
      <w:framePr w:wrap="around"/>
    </w:pPr>
    <w:r w:rsidRPr="0070683C">
      <w:t>1</w:t>
    </w:r>
  </w:p>
  <w:p w:rsidR="0019124B" w:rsidRPr="0070683C" w:rsidRDefault="00191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24B" w:rsidRPr="0070683C" w:rsidRDefault="0019124B">
      <w:pPr>
        <w:spacing w:before="0" w:line="240" w:lineRule="auto"/>
      </w:pPr>
      <w:r w:rsidRPr="0070683C">
        <w:separator/>
      </w:r>
    </w:p>
  </w:footnote>
  <w:footnote w:type="continuationSeparator" w:id="0">
    <w:p w:rsidR="0019124B" w:rsidRPr="0070683C" w:rsidRDefault="0019124B">
      <w:pPr>
        <w:spacing w:before="0" w:line="240" w:lineRule="auto"/>
      </w:pPr>
      <w:r w:rsidRPr="007068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4B" w:rsidRPr="0070683C" w:rsidRDefault="0019124B">
    <w:pPr>
      <w:pStyle w:val="Kantrubrik"/>
      <w:framePr w:h="1157" w:hRule="exact" w:wrap="around" w:y="738"/>
    </w:pPr>
    <w:r w:rsidRPr="0070683C">
      <w:t>2003/04:FPM67</w:t>
    </w:r>
  </w:p>
  <w:p w:rsidR="0019124B" w:rsidRPr="0070683C" w:rsidRDefault="001912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4B" w:rsidRPr="0070683C" w:rsidRDefault="0070683C">
    <w:pPr>
      <w:pStyle w:val="Sidhuvud"/>
    </w:pPr>
    <w:r w:rsidRPr="0070683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03118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9124B" w:rsidRDefault="0019124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9124B" w:rsidRDefault="0019124B">
                    <w:pPr>
                      <w:pStyle w:val="Logo"/>
                    </w:pPr>
                    <w:r>
                      <w:object w:dxaOrig="840" w:dyaOrig="1545">
                        <v:shape id="_x0000_i1025" type="#_x0000_t75" style="width:42pt;height:77.15pt" fillcolor="window">
                          <v:imagedata r:id="rId1" o:title=""/>
                        </v:shape>
                        <o:OLEObject Type="Embed" ProgID="Word.Picture.8" ShapeID="_x0000_i1025" DrawAspect="Content" ObjectID="_18274183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3A95A8C"/>
    <w:multiLevelType w:val="hybridMultilevel"/>
    <w:tmpl w:val="CB8AE79E"/>
    <w:lvl w:ilvl="0" w:tplc="FFFFFFFF">
      <w:start w:val="1"/>
      <w:numFmt w:val="bullet"/>
      <w:lvlText w:val=""/>
      <w:lvlJc w:val="left"/>
      <w:pPr>
        <w:tabs>
          <w:tab w:val="num" w:pos="530"/>
        </w:tabs>
        <w:ind w:left="530" w:hanging="360"/>
      </w:pPr>
      <w:rPr>
        <w:rFonts w:ascii="Symbol" w:hAnsi="Symbol" w:hint="default"/>
      </w:rPr>
    </w:lvl>
    <w:lvl w:ilvl="1" w:tplc="FFFFFFFF" w:tentative="1">
      <w:start w:val="1"/>
      <w:numFmt w:val="bullet"/>
      <w:lvlText w:val="o"/>
      <w:lvlJc w:val="left"/>
      <w:pPr>
        <w:tabs>
          <w:tab w:val="num" w:pos="1250"/>
        </w:tabs>
        <w:ind w:left="1250" w:hanging="360"/>
      </w:pPr>
      <w:rPr>
        <w:rFonts w:ascii="Courier New" w:hAnsi="Courier New" w:hint="default"/>
      </w:rPr>
    </w:lvl>
    <w:lvl w:ilvl="2" w:tplc="FFFFFFFF" w:tentative="1">
      <w:start w:val="1"/>
      <w:numFmt w:val="bullet"/>
      <w:lvlText w:val=""/>
      <w:lvlJc w:val="left"/>
      <w:pPr>
        <w:tabs>
          <w:tab w:val="num" w:pos="1970"/>
        </w:tabs>
        <w:ind w:left="1970" w:hanging="360"/>
      </w:pPr>
      <w:rPr>
        <w:rFonts w:ascii="Wingdings" w:hAnsi="Wingdings" w:hint="default"/>
      </w:rPr>
    </w:lvl>
    <w:lvl w:ilvl="3" w:tplc="FFFFFFFF" w:tentative="1">
      <w:start w:val="1"/>
      <w:numFmt w:val="bullet"/>
      <w:lvlText w:val=""/>
      <w:lvlJc w:val="left"/>
      <w:pPr>
        <w:tabs>
          <w:tab w:val="num" w:pos="2690"/>
        </w:tabs>
        <w:ind w:left="2690" w:hanging="360"/>
      </w:pPr>
      <w:rPr>
        <w:rFonts w:ascii="Symbol" w:hAnsi="Symbol" w:hint="default"/>
      </w:rPr>
    </w:lvl>
    <w:lvl w:ilvl="4" w:tplc="FFFFFFFF" w:tentative="1">
      <w:start w:val="1"/>
      <w:numFmt w:val="bullet"/>
      <w:lvlText w:val="o"/>
      <w:lvlJc w:val="left"/>
      <w:pPr>
        <w:tabs>
          <w:tab w:val="num" w:pos="3410"/>
        </w:tabs>
        <w:ind w:left="3410" w:hanging="360"/>
      </w:pPr>
      <w:rPr>
        <w:rFonts w:ascii="Courier New" w:hAnsi="Courier New" w:hint="default"/>
      </w:rPr>
    </w:lvl>
    <w:lvl w:ilvl="5" w:tplc="FFFFFFFF" w:tentative="1">
      <w:start w:val="1"/>
      <w:numFmt w:val="bullet"/>
      <w:lvlText w:val=""/>
      <w:lvlJc w:val="left"/>
      <w:pPr>
        <w:tabs>
          <w:tab w:val="num" w:pos="4130"/>
        </w:tabs>
        <w:ind w:left="4130" w:hanging="360"/>
      </w:pPr>
      <w:rPr>
        <w:rFonts w:ascii="Wingdings" w:hAnsi="Wingdings" w:hint="default"/>
      </w:rPr>
    </w:lvl>
    <w:lvl w:ilvl="6" w:tplc="FFFFFFFF" w:tentative="1">
      <w:start w:val="1"/>
      <w:numFmt w:val="bullet"/>
      <w:lvlText w:val=""/>
      <w:lvlJc w:val="left"/>
      <w:pPr>
        <w:tabs>
          <w:tab w:val="num" w:pos="4850"/>
        </w:tabs>
        <w:ind w:left="4850" w:hanging="360"/>
      </w:pPr>
      <w:rPr>
        <w:rFonts w:ascii="Symbol" w:hAnsi="Symbol" w:hint="default"/>
      </w:rPr>
    </w:lvl>
    <w:lvl w:ilvl="7" w:tplc="FFFFFFFF" w:tentative="1">
      <w:start w:val="1"/>
      <w:numFmt w:val="bullet"/>
      <w:lvlText w:val="o"/>
      <w:lvlJc w:val="left"/>
      <w:pPr>
        <w:tabs>
          <w:tab w:val="num" w:pos="5570"/>
        </w:tabs>
        <w:ind w:left="5570" w:hanging="360"/>
      </w:pPr>
      <w:rPr>
        <w:rFonts w:ascii="Courier New" w:hAnsi="Courier New" w:hint="default"/>
      </w:rPr>
    </w:lvl>
    <w:lvl w:ilvl="8" w:tplc="FFFFFFFF" w:tentative="1">
      <w:start w:val="1"/>
      <w:numFmt w:val="bullet"/>
      <w:lvlText w:val=""/>
      <w:lvlJc w:val="left"/>
      <w:pPr>
        <w:tabs>
          <w:tab w:val="num" w:pos="6290"/>
        </w:tabs>
        <w:ind w:left="629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3031461">
    <w:abstractNumId w:val="5"/>
  </w:num>
  <w:num w:numId="2" w16cid:durableId="524175103">
    <w:abstractNumId w:val="1"/>
  </w:num>
  <w:num w:numId="3" w16cid:durableId="1522279252">
    <w:abstractNumId w:val="2"/>
  </w:num>
  <w:num w:numId="4" w16cid:durableId="1952201406">
    <w:abstractNumId w:val="3"/>
  </w:num>
  <w:num w:numId="5" w16cid:durableId="1086878581">
    <w:abstractNumId w:val="6"/>
  </w:num>
  <w:num w:numId="6" w16cid:durableId="479617543">
    <w:abstractNumId w:val="0"/>
  </w:num>
  <w:num w:numId="7" w16cid:durableId="1810631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2-20"/>
    <w:docVar w:name="Ar" w:val="2003/04"/>
    <w:docVar w:name="Dep" w:val="Finansdepartementet"/>
    <w:docVar w:name="DepWeb" w:val="Finansdepartementet"/>
    <w:docVar w:name="GDB1" w:val="KOM (2003) 84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3/49/EG om ett gemensamt system för beskattning av räntor och royalties som betalas mellan närstående bolag i olika medlemssta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841 slutlig"/>
    <w:docVar w:name="Nr" w:val="67"/>
    <w:docVar w:name="Rub" w:val="Förslag till ändring av ränte- och royaltydirektivet"/>
    <w:docVar w:name="UppDat" w:val="2004-02-20"/>
    <w:docVar w:name="Utsk" w:val="Skatteutskottet"/>
  </w:docVars>
  <w:rsids>
    <w:rsidRoot w:val="00B76EC2"/>
    <w:rsid w:val="0019124B"/>
    <w:rsid w:val="0070683C"/>
    <w:rsid w:val="00B76E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27FCE-D12D-42F7-9870-6D12428D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785</Words>
  <Characters>4816</Characters>
  <Application>Microsoft Office Word</Application>
  <DocSecurity>4</DocSecurity>
  <Lines>98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2004-02-20T13:05:00Z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 (2003) 841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Förslag till ändring av ränte- och royaltydirektivet</vt:lpwstr>
  </property>
  <property fmtid="{D5CDD505-2E9C-101B-9397-08002B2CF9AE}" pid="8" name="UppDat">
    <vt:lpwstr>2004-02-20</vt:lpwstr>
  </property>
  <property fmtid="{D5CDD505-2E9C-101B-9397-08002B2CF9AE}" pid="9" name="AnkDat">
    <vt:lpwstr>2004-02-20</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