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4151B" w:rsidRDefault="006820E4" w14:paraId="15A1B25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7D5AA876A85419FBDC93455170916C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c855620-b44a-4ba5-a64a-a412c985d1a8"/>
        <w:id w:val="-992172763"/>
        <w:lock w:val="sdtLocked"/>
      </w:sdtPr>
      <w:sdtEndPr/>
      <w:sdtContent>
        <w:p w:rsidR="00A356DC" w:rsidRDefault="006F6D83" w14:paraId="7B141D5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en modell för hur en del av värdet från elproduktion ska kunna komma befolkningen i det aktuella området till godo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9898E53FDC94C7E824429303FCD0DCB"/>
        </w:placeholder>
        <w:text/>
      </w:sdtPr>
      <w:sdtEndPr/>
      <w:sdtContent>
        <w:p w:rsidRPr="009B062B" w:rsidR="006D79C9" w:rsidP="00333E95" w:rsidRDefault="006D79C9" w14:paraId="18A72C3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01842" w:rsidP="006C6866" w:rsidRDefault="00A01842" w14:paraId="6CA1A3C6" w14:textId="671BA5B4">
      <w:pPr>
        <w:pStyle w:val="Normalutanindragellerluft"/>
      </w:pPr>
      <w:r>
        <w:t>Sverige står inför en omfattande energiomställning, med stora behov av utbyggnad av alla tänkbara energislag. I många fall påverkas lokalbefolkningen på ett negativt sätt. Typexemplet är vindkraftverk, som riskerar ge hälsoproblem på grund av lågfrekvent buller och oönskade skuggor, utöver förändrad landskapsbild och sjunkande fastighets</w:t>
      </w:r>
      <w:r w:rsidR="006C6866">
        <w:softHyphen/>
      </w:r>
      <w:r>
        <w:t>priser i det berörda området. Men det finns fler potentiella konfliktytor än vindkraft</w:t>
      </w:r>
      <w:r w:rsidR="00697134">
        <w:t>,</w:t>
      </w:r>
      <w:r>
        <w:t xml:space="preserve"> som exempelvis vattenkraft, storskaliga solparker och elnät.</w:t>
      </w:r>
    </w:p>
    <w:p w:rsidR="00A01842" w:rsidP="006C6866" w:rsidRDefault="00A01842" w14:paraId="1014C8E9" w14:textId="1402D48C">
      <w:r>
        <w:t xml:space="preserve">I Norge går fastighetsskatten för vattenkraftverken till kommunen där kraftverket finns, vilket skapat stor utvecklingskraft till landsbygden. Kommunerna med vattenkraft får varje år tillbaka mångmiljonbelopp till bygden, totalt omkring </w:t>
      </w:r>
      <w:r w:rsidR="00697134">
        <w:t>1</w:t>
      </w:r>
      <w:r w:rsidR="00202525">
        <w:t> </w:t>
      </w:r>
      <w:r>
        <w:t>miljard kronor. Det bidrar också till en helt annan inställning och acceptans till den lokala energiproduk</w:t>
      </w:r>
      <w:r w:rsidR="006C6866">
        <w:softHyphen/>
      </w:r>
      <w:r>
        <w:t xml:space="preserve">tionen. Hösten 2022 beslutade </w:t>
      </w:r>
      <w:r w:rsidR="00697134">
        <w:t>s</w:t>
      </w:r>
      <w:r>
        <w:t>tortinget att införa en särskild avgift för produktion av vindkraftverk, som ska gå till vindkraftverkens värdkommuner. Satsen för 2024 är 2,3 öre per kWh producerad elkraft. Liknande modell finns i Finland. Våra grannländers erfarenheter kan vara intressanta för Sverige att ta del av.</w:t>
      </w:r>
    </w:p>
    <w:p w:rsidR="00BB6339" w:rsidP="006C6866" w:rsidRDefault="00A01842" w14:paraId="19EF57F1" w14:textId="003AC6F4">
      <w:r>
        <w:t>Vår regering har tagit emot utredningen Värdet av vinden (SOU</w:t>
      </w:r>
      <w:r w:rsidR="00697134">
        <w:t xml:space="preserve"> </w:t>
      </w:r>
      <w:r>
        <w:t xml:space="preserve">2023:18) och den har nu fått avtryck i regeringens budget. Det finns goda skäl till </w:t>
      </w:r>
      <w:r w:rsidR="000C0499">
        <w:t xml:space="preserve">att </w:t>
      </w:r>
      <w:r>
        <w:t xml:space="preserve">kommuner som bejakar investeringar som exempelvis vindkraftsparker ska kunna få något incitament till detta. Likaledes är det viktigt att enskilda som blir påverkade av en etablering – som exempelvis en vindkraftpark – ska kunna få rimlig ersättning för detta. Men utöver </w:t>
      </w:r>
      <w:r>
        <w:lastRenderedPageBreak/>
        <w:t>investeringar i vindkraft behövs det även incitament för andra investeringar som är viktiga för att vi ska bli fossilfria.</w:t>
      </w:r>
    </w:p>
    <w:sdt>
      <w:sdtPr>
        <w:alias w:val="CC_Underskrifter"/>
        <w:tag w:val="CC_Underskrifter"/>
        <w:id w:val="583496634"/>
        <w:lock w:val="sdtContentLocked"/>
        <w:placeholder>
          <w:docPart w:val="0CD59C8CEA0E461289DCE043FFF71D23"/>
        </w:placeholder>
      </w:sdtPr>
      <w:sdtEndPr>
        <w:rPr>
          <w:i/>
          <w:noProof/>
        </w:rPr>
      </w:sdtEndPr>
      <w:sdtContent>
        <w:p w:rsidR="00A01842" w:rsidP="001405D7" w:rsidRDefault="00A01842" w14:paraId="370109FD" w14:textId="77777777"/>
        <w:p w:rsidR="00CC11BF" w:rsidP="001405D7" w:rsidRDefault="006820E4" w14:paraId="0E0D6609" w14:textId="289C6D0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356DC" w14:paraId="2D7764E3" w14:textId="77777777">
        <w:trPr>
          <w:cantSplit/>
        </w:trPr>
        <w:tc>
          <w:tcPr>
            <w:tcW w:w="50" w:type="pct"/>
            <w:vAlign w:val="bottom"/>
          </w:tcPr>
          <w:p w:rsidR="00A356DC" w:rsidRDefault="006F6D83" w14:paraId="6F2FDCF7" w14:textId="77777777">
            <w:pPr>
              <w:pStyle w:val="Underskrifter"/>
              <w:spacing w:after="0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 w:rsidR="00A356DC" w:rsidRDefault="00A356DC" w14:paraId="1A3CE70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3102490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9306" w14:textId="77777777" w:rsidR="00A01842" w:rsidRDefault="00A01842" w:rsidP="000C1CAD">
      <w:pPr>
        <w:spacing w:line="240" w:lineRule="auto"/>
      </w:pPr>
      <w:r>
        <w:separator/>
      </w:r>
    </w:p>
  </w:endnote>
  <w:endnote w:type="continuationSeparator" w:id="0">
    <w:p w14:paraId="0D4E2D6F" w14:textId="77777777" w:rsidR="00A01842" w:rsidRDefault="00A0184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8B9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D8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B7D0" w14:textId="3FED91DF" w:rsidR="00262EA3" w:rsidRPr="001405D7" w:rsidRDefault="00262EA3" w:rsidP="001405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BF83" w14:textId="77777777" w:rsidR="00A01842" w:rsidRDefault="00A01842" w:rsidP="000C1CAD">
      <w:pPr>
        <w:spacing w:line="240" w:lineRule="auto"/>
      </w:pPr>
      <w:r>
        <w:separator/>
      </w:r>
    </w:p>
  </w:footnote>
  <w:footnote w:type="continuationSeparator" w:id="0">
    <w:p w14:paraId="4EEB330B" w14:textId="77777777" w:rsidR="00A01842" w:rsidRDefault="00A0184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DC2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1F5501" wp14:editId="210CE3C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5CE883" w14:textId="5CE01B14" w:rsidR="00262EA3" w:rsidRDefault="006820E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01842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1F550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95CE883" w14:textId="5CE01B14" w:rsidR="00262EA3" w:rsidRDefault="006C686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01842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5DF77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29381" w14:textId="77777777" w:rsidR="00262EA3" w:rsidRDefault="00262EA3" w:rsidP="008563AC">
    <w:pPr>
      <w:jc w:val="right"/>
    </w:pPr>
  </w:p>
  <w:p w14:paraId="57716F0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76FF" w14:textId="77777777" w:rsidR="00262EA3" w:rsidRDefault="006820E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68A152B" wp14:editId="7A5AD2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421DEBD" w14:textId="5200820B" w:rsidR="00262EA3" w:rsidRDefault="006820E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05D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01842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26AEB28" w14:textId="77777777" w:rsidR="00262EA3" w:rsidRPr="008227B3" w:rsidRDefault="006820E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CBFF9F" w14:textId="7AF7EAFB" w:rsidR="00262EA3" w:rsidRPr="008227B3" w:rsidRDefault="006820E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05D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05D7">
          <w:t>:1</w:t>
        </w:r>
      </w:sdtContent>
    </w:sdt>
  </w:p>
  <w:p w14:paraId="5F1A6967" w14:textId="3FD91E09" w:rsidR="00262EA3" w:rsidRDefault="006820E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405D7">
          <w:t>av Gudrun Brunegård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34A81D1" w14:textId="4A399381" w:rsidR="00262EA3" w:rsidRDefault="00A01842" w:rsidP="00283E0F">
        <w:pPr>
          <w:pStyle w:val="FSHRub2"/>
        </w:pPr>
        <w:r>
          <w:t>Återbäring av del av värdet från elproduktion till närområdet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62E9E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51005137">
    <w:abstractNumId w:val="9"/>
  </w:num>
  <w:num w:numId="2" w16cid:durableId="8457753">
    <w:abstractNumId w:val="8"/>
  </w:num>
  <w:num w:numId="3" w16cid:durableId="690684155">
    <w:abstractNumId w:val="16"/>
  </w:num>
  <w:num w:numId="4" w16cid:durableId="1692685974">
    <w:abstractNumId w:val="14"/>
  </w:num>
  <w:num w:numId="5" w16cid:durableId="706032103">
    <w:abstractNumId w:val="17"/>
  </w:num>
  <w:num w:numId="6" w16cid:durableId="242960582">
    <w:abstractNumId w:val="18"/>
  </w:num>
  <w:num w:numId="7" w16cid:durableId="1398700906">
    <w:abstractNumId w:val="11"/>
  </w:num>
  <w:num w:numId="8" w16cid:durableId="56786481">
    <w:abstractNumId w:val="12"/>
  </w:num>
  <w:num w:numId="9" w16cid:durableId="1364093958">
    <w:abstractNumId w:val="15"/>
  </w:num>
  <w:num w:numId="10" w16cid:durableId="1061833172">
    <w:abstractNumId w:val="22"/>
  </w:num>
  <w:num w:numId="11" w16cid:durableId="711077256">
    <w:abstractNumId w:val="21"/>
  </w:num>
  <w:num w:numId="12" w16cid:durableId="1747410400">
    <w:abstractNumId w:val="21"/>
  </w:num>
  <w:num w:numId="13" w16cid:durableId="1824856267">
    <w:abstractNumId w:val="3"/>
  </w:num>
  <w:num w:numId="14" w16cid:durableId="150413637">
    <w:abstractNumId w:val="2"/>
  </w:num>
  <w:num w:numId="15" w16cid:durableId="1801149517">
    <w:abstractNumId w:val="1"/>
  </w:num>
  <w:num w:numId="16" w16cid:durableId="1228607203">
    <w:abstractNumId w:val="0"/>
  </w:num>
  <w:num w:numId="17" w16cid:durableId="408772081">
    <w:abstractNumId w:val="7"/>
  </w:num>
  <w:num w:numId="18" w16cid:durableId="1521971060">
    <w:abstractNumId w:val="6"/>
  </w:num>
  <w:num w:numId="19" w16cid:durableId="836387857">
    <w:abstractNumId w:val="5"/>
  </w:num>
  <w:num w:numId="20" w16cid:durableId="1415709023">
    <w:abstractNumId w:val="4"/>
  </w:num>
  <w:num w:numId="21" w16cid:durableId="2045861909">
    <w:abstractNumId w:val="21"/>
  </w:num>
  <w:num w:numId="22" w16cid:durableId="441078029">
    <w:abstractNumId w:val="21"/>
  </w:num>
  <w:num w:numId="23" w16cid:durableId="1222254779">
    <w:abstractNumId w:val="21"/>
  </w:num>
  <w:num w:numId="24" w16cid:durableId="312489738">
    <w:abstractNumId w:val="21"/>
  </w:num>
  <w:num w:numId="25" w16cid:durableId="1346249937">
    <w:abstractNumId w:val="21"/>
  </w:num>
  <w:num w:numId="26" w16cid:durableId="1242986871">
    <w:abstractNumId w:val="22"/>
  </w:num>
  <w:num w:numId="27" w16cid:durableId="386760669">
    <w:abstractNumId w:val="22"/>
  </w:num>
  <w:num w:numId="28" w16cid:durableId="1154950282">
    <w:abstractNumId w:val="22"/>
  </w:num>
  <w:num w:numId="29" w16cid:durableId="1491018815">
    <w:abstractNumId w:val="22"/>
  </w:num>
  <w:num w:numId="30" w16cid:durableId="1956981524">
    <w:abstractNumId w:val="21"/>
  </w:num>
  <w:num w:numId="31" w16cid:durableId="1863472487">
    <w:abstractNumId w:val="21"/>
  </w:num>
  <w:num w:numId="32" w16cid:durableId="907500376">
    <w:abstractNumId w:val="22"/>
  </w:num>
  <w:num w:numId="33" w16cid:durableId="1876842344">
    <w:abstractNumId w:val="21"/>
  </w:num>
  <w:num w:numId="34" w16cid:durableId="567348150">
    <w:abstractNumId w:val="18"/>
  </w:num>
  <w:num w:numId="35" w16cid:durableId="23098567">
    <w:abstractNumId w:val="18"/>
    <w:lvlOverride w:ilvl="0">
      <w:startOverride w:val="1"/>
    </w:lvlOverride>
  </w:num>
  <w:num w:numId="36" w16cid:durableId="304169546">
    <w:abstractNumId w:val="19"/>
  </w:num>
  <w:num w:numId="37" w16cid:durableId="1072701490">
    <w:abstractNumId w:val="18"/>
    <w:lvlOverride w:ilvl="0">
      <w:startOverride w:val="1"/>
    </w:lvlOverride>
  </w:num>
  <w:num w:numId="38" w16cid:durableId="297881990">
    <w:abstractNumId w:val="13"/>
  </w:num>
  <w:num w:numId="39" w16cid:durableId="308293307">
    <w:abstractNumId w:val="10"/>
  </w:num>
  <w:num w:numId="40" w16cid:durableId="63395309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0184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6E9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0499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5D7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525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0E4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13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866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6D83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F02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842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6DC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2B4A76"/>
  <w15:chartTrackingRefBased/>
  <w15:docId w15:val="{6B5C1BCD-0EE3-4EDF-8B8E-9CB3D47B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D5AA876A85419FBDC93455170916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C00C3D-4836-41D4-A294-3FFF0C7A2A96}"/>
      </w:docPartPr>
      <w:docPartBody>
        <w:p w:rsidR="00B214DC" w:rsidRDefault="00B214DC">
          <w:pPr>
            <w:pStyle w:val="D7D5AA876A85419FBDC93455170916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9898E53FDC94C7E824429303FCD0D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AB49F8-8E33-4D50-8BD6-55E38098635A}"/>
      </w:docPartPr>
      <w:docPartBody>
        <w:p w:rsidR="00B214DC" w:rsidRDefault="00B214DC">
          <w:pPr>
            <w:pStyle w:val="59898E53FDC94C7E824429303FCD0D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D59C8CEA0E461289DCE043FFF71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24E407-C56E-4DA2-A7FA-70324D2107AF}"/>
      </w:docPartPr>
      <w:docPartBody>
        <w:p w:rsidR="008E7D14" w:rsidRDefault="008E7D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97220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DC"/>
    <w:rsid w:val="000A16E9"/>
    <w:rsid w:val="008E7D14"/>
    <w:rsid w:val="00B2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7D5AA876A85419FBDC93455170916C9">
    <w:name w:val="D7D5AA876A85419FBDC93455170916C9"/>
  </w:style>
  <w:style w:type="paragraph" w:customStyle="1" w:styleId="59898E53FDC94C7E824429303FCD0DCB">
    <w:name w:val="59898E53FDC94C7E824429303FCD0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30902B-96FA-4286-8E7B-C68F5D566503}"/>
</file>

<file path=customXml/itemProps2.xml><?xml version="1.0" encoding="utf-8"?>
<ds:datastoreItem xmlns:ds="http://schemas.openxmlformats.org/officeDocument/2006/customXml" ds:itemID="{38F73072-F942-4A43-9E70-34BB3ECF2FCD}"/>
</file>

<file path=customXml/itemProps3.xml><?xml version="1.0" encoding="utf-8"?>
<ds:datastoreItem xmlns:ds="http://schemas.openxmlformats.org/officeDocument/2006/customXml" ds:itemID="{77BC8D4B-E543-44D1-8B85-566439FEE7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285</Words>
  <Characters>1709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Återbäring av del av värdet från elproduktion till närområdet</vt:lpstr>
      <vt:lpstr>
      </vt:lpstr>
    </vt:vector>
  </TitlesOfParts>
  <Company>Sveriges riksdag</Company>
  <LinksUpToDate>false</LinksUpToDate>
  <CharactersWithSpaces>1986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