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97ED7">
        <w:tblPrEx>
          <w:tblCellMar>
            <w:top w:w="0" w:type="dxa"/>
            <w:left w:w="0" w:type="dxa"/>
            <w:bottom w:w="0" w:type="dxa"/>
            <w:right w:w="0" w:type="dxa"/>
          </w:tblCellMar>
        </w:tblPrEx>
        <w:trPr>
          <w:gridAfter w:val="2"/>
          <w:wAfter w:w="1758" w:type="dxa"/>
          <w:cantSplit/>
          <w:trHeight w:val="1320"/>
        </w:trPr>
        <w:tc>
          <w:tcPr>
            <w:tcW w:w="5897" w:type="dxa"/>
          </w:tcPr>
          <w:p w:rsidR="00997ED7" w:rsidRPr="00997ED7" w:rsidRDefault="00997ED7">
            <w:pPr>
              <w:pStyle w:val="HuvudRubrik"/>
            </w:pPr>
            <w:r w:rsidRPr="00997ED7">
              <w:t>Regeringskansliet</w:t>
            </w:r>
          </w:p>
          <w:p w:rsidR="00997ED7" w:rsidRPr="00997ED7" w:rsidRDefault="00997ED7">
            <w:pPr>
              <w:pStyle w:val="HuvudRubrik"/>
            </w:pPr>
            <w:r w:rsidRPr="00997ED7">
              <w:t>Faktapromemoria  2008/09:FPM23</w:t>
            </w:r>
          </w:p>
        </w:tc>
      </w:tr>
      <w:tr w:rsidR="00000000" w:rsidRPr="00997ED7">
        <w:tblPrEx>
          <w:tblCellMar>
            <w:top w:w="0" w:type="dxa"/>
            <w:left w:w="0" w:type="dxa"/>
            <w:bottom w:w="0" w:type="dxa"/>
            <w:right w:w="0" w:type="dxa"/>
          </w:tblCellMar>
        </w:tblPrEx>
        <w:trPr>
          <w:gridAfter w:val="2"/>
          <w:wAfter w:w="1758" w:type="dxa"/>
          <w:cantSplit/>
          <w:trHeight w:val="240"/>
        </w:trPr>
        <w:tc>
          <w:tcPr>
            <w:tcW w:w="5897" w:type="dxa"/>
          </w:tcPr>
          <w:p w:rsidR="00997ED7" w:rsidRPr="00997ED7" w:rsidRDefault="00997ED7">
            <w:pPr>
              <w:pStyle w:val="HuvudRubrik"/>
              <w:rPr>
                <w:sz w:val="28"/>
              </w:rPr>
            </w:pPr>
            <w:r w:rsidRPr="00997ED7">
              <w:t>Rådsrekommendation om unga volontärers rörlighet i Europa</w:t>
            </w:r>
          </w:p>
        </w:tc>
      </w:tr>
      <w:tr w:rsidR="00000000" w:rsidRPr="00997ED7">
        <w:tblPrEx>
          <w:tblCellMar>
            <w:top w:w="0" w:type="dxa"/>
            <w:left w:w="0" w:type="dxa"/>
            <w:bottom w:w="0" w:type="dxa"/>
            <w:right w:w="0" w:type="dxa"/>
          </w:tblCellMar>
        </w:tblPrEx>
        <w:trPr>
          <w:cantSplit/>
          <w:trHeight w:val="285"/>
        </w:trPr>
        <w:tc>
          <w:tcPr>
            <w:tcW w:w="7655" w:type="dxa"/>
            <w:gridSpan w:val="3"/>
          </w:tcPr>
          <w:p w:rsidR="00997ED7" w:rsidRPr="00997ED7" w:rsidRDefault="00997ED7">
            <w:pPr>
              <w:pStyle w:val="Departement"/>
              <w:rPr>
                <w:sz w:val="28"/>
              </w:rPr>
            </w:pPr>
            <w:r w:rsidRPr="00997ED7">
              <w:t>Integrations- och jämställdhetsdepartementet</w:t>
            </w:r>
          </w:p>
        </w:tc>
      </w:tr>
      <w:tr w:rsidR="00000000" w:rsidRPr="00997ED7">
        <w:tblPrEx>
          <w:tblCellMar>
            <w:top w:w="0" w:type="dxa"/>
            <w:left w:w="0" w:type="dxa"/>
            <w:bottom w:w="0" w:type="dxa"/>
            <w:right w:w="0" w:type="dxa"/>
          </w:tblCellMar>
        </w:tblPrEx>
        <w:trPr>
          <w:cantSplit/>
          <w:trHeight w:val="240"/>
        </w:trPr>
        <w:tc>
          <w:tcPr>
            <w:tcW w:w="7655" w:type="dxa"/>
            <w:gridSpan w:val="3"/>
          </w:tcPr>
          <w:p w:rsidR="00997ED7" w:rsidRPr="00997ED7" w:rsidRDefault="00997ED7">
            <w:pPr>
              <w:pStyle w:val="Dokumentdatum"/>
            </w:pPr>
            <w:r w:rsidRPr="00997ED7">
              <w:t>2008-11-05</w:t>
            </w:r>
          </w:p>
        </w:tc>
      </w:tr>
      <w:tr w:rsidR="00000000" w:rsidRPr="00997ED7">
        <w:tblPrEx>
          <w:tblCellMar>
            <w:top w:w="0" w:type="dxa"/>
            <w:left w:w="0" w:type="dxa"/>
            <w:bottom w:w="0" w:type="dxa"/>
            <w:right w:w="0" w:type="dxa"/>
          </w:tblCellMar>
        </w:tblPrEx>
        <w:trPr>
          <w:cantSplit/>
          <w:trHeight w:val="726"/>
        </w:trPr>
        <w:tc>
          <w:tcPr>
            <w:tcW w:w="7655" w:type="dxa"/>
            <w:gridSpan w:val="3"/>
            <w:vAlign w:val="bottom"/>
          </w:tcPr>
          <w:p w:rsidR="00997ED7" w:rsidRPr="00997ED7" w:rsidRDefault="00997ED7">
            <w:pPr>
              <w:pStyle w:val="Dokumentbeteckning"/>
            </w:pPr>
            <w:r w:rsidRPr="00997ED7">
              <w:t>Dokumentbeteckning</w:t>
            </w:r>
          </w:p>
        </w:tc>
      </w:tr>
      <w:tr w:rsidR="00000000" w:rsidRPr="00997ED7">
        <w:tblPrEx>
          <w:tblCellMar>
            <w:top w:w="0" w:type="dxa"/>
            <w:left w:w="0" w:type="dxa"/>
            <w:bottom w:w="0" w:type="dxa"/>
            <w:right w:w="0" w:type="dxa"/>
          </w:tblCellMar>
        </w:tblPrEx>
        <w:trPr>
          <w:gridAfter w:val="1"/>
          <w:wAfter w:w="1560" w:type="dxa"/>
          <w:trHeight w:val="120"/>
        </w:trPr>
        <w:tc>
          <w:tcPr>
            <w:tcW w:w="6095" w:type="dxa"/>
            <w:gridSpan w:val="2"/>
          </w:tcPr>
          <w:p w:rsidR="00997ED7" w:rsidRPr="00997ED7" w:rsidRDefault="00997ED7">
            <w:bookmarkStart w:id="0" w:name="KomNr"/>
            <w:bookmarkEnd w:id="0"/>
            <w:r w:rsidRPr="00997ED7">
              <w:t>KOM (2008) 424</w:t>
            </w:r>
          </w:p>
        </w:tc>
      </w:tr>
      <w:tr w:rsidR="00000000" w:rsidRPr="00997ED7">
        <w:tblPrEx>
          <w:tblCellMar>
            <w:top w:w="0" w:type="dxa"/>
            <w:left w:w="0" w:type="dxa"/>
            <w:bottom w:w="0" w:type="dxa"/>
            <w:right w:w="0" w:type="dxa"/>
          </w:tblCellMar>
        </w:tblPrEx>
        <w:trPr>
          <w:gridAfter w:val="1"/>
          <w:wAfter w:w="1560" w:type="dxa"/>
          <w:trHeight w:val="120"/>
        </w:trPr>
        <w:tc>
          <w:tcPr>
            <w:tcW w:w="6095" w:type="dxa"/>
            <w:gridSpan w:val="2"/>
          </w:tcPr>
          <w:p w:rsidR="00997ED7" w:rsidRPr="00997ED7" w:rsidRDefault="00997ED7">
            <w:pPr>
              <w:pStyle w:val="Dokumentbeteckning-titel"/>
            </w:pPr>
            <w:r w:rsidRPr="00997ED7">
              <w:t>Förslag från kommissionen till rådet om en rådsrekommendation om unga volontärers rörlighet i Europa</w:t>
            </w:r>
          </w:p>
        </w:tc>
      </w:tr>
    </w:tbl>
    <w:p w:rsidR="00997ED7" w:rsidRPr="00997ED7" w:rsidRDefault="00997ED7"/>
    <w:p w:rsidR="00997ED7" w:rsidRPr="00997ED7" w:rsidRDefault="00997ED7">
      <w:pPr>
        <w:pStyle w:val="Rubrik1"/>
        <w:numPr>
          <w:ilvl w:val="0"/>
          <w:numId w:val="0"/>
        </w:numPr>
      </w:pPr>
      <w:r w:rsidRPr="00997ED7">
        <w:t>Sammanfattning</w:t>
      </w:r>
    </w:p>
    <w:p w:rsidR="00997ED7" w:rsidRPr="00997ED7" w:rsidRDefault="00997ED7">
      <w:r w:rsidRPr="00997ED7">
        <w:t>Kommissionen presenterade den 3 juli 2008 ett förslag till rådsrekommen</w:t>
      </w:r>
      <w:r w:rsidRPr="00997ED7">
        <w:softHyphen/>
        <w:t>dation om unga volontärers rörlighet i Europa. Kommissionen föreslår att rådet antar en rekommendation för att främja unga volontärers rörlighet i Europa.</w:t>
      </w:r>
    </w:p>
    <w:p w:rsidR="00997ED7" w:rsidRPr="00997ED7" w:rsidRDefault="00997ED7">
      <w:pPr>
        <w:ind w:firstLine="142"/>
      </w:pPr>
      <w:r w:rsidRPr="00997ED7">
        <w:t xml:space="preserve">Kommissionen menar att </w:t>
      </w:r>
      <w:r w:rsidRPr="00997ED7">
        <w:t>u</w:t>
      </w:r>
      <w:r w:rsidRPr="00997ED7">
        <w:t>nga som vill arbeta som volontärer i ett annat land i Europa inte har tillräckliga möjligheter att göra det.</w:t>
      </w:r>
      <w:r w:rsidRPr="00997ED7">
        <w:t xml:space="preserve"> </w:t>
      </w:r>
      <w:r w:rsidRPr="00997ED7">
        <w:t>Det föreslagna initiativet syftar till att öka unga volontärers rörlighet i hela Europa.</w:t>
      </w:r>
      <w:r w:rsidRPr="00997ED7">
        <w:t xml:space="preserve"> </w:t>
      </w:r>
      <w:r w:rsidRPr="00997ED7">
        <w:t>Positiva sidoeffekter av detta kommer enligt kommissionen att vara fler möjligheter till icke-formell utbildning samt ökad anställbarhet, konkurrenskraft, social integration och en tydligare känsla av medborgarskap.</w:t>
      </w:r>
      <w:r w:rsidRPr="00997ED7">
        <w:t xml:space="preserve"> </w:t>
      </w:r>
      <w:r w:rsidRPr="00997ED7">
        <w:t>Rekommendationen gäller volontärarbete, som klart ska skiljas från anställning utomlands under en</w:t>
      </w:r>
      <w:r w:rsidRPr="00997ED7">
        <w:t xml:space="preserve"> begränsad period, vanligtvis i flera månader, och som beskrivs i kommissionens meddelande från 2004 ”Uppföljning av vitboken Nya insatser för Europas ungdom - Förslag till gemensamma mål för volontärarbete bland ungdomar efter rådets resolution av den 27 juni 2002 om ramar för det europeiska samarbetet på ungdomsområdet”</w:t>
      </w:r>
      <w:r w:rsidRPr="00997ED7">
        <w:rPr>
          <w:rStyle w:val="Fotnotsreferens"/>
        </w:rPr>
        <w:footnoteReference w:id="1"/>
      </w:r>
      <w:r w:rsidRPr="00997ED7">
        <w:t>.</w:t>
      </w:r>
      <w:r w:rsidRPr="00997ED7">
        <w:t xml:space="preserve"> </w:t>
      </w:r>
    </w:p>
    <w:p w:rsidR="00997ED7" w:rsidRPr="00997ED7" w:rsidRDefault="00997ED7"/>
    <w:p w:rsidR="00997ED7" w:rsidRPr="00997ED7" w:rsidRDefault="00997ED7">
      <w:pPr>
        <w:spacing w:before="0"/>
        <w:ind w:firstLine="142"/>
      </w:pPr>
      <w:r w:rsidRPr="00997ED7">
        <w:lastRenderedPageBreak/>
        <w:t>På grundval av befintliga resolutioner</w:t>
      </w:r>
      <w:r w:rsidRPr="00997ED7">
        <w:rPr>
          <w:rStyle w:val="Fotnotsreferens"/>
        </w:rPr>
        <w:footnoteReference w:id="2"/>
      </w:r>
      <w:r w:rsidRPr="00997ED7">
        <w:t xml:space="preserve"> om unga volontärer och rekommendationer om rörlighet</w:t>
      </w:r>
      <w:r w:rsidRPr="00997ED7">
        <w:rPr>
          <w:rStyle w:val="Fotnotsreferens"/>
        </w:rPr>
        <w:footnoteReference w:id="3"/>
      </w:r>
      <w:r w:rsidRPr="00997ED7">
        <w:t xml:space="preserve"> är kommissionens mål att lägga fram praktiska rekommendationer för att förbättra unga volontärers rörlighet i Europa.</w:t>
      </w:r>
      <w:r w:rsidRPr="00997ED7">
        <w:t xml:space="preserve"> </w:t>
      </w:r>
      <w:r w:rsidRPr="00997ED7">
        <w:t>Rekommendationen kommer att vara en del av EU:s initiativ om en förnyad social agenda:</w:t>
      </w:r>
      <w:r w:rsidRPr="00997ED7">
        <w:t xml:space="preserve"> </w:t>
      </w:r>
      <w:r w:rsidRPr="00997ED7">
        <w:t>Möjligheter, tillgång och solidaritet i framtidens Europa.</w:t>
      </w:r>
    </w:p>
    <w:p w:rsidR="00997ED7" w:rsidRPr="00997ED7" w:rsidRDefault="00997ED7">
      <w:pPr>
        <w:spacing w:before="0"/>
        <w:ind w:firstLine="142"/>
      </w:pPr>
    </w:p>
    <w:p w:rsidR="00997ED7" w:rsidRPr="00997ED7" w:rsidRDefault="00997ED7">
      <w:pPr>
        <w:spacing w:before="0"/>
        <w:ind w:firstLine="142"/>
      </w:pPr>
      <w:r w:rsidRPr="00997ED7">
        <w:rPr>
          <w:szCs w:val="19"/>
        </w:rPr>
        <w:t>Den svenska regeringen kan ställa sig generellt positiv till att främja mobilitet för unga volontärer i EU. Ett flertal av förslagen strider dock mot principerna för hur Sverige ser på och organiserar frivilligt och ideellt arbete, inte minst vad gäller principen om de ideella organisationernas självständighet.</w:t>
      </w:r>
    </w:p>
    <w:p w:rsidR="00997ED7" w:rsidRPr="00997ED7" w:rsidRDefault="00997ED7"/>
    <w:p w:rsidR="00997ED7" w:rsidRPr="00997ED7" w:rsidRDefault="00997ED7">
      <w:pPr>
        <w:pStyle w:val="Rubrik1"/>
      </w:pPr>
      <w:r w:rsidRPr="00997ED7">
        <w:t>Förslaget</w:t>
      </w:r>
    </w:p>
    <w:p w:rsidR="00997ED7" w:rsidRPr="00997ED7" w:rsidRDefault="00997ED7">
      <w:pPr>
        <w:pStyle w:val="Rubrik2"/>
      </w:pPr>
      <w:r w:rsidRPr="00997ED7">
        <w:t>Ärendets bakgrund</w:t>
      </w:r>
    </w:p>
    <w:p w:rsidR="00997ED7" w:rsidRPr="00997ED7" w:rsidRDefault="00997ED7">
      <w:pPr>
        <w:ind w:firstLine="142"/>
      </w:pPr>
      <w:r w:rsidRPr="00997ED7">
        <w:t xml:space="preserve">Kommissionen har med stöd av ett antal medlemsstater under flera år velat utveckla arbetet på volontärområdet ytterligare. Under Portugals ordförandeskap hösten 2007 inleddes en mer konkret diskussion i rådsarbetsgruppen för ungdomsfrågor om behovet av ett nytt EU-instrument för att främja ungas volontäraktiviteter. </w:t>
      </w:r>
    </w:p>
    <w:p w:rsidR="00997ED7" w:rsidRPr="00997ED7" w:rsidRDefault="00997ED7">
      <w:pPr>
        <w:ind w:firstLine="142"/>
      </w:pPr>
      <w:r w:rsidRPr="00997ED7">
        <w:t>Situationen när det gäller volontärarbete för unga varierar mycket från en medlemsstat till en annan.</w:t>
      </w:r>
      <w:r w:rsidRPr="00997ED7">
        <w:t xml:space="preserve"> </w:t>
      </w:r>
      <w:r w:rsidRPr="00997ED7">
        <w:t>Volontärarbete kan vara allmännyttiga tjänster som organiseras av offentliga myndigheter eller verksamhet som organiseras av det civila samhället.</w:t>
      </w:r>
      <w:r w:rsidRPr="00997ED7">
        <w:t xml:space="preserve"> </w:t>
      </w:r>
      <w:r w:rsidRPr="00997ED7">
        <w:t>I sitt förslag strävar kommissionen efter en lösning där alla befintliga system för volontärarbete skulle kunna samverka.</w:t>
      </w:r>
      <w:r w:rsidRPr="00997ED7">
        <w:t xml:space="preserve"> S</w:t>
      </w:r>
      <w:r w:rsidRPr="00997ED7">
        <w:t>amråd med berörda parter, volontär- och ungdomsorganisationer samt medlemsstaterna har föregått utarbetandet av initiativet.</w:t>
      </w:r>
      <w:r w:rsidRPr="00997ED7">
        <w:t xml:space="preserve"> </w:t>
      </w:r>
    </w:p>
    <w:p w:rsidR="00997ED7" w:rsidRPr="00997ED7" w:rsidRDefault="00997ED7">
      <w:pPr>
        <w:ind w:firstLine="142"/>
      </w:pPr>
      <w:r w:rsidRPr="00997ED7">
        <w:t>Att främja ungas volontärverksamhet/ideella engagemang är ett av de fyra övergripande målen för det ungdomspolitisk</w:t>
      </w:r>
      <w:r w:rsidRPr="00997ED7">
        <w:t>a samarbetet i EU.</w:t>
      </w:r>
    </w:p>
    <w:p w:rsidR="00997ED7" w:rsidRPr="00997ED7" w:rsidRDefault="00997ED7">
      <w:pPr>
        <w:pStyle w:val="Rubrik2"/>
      </w:pPr>
      <w:r w:rsidRPr="00997ED7">
        <w:t>Förslagets innehåll</w:t>
      </w:r>
    </w:p>
    <w:p w:rsidR="00997ED7" w:rsidRPr="00997ED7" w:rsidRDefault="00997ED7">
      <w:r w:rsidRPr="00997ED7">
        <w:t>I utkastet till rekommendation föreslås att rådet ska rekommendera medlemsstaterna att främja rörligheten för unga volontärer över hela Europa genom att öka samverkan mellan de olika nationella systemen för volontärarbete så att alla ungdomar som vill ska få möjlighet att arbeta som volontärer i Europa.</w:t>
      </w:r>
    </w:p>
    <w:p w:rsidR="00997ED7" w:rsidRPr="00997ED7" w:rsidRDefault="00997ED7"/>
    <w:p w:rsidR="00997ED7" w:rsidRPr="00997ED7" w:rsidRDefault="00997ED7">
      <w:r w:rsidRPr="00997ED7">
        <w:t xml:space="preserve">Medlemsstaterna rekommenderas att göra bland annat följande: </w:t>
      </w:r>
    </w:p>
    <w:p w:rsidR="00997ED7" w:rsidRPr="00997ED7" w:rsidRDefault="00997ED7">
      <w:r w:rsidRPr="00997ED7">
        <w:t>- öka kunskaperna om systemen för volontärarbete inom deras nationella territorium och överföra denna information till Europeiska kommissionen för vidare spridning,</w:t>
      </w:r>
    </w:p>
    <w:p w:rsidR="00997ED7" w:rsidRPr="00997ED7" w:rsidRDefault="00997ED7">
      <w:r w:rsidRPr="00997ED7">
        <w:t xml:space="preserve"> - göra informationen om möjligheterna att arbeta som volontär utomlands lättillgänglig och sprida information till alla berörda parter om vilka rättigheter och möjligheter som finns när det gäller gränsöverskridande volontärarbete,</w:t>
      </w:r>
    </w:p>
    <w:p w:rsidR="00997ED7" w:rsidRPr="00997ED7" w:rsidRDefault="00997ED7">
      <w:r w:rsidRPr="00997ED7">
        <w:t>- utbyta information om möjligheterna till volontärarbete med andra medlemsstater och förenkla ansökningsförfarandena för att göra det lättare för unga volontärer att ansöka om volontärtjänst enligt ett nationellt system i en annan medlemsstat,</w:t>
      </w:r>
    </w:p>
    <w:p w:rsidR="00997ED7" w:rsidRPr="00997ED7" w:rsidRDefault="00997ED7">
      <w:r w:rsidRPr="00997ED7">
        <w:t>- utveckla möjligheter för gränsöverskridande europeiskt volontärarbete enligt en flexibel metod,</w:t>
      </w:r>
    </w:p>
    <w:p w:rsidR="00997ED7" w:rsidRPr="00997ED7" w:rsidRDefault="00997ED7">
      <w:r w:rsidRPr="00997ED7">
        <w:t>- minska de språkliga hindren för unga volontärers gränsöverskridande rörlighet genom att uppmuntra volontärerna att lära sig språk,</w:t>
      </w:r>
    </w:p>
    <w:p w:rsidR="00997ED7" w:rsidRPr="00997ED7" w:rsidRDefault="00997ED7">
      <w:r w:rsidRPr="00997ED7">
        <w:t>- utveckla grundläggande kvalitetsstandarder för att främja rimlig kvalitetssäkring så att volontärer som arbetar i ett annat land får garantier och skydd och sprida information om sådana kvalitetsstandarder,</w:t>
      </w:r>
    </w:p>
    <w:p w:rsidR="00997ED7" w:rsidRPr="00997ED7" w:rsidRDefault="00997ED7">
      <w:r w:rsidRPr="00997ED7">
        <w:t>- ytterligare undersöka de relevanta bestämmelserna om social trygghet i syfte att fullt ut utnyttja de möjligheter som finns enligt EU:s och medlemsstaternas lagstiftning,</w:t>
      </w:r>
    </w:p>
    <w:p w:rsidR="00997ED7" w:rsidRPr="00997ED7" w:rsidRDefault="00997ED7">
      <w:r w:rsidRPr="00997ED7">
        <w:t>- vidta åtgärder för att garantera att den form av icke-formellt lärande som volontärarbetet innebär för ungdomarna erkänns inom de nationella systemen för kvalifikationer och i överensstämmelse med gemenskapens bestämmelser, om sådana finns,</w:t>
      </w:r>
    </w:p>
    <w:p w:rsidR="00997ED7" w:rsidRPr="00997ED7" w:rsidRDefault="00997ED7">
      <w:r w:rsidRPr="00997ED7">
        <w:t>- öka den gränsöverskridande rörligheten för personer som arbetar med ungdomar och ungdomsledare inom gränsöverskridande volontärarbete,</w:t>
      </w:r>
    </w:p>
    <w:p w:rsidR="00997ED7" w:rsidRPr="00997ED7" w:rsidRDefault="00997ED7">
      <w:r w:rsidRPr="00997ED7">
        <w:t>- utveckla information och utbildning om gränsöverskridande volontärarbete för unga i Europa som riktas till ungdomsledare och socialpedagoger som arbetar med ungdomar inom organisationer, lokala myndigheter eller allmännyttiga tjänster,</w:t>
      </w:r>
    </w:p>
    <w:p w:rsidR="00997ED7" w:rsidRPr="00997ED7" w:rsidRDefault="00997ED7">
      <w:r w:rsidRPr="00997ED7">
        <w:t>- särskilt uppmärksamma och ge skräddarsydda lösningar till unga med begränsade möjligheter.</w:t>
      </w:r>
    </w:p>
    <w:p w:rsidR="00997ED7" w:rsidRPr="00997ED7" w:rsidRDefault="00997ED7"/>
    <w:p w:rsidR="00997ED7" w:rsidRPr="00997ED7" w:rsidRDefault="00997ED7">
      <w:r w:rsidRPr="00997ED7">
        <w:t>Enligt förslaget till rekommendation stöder medlemsstaterna vidare kommissionens avsikt att:</w:t>
      </w:r>
    </w:p>
    <w:p w:rsidR="00997ED7" w:rsidRPr="00997ED7" w:rsidRDefault="00997ED7">
      <w:r w:rsidRPr="00997ED7">
        <w:t>- stödja medlemsstaterna i de ovannämnda uppgifterna genom att använda ramarna för EU-samarbetet på ungdomsområdet,</w:t>
      </w:r>
    </w:p>
    <w:p w:rsidR="00997ED7" w:rsidRPr="00997ED7" w:rsidRDefault="00997ED7">
      <w:r w:rsidRPr="00997ED7">
        <w:t>- i samarbete med medlemsstaterna uppmuntra och organisera ett systematiskt utbyte av information och erfarenheter när det gäller samverkan mellan de olika nationella systemen för volontärarbete,</w:t>
      </w:r>
    </w:p>
    <w:p w:rsidR="00997ED7" w:rsidRPr="00997ED7" w:rsidRDefault="00997ED7">
      <w:r w:rsidRPr="00997ED7">
        <w:t>- utveckla en EU-portal för unga volontärer baserat på nationella volontärportaler för unga, databaser eller särskilda webbplatser,</w:t>
      </w:r>
    </w:p>
    <w:p w:rsidR="00997ED7" w:rsidRPr="00997ED7" w:rsidRDefault="00997ED7">
      <w:r w:rsidRPr="00997ED7">
        <w:t>- avlägga en rapport till rådet fyra år efter antagandet av rekommendationen för att fastställa om de föreslagna åtgärderna är effektiva och bedöma om det finns behov av ytterligare åtgärder.</w:t>
      </w:r>
    </w:p>
    <w:p w:rsidR="00997ED7" w:rsidRPr="00997ED7" w:rsidRDefault="00997ED7"/>
    <w:p w:rsidR="00997ED7" w:rsidRPr="00997ED7" w:rsidRDefault="00997ED7">
      <w:pPr>
        <w:pStyle w:val="Rubrik2"/>
      </w:pPr>
      <w:r w:rsidRPr="00997ED7">
        <w:t>Gällande svenska regler och förslagets effekt på dessa</w:t>
      </w:r>
    </w:p>
    <w:p w:rsidR="00997ED7" w:rsidRPr="00997ED7" w:rsidRDefault="00997ED7">
      <w:pPr>
        <w:ind w:firstLine="142"/>
      </w:pPr>
      <w:r w:rsidRPr="00997ED7">
        <w:t>Inga konsekvenser för svensk lagstiftning förutses.</w:t>
      </w:r>
    </w:p>
    <w:p w:rsidR="00997ED7" w:rsidRPr="00997ED7" w:rsidRDefault="00997ED7">
      <w:pPr>
        <w:pStyle w:val="Rubrik2"/>
      </w:pPr>
      <w:r w:rsidRPr="00997ED7">
        <w:t>Budgetära konsekvenser / Konsekvensanalys</w:t>
      </w:r>
    </w:p>
    <w:p w:rsidR="00997ED7" w:rsidRPr="00997ED7" w:rsidRDefault="00997ED7"/>
    <w:p w:rsidR="00997ED7" w:rsidRPr="00997ED7" w:rsidRDefault="00997ED7">
      <w:r w:rsidRPr="00997ED7">
        <w:t>Genomförandet av rekommendationen skulle kunna komma att innebära</w:t>
      </w:r>
      <w:r w:rsidRPr="00997ED7">
        <w:rPr>
          <w:strike/>
        </w:rPr>
        <w:t xml:space="preserve">  </w:t>
      </w:r>
      <w:r w:rsidRPr="00997ED7">
        <w:t>budgetära konsekvenser i Sverige och i övriga medlemsstater för att inrätta vissa funktioner, såsom informationsfunktioner, kunskapsinhämtning och utbyte, kostnader för utbildning m.m. Det är varje medlemsstat som bedömer vilka åtgärder som bör genomföras. Finansieringen av de rekommenderade åtgärderna, såsom de presenterats i kommissionens förslag, bedöms inte</w:t>
      </w:r>
      <w:r w:rsidRPr="00997ED7">
        <w:rPr>
          <w:color w:val="FF0000"/>
        </w:rPr>
        <w:t xml:space="preserve"> </w:t>
      </w:r>
      <w:r w:rsidRPr="00997ED7">
        <w:t xml:space="preserve"> kunna hanteras inom befintliga ramar eller genom omfördelningar inom utgiftsområdet.</w:t>
      </w:r>
    </w:p>
    <w:p w:rsidR="00997ED7" w:rsidRPr="00997ED7" w:rsidRDefault="00997ED7"/>
    <w:p w:rsidR="00997ED7" w:rsidRPr="00997ED7" w:rsidRDefault="00997ED7">
      <w:pPr>
        <w:rPr>
          <w:color w:val="000000"/>
          <w:szCs w:val="18"/>
        </w:rPr>
      </w:pPr>
      <w:r w:rsidRPr="00997ED7">
        <w:rPr>
          <w:color w:val="000000"/>
          <w:szCs w:val="18"/>
        </w:rPr>
        <w:t xml:space="preserve">Under de förhandlingar av förslaget som ägt rum </w:t>
      </w:r>
      <w:r w:rsidRPr="00997ED7">
        <w:t xml:space="preserve">i rådsarbetsgruppen för ungdomsfrågor under hösten har sådana ändringar gjorts i dokumentet som innebär att finansieringen av de rekommenderade åtgärderna nu bedöms kunna </w:t>
      </w:r>
      <w:r w:rsidRPr="00997ED7">
        <w:rPr>
          <w:color w:val="000000"/>
          <w:szCs w:val="18"/>
        </w:rPr>
        <w:t>hanteras inom befintliga ramar eller genom omfördelningar inom utgiftsområdet.</w:t>
      </w:r>
    </w:p>
    <w:p w:rsidR="00997ED7" w:rsidRPr="00997ED7" w:rsidRDefault="00997ED7"/>
    <w:p w:rsidR="00997ED7" w:rsidRPr="00997ED7" w:rsidRDefault="00997ED7">
      <w:pPr>
        <w:pStyle w:val="Rubrik1"/>
      </w:pPr>
      <w:r w:rsidRPr="00997ED7">
        <w:t>Ståndpunkter</w:t>
      </w:r>
    </w:p>
    <w:p w:rsidR="00997ED7" w:rsidRPr="00997ED7" w:rsidRDefault="00997ED7">
      <w:pPr>
        <w:pStyle w:val="Rubrik2"/>
      </w:pPr>
      <w:r w:rsidRPr="00997ED7">
        <w:t>Preliminär svensk ståndpunkt</w:t>
      </w:r>
    </w:p>
    <w:p w:rsidR="00997ED7" w:rsidRPr="00997ED7" w:rsidRDefault="00997ED7"/>
    <w:p w:rsidR="00997ED7" w:rsidRPr="00997ED7" w:rsidRDefault="00997ED7">
      <w:r w:rsidRPr="00997ED7">
        <w:t xml:space="preserve">Som tidigare nämnts kan den svenska regeringen ställa sig generellt positiv till att främja mobilitet för unga volontärer i EU och till mycket som sägs i förslaget om förtjänsterna av att verka som volontär. Ett flertal av kommissionens förslag strider dock mot principerna för hur Sverige ser på och organiserar frivilligt och ideellt arbete. </w:t>
      </w:r>
    </w:p>
    <w:p w:rsidR="00997ED7" w:rsidRPr="00997ED7" w:rsidRDefault="00997ED7"/>
    <w:p w:rsidR="00997ED7" w:rsidRPr="00997ED7" w:rsidRDefault="00997ED7">
      <w:r w:rsidRPr="00997ED7">
        <w:t>Den svenska regeringen anser att det är olyckligt att tala om “interoperabilitet”, vilket leder tankarna till och kräver viss harmonisering av nationella system, något det inte finns stöd för i fördraget. Även uttrycket “national schemes” är problematiskt ur svensk synvinkel då det antyder att det finns en sammanhållen verksamhet som styrs av staten, vilket är fallet endast i ett fåtal medlemsstater. Förslaget att utveckla kvalitetsstandarder och att säkerställa respekten för sådana går emot den svenska pri</w:t>
      </w:r>
      <w:r w:rsidRPr="00997ED7">
        <w:t>ncipen om föreningslivets självständighet.</w:t>
      </w:r>
    </w:p>
    <w:p w:rsidR="00997ED7" w:rsidRPr="00997ED7" w:rsidRDefault="00997ED7"/>
    <w:p w:rsidR="00997ED7" w:rsidRPr="00997ED7" w:rsidRDefault="00997ED7">
      <w:r w:rsidRPr="00997ED7">
        <w:t xml:space="preserve">Kommissionen har inte kunnat tillhandahålla en tillfredsställande beräkning och analys av kostnaderna för genomförandet av rekommendationen och av vem som skulle täcka dessa kostnader. </w:t>
      </w:r>
    </w:p>
    <w:p w:rsidR="00997ED7" w:rsidRPr="00997ED7" w:rsidRDefault="00997ED7"/>
    <w:p w:rsidR="00997ED7" w:rsidRPr="00997ED7" w:rsidRDefault="00997ED7">
      <w:r w:rsidRPr="00997ED7">
        <w:t>Regeringens ståndpunkt är att kostnaderna måste analyseras noggrant och att finansieringen av de rekommenderade åtgärderna måste hanteras inom befintliga ramar eller genom omfördelningar inom utgiftsområdet.</w:t>
      </w:r>
    </w:p>
    <w:p w:rsidR="00997ED7" w:rsidRPr="00997ED7" w:rsidRDefault="00997ED7"/>
    <w:p w:rsidR="00997ED7" w:rsidRPr="00997ED7" w:rsidRDefault="00997ED7">
      <w:r w:rsidRPr="00997ED7">
        <w:t>Under de förhandlingar som ägt rum i rådsarbetsgruppen för ungdomsfrågor under hösten har den svenska regeringen tillsammans med likasinnade medlemsstater framfört sina ståndpunkter.</w:t>
      </w:r>
    </w:p>
    <w:p w:rsidR="00997ED7" w:rsidRPr="00997ED7" w:rsidRDefault="00997ED7">
      <w:pPr>
        <w:pStyle w:val="Rubrik2"/>
      </w:pPr>
      <w:r w:rsidRPr="00997ED7">
        <w:t>Medlemsstaternas ståndpunkter</w:t>
      </w:r>
    </w:p>
    <w:p w:rsidR="00997ED7" w:rsidRPr="00997ED7" w:rsidRDefault="00997ED7">
      <w:pPr>
        <w:ind w:firstLine="142"/>
      </w:pPr>
      <w:r w:rsidRPr="00997ED7">
        <w:t>Ett antal medlemsstater har tillsammans med den svenska regeringen framfört tveksamheter kring ungefär samma frågor. Dessa tveksamheter har rört sig om bland annat begreppet ”interoperabilitet”, budgetära konsekvenser och kvalitetssäkring. Flera medlemsstater har även framfört att de inte har ett centraliserat system för volontärverksamhet och inte heller har för avsikt att upprätta ett sådant system.</w:t>
      </w:r>
    </w:p>
    <w:p w:rsidR="00997ED7" w:rsidRPr="00997ED7" w:rsidRDefault="00997ED7">
      <w:pPr>
        <w:pStyle w:val="Rubrik2"/>
      </w:pPr>
      <w:r w:rsidRPr="00997ED7">
        <w:t>Institutionernas ståndpunkter</w:t>
      </w:r>
    </w:p>
    <w:p w:rsidR="00997ED7" w:rsidRPr="00997ED7" w:rsidRDefault="00997ED7"/>
    <w:p w:rsidR="00997ED7" w:rsidRPr="00997ED7" w:rsidRDefault="00997ED7">
      <w:r w:rsidRPr="00997ED7">
        <w:t>Institutionernas ståndpunkter är ännu inte kända.</w:t>
      </w:r>
    </w:p>
    <w:p w:rsidR="00997ED7" w:rsidRPr="00997ED7" w:rsidRDefault="00997ED7">
      <w:pPr>
        <w:pStyle w:val="Rubrik2"/>
      </w:pPr>
      <w:r w:rsidRPr="00997ED7">
        <w:t>Remissinstansernas ståndpunkter</w:t>
      </w:r>
    </w:p>
    <w:p w:rsidR="00997ED7" w:rsidRPr="00997ED7" w:rsidRDefault="00997ED7">
      <w:pPr>
        <w:ind w:firstLine="142"/>
      </w:pPr>
      <w:r w:rsidRPr="00997ED7">
        <w:t>Förslaget till rekommendation har inte gått på remiss.</w:t>
      </w:r>
    </w:p>
    <w:p w:rsidR="00997ED7" w:rsidRPr="00997ED7" w:rsidRDefault="00997ED7">
      <w:pPr>
        <w:pStyle w:val="Rubrik1"/>
      </w:pPr>
      <w:r w:rsidRPr="00997ED7">
        <w:t>Förslagets förutsättningar</w:t>
      </w:r>
    </w:p>
    <w:p w:rsidR="00997ED7" w:rsidRPr="00997ED7" w:rsidRDefault="00997ED7">
      <w:pPr>
        <w:pStyle w:val="Rubrik2"/>
      </w:pPr>
      <w:r w:rsidRPr="00997ED7">
        <w:t>Rättslig grund och beslutsförfarande</w:t>
      </w:r>
    </w:p>
    <w:p w:rsidR="00997ED7" w:rsidRPr="00997ED7" w:rsidRDefault="00997ED7">
      <w:r w:rsidRPr="00997ED7">
        <w:t>Det ungdomspolitiska samarbetet styrs av artikel 149 i EG-fördraget och beslut om rådsrekommendationer kräver kvalificerad majoritet.</w:t>
      </w:r>
    </w:p>
    <w:p w:rsidR="00997ED7" w:rsidRPr="00997ED7" w:rsidRDefault="00997ED7">
      <w:pPr>
        <w:pStyle w:val="Rubrik2"/>
      </w:pPr>
      <w:r w:rsidRPr="00997ED7">
        <w:t>Subsidiaritets- och proportionalitetsprincipen</w:t>
      </w:r>
    </w:p>
    <w:p w:rsidR="00997ED7" w:rsidRPr="00997ED7" w:rsidRDefault="00997ED7">
      <w:pPr>
        <w:spacing w:before="100" w:beforeAutospacing="1" w:after="100" w:afterAutospacing="1"/>
      </w:pPr>
      <w:r w:rsidRPr="00997ED7">
        <w:t>Enligt kommissionens motivering överensstämmer förslaget med subsidiaritetsprincipen eftersom målen med förslaget inte i tillräcklig utsträckning kan uppnås av medlemsstaterna och de därför, på grund av rekommendationens omfattning och verkningar bättre kan uppnås på gemenskapsnivå. Enligt kommissionen är det svårt att genom enskilda nationella volontärsystem förbättra den gränsöverskridande aspekten av ungdomsvolontärarbete och med tanke på att EU väl känner till de problem och behov som är gemensamma för</w:t>
      </w:r>
      <w:r w:rsidRPr="00997ED7">
        <w:t xml:space="preserve"> alla medlemsstaterna är EU bäst lämpad att lägga fram en rad rekommendationer för att förbättra samverkan mellan de nationella systemen. </w:t>
      </w:r>
    </w:p>
    <w:p w:rsidR="00997ED7" w:rsidRPr="00997ED7" w:rsidRDefault="00997ED7">
      <w:r w:rsidRPr="00997ED7">
        <w:t>Enligt kommissionens motivering överensstämmer förslaget även med proportionalitetsprincipen eftersom det inte ersätter eller fastställer nationella volontärsystem. Kommissionen menar vidare att förslaget inte harmoniserar de nationella systemen och det överlåter åt medlemsstaterna att genomföra rekommendationen. Förslaget respekterar också de många olika former av ungdo</w:t>
      </w:r>
      <w:r w:rsidRPr="00997ED7">
        <w:t>msvolontärtjänster som finns i Europa.</w:t>
      </w:r>
    </w:p>
    <w:p w:rsidR="00997ED7" w:rsidRPr="00997ED7" w:rsidRDefault="00997ED7"/>
    <w:p w:rsidR="00997ED7" w:rsidRPr="00997ED7" w:rsidRDefault="00997ED7">
      <w:pPr>
        <w:pStyle w:val="Rubrik1"/>
      </w:pPr>
      <w:r w:rsidRPr="00997ED7">
        <w:t>Övrigt</w:t>
      </w:r>
    </w:p>
    <w:p w:rsidR="00997ED7" w:rsidRPr="00997ED7" w:rsidRDefault="00997ED7">
      <w:pPr>
        <w:pStyle w:val="Rubrik2"/>
      </w:pPr>
      <w:r w:rsidRPr="00997ED7">
        <w:t>Fortsatt behandling av ärendet</w:t>
      </w:r>
    </w:p>
    <w:p w:rsidR="00997ED7" w:rsidRPr="00997ED7" w:rsidRDefault="00997ED7">
      <w:r w:rsidRPr="00997ED7">
        <w:t>Förslaget till rådsrekommendation behandlas under hösten 2008 i rådsarbetsgruppen för ungdomsfrågor. Förslaget kommer att tas upp för beslut i rådet (utbildning, ungdom, kultur) den 20-21 november 2008.</w:t>
      </w:r>
    </w:p>
    <w:sectPr w:rsidR="00000000" w:rsidRPr="00997ED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ED7" w:rsidRPr="00997ED7" w:rsidRDefault="00997ED7">
      <w:r w:rsidRPr="00997ED7">
        <w:separator/>
      </w:r>
    </w:p>
  </w:endnote>
  <w:endnote w:type="continuationSeparator" w:id="0">
    <w:p w:rsidR="00997ED7" w:rsidRPr="00997ED7" w:rsidRDefault="00997ED7">
      <w:r w:rsidRPr="00997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SidfotH"/>
      <w:framePr w:wrap="around"/>
    </w:pPr>
    <w:r w:rsidRPr="00997ED7">
      <w:t>2</w:t>
    </w:r>
  </w:p>
  <w:p w:rsidR="00997ED7" w:rsidRPr="00997ED7" w:rsidRDefault="00997E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SidfotH"/>
      <w:framePr w:wrap="around"/>
    </w:pPr>
    <w:r w:rsidRPr="00997ED7">
      <w:t>1</w:t>
    </w:r>
  </w:p>
  <w:p w:rsidR="00997ED7" w:rsidRPr="00997ED7" w:rsidRDefault="00997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ED7" w:rsidRPr="00997ED7" w:rsidRDefault="00997ED7">
      <w:r w:rsidRPr="00997ED7">
        <w:separator/>
      </w:r>
    </w:p>
  </w:footnote>
  <w:footnote w:type="continuationSeparator" w:id="0">
    <w:p w:rsidR="00997ED7" w:rsidRPr="00997ED7" w:rsidRDefault="00997ED7">
      <w:r w:rsidRPr="00997ED7">
        <w:continuationSeparator/>
      </w:r>
    </w:p>
  </w:footnote>
  <w:footnote w:id="1">
    <w:p w:rsidR="00997ED7" w:rsidRPr="00997ED7" w:rsidRDefault="00997ED7">
      <w:pPr>
        <w:pStyle w:val="Fotnotstext"/>
        <w:rPr>
          <w:szCs w:val="24"/>
        </w:rPr>
      </w:pPr>
      <w:r w:rsidRPr="00997ED7">
        <w:rPr>
          <w:rStyle w:val="Fotnotsreferens"/>
          <w:szCs w:val="24"/>
        </w:rPr>
        <w:footnoteRef/>
      </w:r>
      <w:r w:rsidRPr="00997ED7">
        <w:rPr>
          <w:szCs w:val="24"/>
        </w:rPr>
        <w:t xml:space="preserve"> </w:t>
      </w:r>
      <w:r w:rsidRPr="00997ED7">
        <w:rPr>
          <w:szCs w:val="24"/>
        </w:rPr>
        <w:t>KOM(2004)337 slutlig, 30.5.2004.</w:t>
      </w:r>
    </w:p>
  </w:footnote>
  <w:footnote w:id="2">
    <w:p w:rsidR="00997ED7" w:rsidRPr="00997ED7" w:rsidRDefault="00997ED7">
      <w:pPr>
        <w:pStyle w:val="Fotnotstext"/>
        <w:rPr>
          <w:szCs w:val="24"/>
        </w:rPr>
      </w:pPr>
      <w:r w:rsidRPr="00997ED7">
        <w:rPr>
          <w:rStyle w:val="Fotnotsreferens"/>
          <w:szCs w:val="24"/>
        </w:rPr>
        <w:footnoteRef/>
      </w:r>
      <w:r w:rsidRPr="00997ED7">
        <w:rPr>
          <w:szCs w:val="24"/>
        </w:rPr>
        <w:t xml:space="preserve"> </w:t>
      </w:r>
      <w:r w:rsidRPr="00997ED7">
        <w:rPr>
          <w:szCs w:val="24"/>
        </w:rPr>
        <w:t>13996/04, 15.11.2004 och 14427/07, 19.11.2007.</w:t>
      </w:r>
    </w:p>
  </w:footnote>
  <w:footnote w:id="3">
    <w:p w:rsidR="00997ED7" w:rsidRPr="00997ED7" w:rsidRDefault="00997ED7">
      <w:pPr>
        <w:pStyle w:val="Fotnotstext"/>
        <w:rPr>
          <w:szCs w:val="24"/>
        </w:rPr>
      </w:pPr>
      <w:r w:rsidRPr="00997ED7">
        <w:rPr>
          <w:rStyle w:val="Fotnotsreferens"/>
          <w:szCs w:val="24"/>
        </w:rPr>
        <w:footnoteRef/>
      </w:r>
      <w:r w:rsidRPr="00997ED7">
        <w:rPr>
          <w:szCs w:val="24"/>
        </w:rPr>
        <w:t xml:space="preserve"> </w:t>
      </w:r>
      <w:r w:rsidRPr="00997ED7">
        <w:rPr>
          <w:szCs w:val="24"/>
        </w:rPr>
        <w:t>2001/613/EG, 10.7.2001 och 2006/961/EG, 18.12.2006.</w:t>
      </w:r>
      <w:r w:rsidRPr="00997ED7">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Kantrubrik"/>
      <w:framePr w:h="1157" w:hRule="exact" w:wrap="around" w:y="738"/>
    </w:pPr>
    <w:r w:rsidRPr="00997ED7">
      <w:t>2008/09:FPM23</w:t>
    </w:r>
  </w:p>
  <w:p w:rsidR="00997ED7" w:rsidRPr="00997ED7" w:rsidRDefault="00997E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D7" w:rsidRPr="00997ED7" w:rsidRDefault="00997ED7">
    <w:pPr>
      <w:pStyle w:val="Sidhuvud"/>
    </w:pPr>
    <w:r w:rsidRPr="00997ED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51397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ED7" w:rsidRDefault="00997ED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97ED7" w:rsidRDefault="00997ED7">
                    <w:pPr>
                      <w:pStyle w:val="Logo"/>
                    </w:pPr>
                    <w:r>
                      <w:object w:dxaOrig="840" w:dyaOrig="1545">
                        <v:shape id="_x0000_i1025" type="#_x0000_t75" style="width:42pt;height:77.5pt" filled="t">
                          <v:imagedata r:id="rId1" o:title=""/>
                        </v:shape>
                        <o:OLEObject Type="Embed" ProgID="Word.Picture.8" ShapeID="_x0000_i1025" DrawAspect="Content" ObjectID="_18275101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7047800">
    <w:abstractNumId w:val="4"/>
  </w:num>
  <w:num w:numId="2" w16cid:durableId="933442475">
    <w:abstractNumId w:val="1"/>
  </w:num>
  <w:num w:numId="3" w16cid:durableId="1949118765">
    <w:abstractNumId w:val="2"/>
  </w:num>
  <w:num w:numId="4" w16cid:durableId="1330988919">
    <w:abstractNumId w:val="3"/>
  </w:num>
  <w:num w:numId="5" w16cid:durableId="1756707383">
    <w:abstractNumId w:val="5"/>
  </w:num>
  <w:num w:numId="6" w16cid:durableId="46570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05"/>
    <w:docVar w:name="Ar" w:val="2008/09"/>
    <w:docVar w:name="Dep" w:val="Integrations- och jämställdhetsdepartementet"/>
    <w:docVar w:name="DepWeb" w:val="Integrations- och jämställdhetsdepartementet"/>
    <w:docVar w:name="GDB1" w:val="KOM (2008) 4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från kommissionen till rådet om en rådsrekommendation om unga volontärers rörlighet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24"/>
    <w:docVar w:name="Nr" w:val="23"/>
    <w:docVar w:name="RD_APPVERSION" w:val="3.00"/>
    <w:docVar w:name="Rub" w:val="Rådsrekommendation om unga volontärers rörlighet i Europa"/>
    <w:docVar w:name="UppDat" w:val="2008-11-05"/>
    <w:docVar w:name="Utsk" w:val="Kulturutskottet"/>
  </w:docVars>
  <w:rsids>
    <w:rsidRoot w:val="00115CD2"/>
    <w:rsid w:val="00115CD2"/>
    <w:rsid w:val="00997E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82BBF4-FDA1-40E6-80E5-839CD0FB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80975">
      <w:bodyDiv w:val="1"/>
      <w:marLeft w:val="0"/>
      <w:marRight w:val="0"/>
      <w:marTop w:val="0"/>
      <w:marBottom w:val="0"/>
      <w:divBdr>
        <w:top w:val="none" w:sz="0" w:space="0" w:color="auto"/>
        <w:left w:val="none" w:sz="0" w:space="0" w:color="auto"/>
        <w:bottom w:val="none" w:sz="0" w:space="0" w:color="auto"/>
        <w:right w:val="none" w:sz="0" w:space="0" w:color="auto"/>
      </w:divBdr>
    </w:div>
    <w:div w:id="276106679">
      <w:bodyDiv w:val="1"/>
      <w:marLeft w:val="0"/>
      <w:marRight w:val="0"/>
      <w:marTop w:val="0"/>
      <w:marBottom w:val="0"/>
      <w:divBdr>
        <w:top w:val="none" w:sz="0" w:space="0" w:color="auto"/>
        <w:left w:val="none" w:sz="0" w:space="0" w:color="auto"/>
        <w:bottom w:val="none" w:sz="0" w:space="0" w:color="auto"/>
        <w:right w:val="none" w:sz="0" w:space="0" w:color="auto"/>
      </w:divBdr>
    </w:div>
    <w:div w:id="374158671">
      <w:bodyDiv w:val="1"/>
      <w:marLeft w:val="0"/>
      <w:marRight w:val="0"/>
      <w:marTop w:val="0"/>
      <w:marBottom w:val="0"/>
      <w:divBdr>
        <w:top w:val="none" w:sz="0" w:space="0" w:color="auto"/>
        <w:left w:val="none" w:sz="0" w:space="0" w:color="auto"/>
        <w:bottom w:val="none" w:sz="0" w:space="0" w:color="auto"/>
        <w:right w:val="none" w:sz="0" w:space="0" w:color="auto"/>
      </w:divBdr>
    </w:div>
    <w:div w:id="397286540">
      <w:bodyDiv w:val="1"/>
      <w:marLeft w:val="0"/>
      <w:marRight w:val="0"/>
      <w:marTop w:val="0"/>
      <w:marBottom w:val="0"/>
      <w:divBdr>
        <w:top w:val="none" w:sz="0" w:space="0" w:color="auto"/>
        <w:left w:val="none" w:sz="0" w:space="0" w:color="auto"/>
        <w:bottom w:val="none" w:sz="0" w:space="0" w:color="auto"/>
        <w:right w:val="none" w:sz="0" w:space="0" w:color="auto"/>
      </w:divBdr>
    </w:div>
    <w:div w:id="750926418">
      <w:bodyDiv w:val="1"/>
      <w:marLeft w:val="0"/>
      <w:marRight w:val="0"/>
      <w:marTop w:val="0"/>
      <w:marBottom w:val="0"/>
      <w:divBdr>
        <w:top w:val="none" w:sz="0" w:space="0" w:color="auto"/>
        <w:left w:val="none" w:sz="0" w:space="0" w:color="auto"/>
        <w:bottom w:val="none" w:sz="0" w:space="0" w:color="auto"/>
        <w:right w:val="none" w:sz="0" w:space="0" w:color="auto"/>
      </w:divBdr>
    </w:div>
    <w:div w:id="954796696">
      <w:bodyDiv w:val="1"/>
      <w:marLeft w:val="0"/>
      <w:marRight w:val="0"/>
      <w:marTop w:val="0"/>
      <w:marBottom w:val="0"/>
      <w:divBdr>
        <w:top w:val="none" w:sz="0" w:space="0" w:color="auto"/>
        <w:left w:val="none" w:sz="0" w:space="0" w:color="auto"/>
        <w:bottom w:val="none" w:sz="0" w:space="0" w:color="auto"/>
        <w:right w:val="none" w:sz="0" w:space="0" w:color="auto"/>
      </w:divBdr>
    </w:div>
    <w:div w:id="1055618081">
      <w:bodyDiv w:val="1"/>
      <w:marLeft w:val="0"/>
      <w:marRight w:val="0"/>
      <w:marTop w:val="0"/>
      <w:marBottom w:val="0"/>
      <w:divBdr>
        <w:top w:val="none" w:sz="0" w:space="0" w:color="auto"/>
        <w:left w:val="none" w:sz="0" w:space="0" w:color="auto"/>
        <w:bottom w:val="none" w:sz="0" w:space="0" w:color="auto"/>
        <w:right w:val="none" w:sz="0" w:space="0" w:color="auto"/>
      </w:divBdr>
    </w:div>
    <w:div w:id="1190025551">
      <w:bodyDiv w:val="1"/>
      <w:marLeft w:val="0"/>
      <w:marRight w:val="0"/>
      <w:marTop w:val="0"/>
      <w:marBottom w:val="0"/>
      <w:divBdr>
        <w:top w:val="none" w:sz="0" w:space="0" w:color="auto"/>
        <w:left w:val="none" w:sz="0" w:space="0" w:color="auto"/>
        <w:bottom w:val="none" w:sz="0" w:space="0" w:color="auto"/>
        <w:right w:val="none" w:sz="0" w:space="0" w:color="auto"/>
      </w:divBdr>
    </w:div>
    <w:div w:id="1394937006">
      <w:bodyDiv w:val="1"/>
      <w:marLeft w:val="0"/>
      <w:marRight w:val="0"/>
      <w:marTop w:val="0"/>
      <w:marBottom w:val="0"/>
      <w:divBdr>
        <w:top w:val="none" w:sz="0" w:space="0" w:color="auto"/>
        <w:left w:val="none" w:sz="0" w:space="0" w:color="auto"/>
        <w:bottom w:val="none" w:sz="0" w:space="0" w:color="auto"/>
        <w:right w:val="none" w:sz="0" w:space="0" w:color="auto"/>
      </w:divBdr>
    </w:div>
    <w:div w:id="1625186601">
      <w:bodyDiv w:val="1"/>
      <w:marLeft w:val="0"/>
      <w:marRight w:val="0"/>
      <w:marTop w:val="0"/>
      <w:marBottom w:val="0"/>
      <w:divBdr>
        <w:top w:val="none" w:sz="0" w:space="0" w:color="auto"/>
        <w:left w:val="none" w:sz="0" w:space="0" w:color="auto"/>
        <w:bottom w:val="none" w:sz="0" w:space="0" w:color="auto"/>
        <w:right w:val="none" w:sz="0" w:space="0" w:color="auto"/>
      </w:divBdr>
    </w:div>
    <w:div w:id="1714764431">
      <w:bodyDiv w:val="1"/>
      <w:marLeft w:val="0"/>
      <w:marRight w:val="0"/>
      <w:marTop w:val="0"/>
      <w:marBottom w:val="0"/>
      <w:divBdr>
        <w:top w:val="none" w:sz="0" w:space="0" w:color="auto"/>
        <w:left w:val="none" w:sz="0" w:space="0" w:color="auto"/>
        <w:bottom w:val="none" w:sz="0" w:space="0" w:color="auto"/>
        <w:right w:val="none" w:sz="0" w:space="0" w:color="auto"/>
      </w:divBdr>
    </w:div>
    <w:div w:id="1998920526">
      <w:bodyDiv w:val="1"/>
      <w:marLeft w:val="0"/>
      <w:marRight w:val="0"/>
      <w:marTop w:val="0"/>
      <w:marBottom w:val="0"/>
      <w:divBdr>
        <w:top w:val="none" w:sz="0" w:space="0" w:color="auto"/>
        <w:left w:val="none" w:sz="0" w:space="0" w:color="auto"/>
        <w:bottom w:val="none" w:sz="0" w:space="0" w:color="auto"/>
        <w:right w:val="none" w:sz="0" w:space="0" w:color="auto"/>
      </w:divBdr>
    </w:div>
    <w:div w:id="20587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1423</Words>
  <Characters>9369</Characters>
  <Application>Microsoft Office Word</Application>
  <DocSecurity>4</DocSecurity>
  <Lines>199</Lines>
  <Paragraphs>73</Paragraphs>
  <ScaleCrop>false</ScaleCrop>
  <HeadingPairs>
    <vt:vector size="2" baseType="variant">
      <vt:variant>
        <vt:lpstr>Rubrik</vt:lpstr>
      </vt:variant>
      <vt:variant>
        <vt:i4>1</vt:i4>
      </vt:variant>
    </vt:vector>
  </HeadingPairs>
  <TitlesOfParts>
    <vt:vector size="1" baseType="lpstr">
      <vt:lpstr>FPM_200809__23</vt:lpstr>
    </vt:vector>
  </TitlesOfParts>
  <Company>RD-DTSL</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FPM_200809__23</dc:title>
  <dc:subject>FPM_200809__23</dc:subject>
  <dc:creator>Riksdagen</dc:creator>
  <cp:keywords>Riksdagen</cp:keywords>
  <dc:description>KP2004-version.  Ändringarna påverkar enbart användningen inom Riksdagen. 050429 nya departement DTSL.</dc:description>
  <cp:lastModifiedBy>Lars Brink</cp:lastModifiedBy>
  <cp:revision>2</cp:revision>
  <cp:lastPrinted>2008-11-05T11:53:00Z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 (2008) 424</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Rådsrekommendation om unga volontärers rörlighet i Europa</vt:lpwstr>
  </property>
  <property fmtid="{D5CDD505-2E9C-101B-9397-08002B2CF9AE}" pid="8" name="UppDat">
    <vt:lpwstr>2008-11-05</vt:lpwstr>
  </property>
  <property fmtid="{D5CDD505-2E9C-101B-9397-08002B2CF9AE}" pid="9" name="AnkDat">
    <vt:lpwstr>2008-11-05</vt:lpwstr>
  </property>
  <property fmtid="{D5CDD505-2E9C-101B-9397-08002B2CF9AE}" pid="10" name="Utsk">
    <vt:lpwstr>Kulturutskottet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20;0;0;437</vt:lpwstr>
  </property>
  <property fmtid="{D5CDD505-2E9C-101B-9397-08002B2CF9AE}" pid="42" name="Sprak">
    <vt:lpwstr>Svenska</vt:lpwstr>
  </property>
  <property fmtid="{D5CDD505-2E9C-101B-9397-08002B2CF9AE}" pid="43" name="DokID">
    <vt:i4>80</vt:i4>
  </property>
</Properties>
</file>